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35590AE" w14:textId="24603355" w:rsidR="0027465E" w:rsidRPr="009257E7" w:rsidRDefault="00042E3B">
      <w:pPr>
        <w:rPr>
          <w:rFonts w:ascii="Times New Roman" w:hAnsi="Times New Roman" w:cs="Times New Roman"/>
          <w:b/>
          <w:bCs/>
          <w:lang w:val="es-ES"/>
        </w:rPr>
      </w:pPr>
      <w:r w:rsidRPr="009257E7">
        <w:rPr>
          <w:rFonts w:ascii="Times New Roman" w:hAnsi="Times New Roman" w:cs="Times New Roman"/>
          <w:b/>
          <w:bCs/>
          <w:lang w:val="es-ES"/>
        </w:rPr>
        <w:t>Abogacía Sistémica: Utilizar el derecho para la justicia</w:t>
      </w:r>
    </w:p>
    <w:p w14:paraId="09417551" w14:textId="77777777" w:rsidR="00042E3B" w:rsidRPr="009257E7" w:rsidRDefault="00042E3B" w:rsidP="00042E3B">
      <w:pPr>
        <w:spacing w:after="0"/>
        <w:rPr>
          <w:rFonts w:ascii="Times New Roman" w:hAnsi="Times New Roman" w:cs="Times New Roman"/>
          <w:lang w:val="en-US"/>
        </w:rPr>
      </w:pPr>
      <w:r w:rsidRPr="009257E7">
        <w:rPr>
          <w:rFonts w:ascii="Times New Roman" w:hAnsi="Times New Roman" w:cs="Times New Roman"/>
          <w:lang w:val="en-US"/>
        </w:rPr>
        <w:t>Francisco Valdes</w:t>
      </w:r>
    </w:p>
    <w:p w14:paraId="2F3E5C40" w14:textId="77777777" w:rsidR="00042E3B" w:rsidRPr="009257E7" w:rsidRDefault="00042E3B" w:rsidP="00042E3B">
      <w:pPr>
        <w:spacing w:after="0"/>
        <w:rPr>
          <w:rFonts w:ascii="Times New Roman" w:hAnsi="Times New Roman" w:cs="Times New Roman"/>
          <w:lang w:val="en-US"/>
        </w:rPr>
      </w:pPr>
      <w:r w:rsidRPr="009257E7">
        <w:rPr>
          <w:rFonts w:ascii="Times New Roman" w:hAnsi="Times New Roman" w:cs="Times New Roman"/>
          <w:lang w:val="en-US"/>
        </w:rPr>
        <w:t>Steven W. Bender</w:t>
      </w:r>
    </w:p>
    <w:p w14:paraId="6129360D" w14:textId="0665C318" w:rsidR="00042E3B" w:rsidRPr="009257E7" w:rsidRDefault="00042E3B" w:rsidP="00042E3B">
      <w:pPr>
        <w:spacing w:after="0"/>
        <w:rPr>
          <w:rFonts w:ascii="Times New Roman" w:hAnsi="Times New Roman" w:cs="Times New Roman"/>
          <w:lang w:val="en-US"/>
        </w:rPr>
      </w:pPr>
      <w:r w:rsidRPr="009257E7">
        <w:rPr>
          <w:rFonts w:ascii="Times New Roman" w:hAnsi="Times New Roman" w:cs="Times New Roman"/>
          <w:lang w:val="en-US"/>
        </w:rPr>
        <w:t>Jennifer J. Hill</w:t>
      </w:r>
    </w:p>
    <w:p w14:paraId="0D5A936A" w14:textId="77777777" w:rsidR="00042E3B" w:rsidRPr="009257E7" w:rsidRDefault="00042E3B" w:rsidP="00042E3B">
      <w:pPr>
        <w:spacing w:after="0"/>
        <w:rPr>
          <w:rFonts w:ascii="Times New Roman" w:hAnsi="Times New Roman" w:cs="Times New Roman"/>
          <w:lang w:val="en-US"/>
        </w:rPr>
      </w:pPr>
    </w:p>
    <w:p w14:paraId="3C6AE94B" w14:textId="179BA264" w:rsidR="00042E3B" w:rsidRPr="009257E7" w:rsidRDefault="00042E3B" w:rsidP="00042E3B">
      <w:pPr>
        <w:spacing w:after="0"/>
        <w:rPr>
          <w:rFonts w:ascii="Times New Roman" w:hAnsi="Times New Roman" w:cs="Times New Roman"/>
          <w:lang w:val="es-ES"/>
        </w:rPr>
      </w:pPr>
      <w:r w:rsidRPr="009257E7">
        <w:rPr>
          <w:rFonts w:ascii="Times New Roman" w:hAnsi="Times New Roman" w:cs="Times New Roman"/>
          <w:lang w:val="es-ES"/>
        </w:rPr>
        <w:t xml:space="preserve">Traducido por: Esther Rodríguez Miranda  </w:t>
      </w:r>
    </w:p>
    <w:p w14:paraId="46C3DC51" w14:textId="77777777" w:rsidR="00042E3B" w:rsidRPr="009257E7" w:rsidRDefault="00042E3B" w:rsidP="00042E3B">
      <w:pPr>
        <w:spacing w:after="0"/>
        <w:rPr>
          <w:rFonts w:ascii="Times New Roman" w:hAnsi="Times New Roman" w:cs="Times New Roman"/>
          <w:lang w:val="es-ES"/>
        </w:rPr>
      </w:pPr>
    </w:p>
    <w:p w14:paraId="3FF1A2D7" w14:textId="77777777" w:rsidR="0018587B" w:rsidRPr="009257E7" w:rsidRDefault="0018587B">
      <w:pPr>
        <w:rPr>
          <w:rFonts w:ascii="Times New Roman" w:hAnsi="Times New Roman" w:cs="Times New Roman"/>
          <w:b/>
          <w:bCs/>
          <w:lang w:val="es-ES"/>
        </w:rPr>
      </w:pPr>
      <w:r w:rsidRPr="009257E7">
        <w:rPr>
          <w:rFonts w:ascii="Times New Roman" w:hAnsi="Times New Roman" w:cs="Times New Roman"/>
          <w:b/>
          <w:bCs/>
          <w:lang w:val="es-ES"/>
        </w:rPr>
        <w:br w:type="page"/>
      </w:r>
    </w:p>
    <w:p w14:paraId="27888680" w14:textId="0E431E64" w:rsidR="00042E3B" w:rsidRPr="009257E7" w:rsidRDefault="00042E3B" w:rsidP="00042E3B">
      <w:pPr>
        <w:rPr>
          <w:rFonts w:ascii="Times New Roman" w:hAnsi="Times New Roman" w:cs="Times New Roman"/>
          <w:b/>
          <w:bCs/>
          <w:lang w:val="es-ES"/>
        </w:rPr>
      </w:pPr>
      <w:r w:rsidRPr="009257E7">
        <w:rPr>
          <w:rFonts w:ascii="Times New Roman" w:hAnsi="Times New Roman" w:cs="Times New Roman"/>
          <w:b/>
          <w:bCs/>
          <w:lang w:val="es-ES"/>
        </w:rPr>
        <w:lastRenderedPageBreak/>
        <w:t>Abogacía Sistémica: Utilizar el derecho para la justicia</w:t>
      </w:r>
      <w:r w:rsidRPr="009257E7">
        <w:rPr>
          <w:rFonts w:ascii="Times New Roman" w:hAnsi="Times New Roman" w:cs="Times New Roman"/>
          <w:b/>
          <w:bCs/>
          <w:lang w:val="es-ES"/>
        </w:rPr>
        <w:br/>
      </w:r>
      <w:r w:rsidRPr="009257E7">
        <w:rPr>
          <w:rFonts w:ascii="Times New Roman" w:eastAsia="Times New Roman" w:hAnsi="Times New Roman" w:cs="Times New Roman"/>
          <w:b/>
          <w:bCs/>
          <w:kern w:val="0"/>
          <w:lang w:val="es-ES"/>
          <w14:ligatures w14:val="none"/>
        </w:rPr>
        <w:t>TABLA DE CONTENIDO</w:t>
      </w:r>
    </w:p>
    <w:p w14:paraId="3B9CA747" w14:textId="77777777" w:rsidR="00042E3B" w:rsidRPr="009257E7" w:rsidRDefault="00042E3B" w:rsidP="00042E3B">
      <w:pPr>
        <w:spacing w:before="100" w:beforeAutospacing="1" w:after="100" w:afterAutospacing="1" w:line="240" w:lineRule="auto"/>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b/>
          <w:bCs/>
          <w:kern w:val="0"/>
          <w:lang w:val="es-ES"/>
          <w14:ligatures w14:val="none"/>
        </w:rPr>
        <w:t>Introducción</w:t>
      </w:r>
    </w:p>
    <w:p w14:paraId="357ACA8B" w14:textId="32FCBEF9" w:rsidR="00042E3B" w:rsidRPr="009257E7" w:rsidRDefault="00042E3B" w:rsidP="00042E3B">
      <w:pPr>
        <w:spacing w:before="100" w:beforeAutospacing="1" w:after="100" w:afterAutospacing="1" w:line="240" w:lineRule="auto"/>
        <w:outlineLvl w:val="1"/>
        <w:rPr>
          <w:rFonts w:ascii="Times New Roman" w:eastAsia="Times New Roman" w:hAnsi="Times New Roman" w:cs="Times New Roman"/>
          <w:b/>
          <w:bCs/>
          <w:kern w:val="0"/>
          <w:lang w:val="es-ES"/>
          <w14:ligatures w14:val="none"/>
        </w:rPr>
      </w:pPr>
      <w:r w:rsidRPr="009257E7">
        <w:rPr>
          <w:rFonts w:ascii="Times New Roman" w:eastAsia="Times New Roman" w:hAnsi="Times New Roman" w:cs="Times New Roman"/>
          <w:b/>
          <w:bCs/>
          <w:kern w:val="0"/>
          <w:lang w:val="es-ES"/>
          <w14:ligatures w14:val="none"/>
        </w:rPr>
        <w:t>Parte A: Los sistemas, las castas y los males sociales: El desafío crítico de u</w:t>
      </w:r>
      <w:r w:rsidR="005515DD" w:rsidRPr="009257E7">
        <w:rPr>
          <w:rFonts w:ascii="Times New Roman" w:eastAsia="Times New Roman" w:hAnsi="Times New Roman" w:cs="Times New Roman"/>
          <w:b/>
          <w:bCs/>
          <w:kern w:val="0"/>
          <w:lang w:val="es-ES"/>
          <w14:ligatures w14:val="none"/>
        </w:rPr>
        <w:t>tilizar</w:t>
      </w:r>
      <w:r w:rsidRPr="009257E7">
        <w:rPr>
          <w:rFonts w:ascii="Times New Roman" w:eastAsia="Times New Roman" w:hAnsi="Times New Roman" w:cs="Times New Roman"/>
          <w:b/>
          <w:bCs/>
          <w:kern w:val="0"/>
          <w:lang w:val="es-ES"/>
          <w14:ligatures w14:val="none"/>
        </w:rPr>
        <w:t xml:space="preserve"> el derecho para la justicia</w:t>
      </w:r>
    </w:p>
    <w:p w14:paraId="42B913A2" w14:textId="77777777" w:rsidR="00042E3B" w:rsidRPr="009257E7" w:rsidRDefault="00042E3B" w:rsidP="00042E3B">
      <w:pPr>
        <w:spacing w:before="100" w:beforeAutospacing="1" w:after="100" w:afterAutospacing="1" w:line="240" w:lineRule="auto"/>
        <w:outlineLvl w:val="2"/>
        <w:rPr>
          <w:rFonts w:ascii="Times New Roman" w:eastAsia="Times New Roman" w:hAnsi="Times New Roman" w:cs="Times New Roman"/>
          <w:b/>
          <w:bCs/>
          <w:kern w:val="0"/>
          <w:lang w:val="es-ES"/>
          <w14:ligatures w14:val="none"/>
        </w:rPr>
      </w:pPr>
      <w:r w:rsidRPr="009257E7">
        <w:rPr>
          <w:rFonts w:ascii="Times New Roman" w:eastAsia="Times New Roman" w:hAnsi="Times New Roman" w:cs="Times New Roman"/>
          <w:b/>
          <w:bCs/>
          <w:kern w:val="0"/>
          <w:lang w:val="es-ES"/>
          <w14:ligatures w14:val="none"/>
        </w:rPr>
        <w:t>Capítulo 1: Desaprender y reaprender los sistemas y el “Estado de derecho”</w:t>
      </w:r>
    </w:p>
    <w:p w14:paraId="5132FF39" w14:textId="77777777" w:rsidR="00042E3B" w:rsidRPr="009257E7" w:rsidRDefault="00042E3B" w:rsidP="00042E3B">
      <w:pPr>
        <w:spacing w:before="100" w:beforeAutospacing="1" w:after="100" w:afterAutospacing="1" w:line="240" w:lineRule="auto"/>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b/>
          <w:bCs/>
          <w:kern w:val="0"/>
          <w:lang w:val="es-ES"/>
          <w14:ligatures w14:val="none"/>
        </w:rPr>
        <w:t>1.1</w:t>
      </w:r>
      <w:r w:rsidRPr="009257E7">
        <w:rPr>
          <w:rFonts w:ascii="Times New Roman" w:eastAsia="Times New Roman" w:hAnsi="Times New Roman" w:cs="Times New Roman"/>
          <w:kern w:val="0"/>
          <w:lang w:val="es-ES"/>
          <w14:ligatures w14:val="none"/>
        </w:rPr>
        <w:t xml:space="preserve"> Los sistemas se juzgan por sus resultados reales y sus efectos recurrentes</w:t>
      </w:r>
      <w:r w:rsidRPr="009257E7">
        <w:rPr>
          <w:rFonts w:ascii="Times New Roman" w:eastAsia="Times New Roman" w:hAnsi="Times New Roman" w:cs="Times New Roman"/>
          <w:kern w:val="0"/>
          <w:lang w:val="es-ES"/>
          <w14:ligatures w14:val="none"/>
        </w:rPr>
        <w:br/>
      </w:r>
      <w:r w:rsidRPr="009257E7">
        <w:rPr>
          <w:rFonts w:ascii="Times New Roman" w:eastAsia="Times New Roman" w:hAnsi="Times New Roman" w:cs="Times New Roman"/>
          <w:b/>
          <w:bCs/>
          <w:kern w:val="0"/>
          <w:lang w:val="es-ES"/>
          <w14:ligatures w14:val="none"/>
        </w:rPr>
        <w:t>1.2</w:t>
      </w:r>
      <w:r w:rsidRPr="009257E7">
        <w:rPr>
          <w:rFonts w:ascii="Times New Roman" w:eastAsia="Times New Roman" w:hAnsi="Times New Roman" w:cs="Times New Roman"/>
          <w:kern w:val="0"/>
          <w:lang w:val="es-ES"/>
          <w14:ligatures w14:val="none"/>
        </w:rPr>
        <w:t xml:space="preserve"> El sistema del “Estado de derecho”: originado en Europa, trasplantado por medio del colonialismo y fallido por diseño</w:t>
      </w:r>
      <w:r w:rsidRPr="009257E7">
        <w:rPr>
          <w:rFonts w:ascii="Times New Roman" w:eastAsia="Times New Roman" w:hAnsi="Times New Roman" w:cs="Times New Roman"/>
          <w:kern w:val="0"/>
          <w:lang w:val="es-ES"/>
          <w14:ligatures w14:val="none"/>
        </w:rPr>
        <w:br/>
      </w:r>
      <w:r w:rsidRPr="009257E7">
        <w:rPr>
          <w:rFonts w:ascii="Times New Roman" w:eastAsia="Times New Roman" w:hAnsi="Times New Roman" w:cs="Times New Roman"/>
          <w:b/>
          <w:bCs/>
          <w:kern w:val="0"/>
          <w:lang w:val="es-ES"/>
          <w14:ligatures w14:val="none"/>
        </w:rPr>
        <w:t>1.3</w:t>
      </w:r>
      <w:r w:rsidRPr="009257E7">
        <w:rPr>
          <w:rFonts w:ascii="Times New Roman" w:eastAsia="Times New Roman" w:hAnsi="Times New Roman" w:cs="Times New Roman"/>
          <w:kern w:val="0"/>
          <w:lang w:val="es-ES"/>
          <w14:ligatures w14:val="none"/>
        </w:rPr>
        <w:t xml:space="preserve"> Los colonos llegaron para conquistar, no como inmigrantes, y crearon castas identitarias para Estados raciales</w:t>
      </w:r>
      <w:r w:rsidRPr="009257E7">
        <w:rPr>
          <w:rFonts w:ascii="Times New Roman" w:eastAsia="Times New Roman" w:hAnsi="Times New Roman" w:cs="Times New Roman"/>
          <w:kern w:val="0"/>
          <w:lang w:val="es-ES"/>
          <w14:ligatures w14:val="none"/>
        </w:rPr>
        <w:br/>
      </w:r>
      <w:r w:rsidRPr="009257E7">
        <w:rPr>
          <w:rFonts w:ascii="Times New Roman" w:eastAsia="Times New Roman" w:hAnsi="Times New Roman" w:cs="Times New Roman"/>
          <w:b/>
          <w:bCs/>
          <w:kern w:val="0"/>
          <w:lang w:val="es-ES"/>
          <w14:ligatures w14:val="none"/>
        </w:rPr>
        <w:t>1.4</w:t>
      </w:r>
      <w:r w:rsidRPr="009257E7">
        <w:rPr>
          <w:rFonts w:ascii="Times New Roman" w:eastAsia="Times New Roman" w:hAnsi="Times New Roman" w:cs="Times New Roman"/>
          <w:kern w:val="0"/>
          <w:lang w:val="es-ES"/>
          <w14:ligatures w14:val="none"/>
        </w:rPr>
        <w:t xml:space="preserve"> El imperialismo y la globalización arraigaron y expandieron por medio de la fuerza y el derecho la supremacía blanca y las ideologías identitarias relacionadas</w:t>
      </w:r>
      <w:r w:rsidRPr="009257E7">
        <w:rPr>
          <w:rFonts w:ascii="Times New Roman" w:eastAsia="Times New Roman" w:hAnsi="Times New Roman" w:cs="Times New Roman"/>
          <w:kern w:val="0"/>
          <w:lang w:val="es-ES"/>
          <w14:ligatures w14:val="none"/>
        </w:rPr>
        <w:br/>
      </w:r>
      <w:r w:rsidRPr="009257E7">
        <w:rPr>
          <w:rFonts w:ascii="Times New Roman" w:eastAsia="Times New Roman" w:hAnsi="Times New Roman" w:cs="Times New Roman"/>
          <w:b/>
          <w:bCs/>
          <w:kern w:val="0"/>
          <w:lang w:val="es-ES"/>
          <w14:ligatures w14:val="none"/>
        </w:rPr>
        <w:t>1.5</w:t>
      </w:r>
      <w:r w:rsidRPr="009257E7">
        <w:rPr>
          <w:rFonts w:ascii="Times New Roman" w:eastAsia="Times New Roman" w:hAnsi="Times New Roman" w:cs="Times New Roman"/>
          <w:kern w:val="0"/>
          <w:lang w:val="es-ES"/>
          <w14:ligatures w14:val="none"/>
        </w:rPr>
        <w:t xml:space="preserve"> Los males sociales —como el sexismo, el racismo y la homofobia— sostienen “ilusiones ideológicas de igualdad” para justificar desigualdades persistentes entre grupos</w:t>
      </w:r>
      <w:r w:rsidRPr="009257E7">
        <w:rPr>
          <w:rFonts w:ascii="Times New Roman" w:eastAsia="Times New Roman" w:hAnsi="Times New Roman" w:cs="Times New Roman"/>
          <w:kern w:val="0"/>
          <w:lang w:val="es-ES"/>
          <w14:ligatures w14:val="none"/>
        </w:rPr>
        <w:br/>
      </w:r>
      <w:r w:rsidRPr="009257E7">
        <w:rPr>
          <w:rFonts w:ascii="Times New Roman" w:eastAsia="Times New Roman" w:hAnsi="Times New Roman" w:cs="Times New Roman"/>
          <w:b/>
          <w:bCs/>
          <w:kern w:val="0"/>
          <w:lang w:val="es-ES"/>
          <w14:ligatures w14:val="none"/>
        </w:rPr>
        <w:t>1.6</w:t>
      </w:r>
      <w:r w:rsidRPr="009257E7">
        <w:rPr>
          <w:rFonts w:ascii="Times New Roman" w:eastAsia="Times New Roman" w:hAnsi="Times New Roman" w:cs="Times New Roman"/>
          <w:kern w:val="0"/>
          <w:lang w:val="es-ES"/>
          <w14:ligatures w14:val="none"/>
        </w:rPr>
        <w:t xml:space="preserve"> La injusticia crónica es violencia sistémica</w:t>
      </w:r>
      <w:r w:rsidRPr="009257E7">
        <w:rPr>
          <w:rFonts w:ascii="Times New Roman" w:eastAsia="Times New Roman" w:hAnsi="Times New Roman" w:cs="Times New Roman"/>
          <w:kern w:val="0"/>
          <w:lang w:val="es-ES"/>
          <w14:ligatures w14:val="none"/>
        </w:rPr>
        <w:br/>
      </w:r>
      <w:r w:rsidRPr="009257E7">
        <w:rPr>
          <w:rFonts w:ascii="Times New Roman" w:eastAsia="Times New Roman" w:hAnsi="Times New Roman" w:cs="Times New Roman"/>
          <w:b/>
          <w:bCs/>
          <w:kern w:val="0"/>
          <w:lang w:val="es-ES"/>
          <w14:ligatures w14:val="none"/>
        </w:rPr>
        <w:t>1.7</w:t>
      </w:r>
      <w:r w:rsidRPr="009257E7">
        <w:rPr>
          <w:rFonts w:ascii="Times New Roman" w:eastAsia="Times New Roman" w:hAnsi="Times New Roman" w:cs="Times New Roman"/>
          <w:kern w:val="0"/>
          <w:lang w:val="es-ES"/>
          <w14:ligatures w14:val="none"/>
        </w:rPr>
        <w:t xml:space="preserve"> Les abogades actúan a pesar de los riesgos de represalia, cooptación y </w:t>
      </w:r>
      <w:proofErr w:type="spellStart"/>
      <w:r w:rsidRPr="009257E7">
        <w:rPr>
          <w:rFonts w:ascii="Times New Roman" w:eastAsia="Times New Roman" w:hAnsi="Times New Roman" w:cs="Times New Roman"/>
          <w:kern w:val="0"/>
          <w:lang w:val="es-ES"/>
          <w14:ligatures w14:val="none"/>
        </w:rPr>
        <w:t>tokenismo</w:t>
      </w:r>
      <w:proofErr w:type="spellEnd"/>
    </w:p>
    <w:p w14:paraId="2C761197" w14:textId="77777777" w:rsidR="00042E3B" w:rsidRPr="009257E7" w:rsidRDefault="00042E3B" w:rsidP="00042E3B">
      <w:pPr>
        <w:spacing w:before="100" w:beforeAutospacing="1" w:after="100" w:afterAutospacing="1" w:line="240" w:lineRule="auto"/>
        <w:outlineLvl w:val="2"/>
        <w:rPr>
          <w:rFonts w:ascii="Times New Roman" w:eastAsia="Times New Roman" w:hAnsi="Times New Roman" w:cs="Times New Roman"/>
          <w:b/>
          <w:bCs/>
          <w:kern w:val="0"/>
          <w:lang w:val="es-ES"/>
          <w14:ligatures w14:val="none"/>
        </w:rPr>
      </w:pPr>
      <w:r w:rsidRPr="009257E7">
        <w:rPr>
          <w:rFonts w:ascii="Times New Roman" w:eastAsia="Times New Roman" w:hAnsi="Times New Roman" w:cs="Times New Roman"/>
          <w:b/>
          <w:bCs/>
          <w:kern w:val="0"/>
          <w:lang w:val="es-ES"/>
          <w14:ligatures w14:val="none"/>
        </w:rPr>
        <w:t>Capítulo 2: Trazar el manual de las élites para el control perpetuo desde arriba</w:t>
      </w:r>
    </w:p>
    <w:p w14:paraId="488D8634" w14:textId="77777777" w:rsidR="00042E3B" w:rsidRPr="009257E7" w:rsidRDefault="00042E3B" w:rsidP="00042E3B">
      <w:pPr>
        <w:spacing w:before="100" w:beforeAutospacing="1" w:after="100" w:afterAutospacing="1" w:line="240" w:lineRule="auto"/>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b/>
          <w:bCs/>
          <w:kern w:val="0"/>
          <w:lang w:val="es-ES"/>
          <w14:ligatures w14:val="none"/>
        </w:rPr>
        <w:t>2.1</w:t>
      </w:r>
      <w:r w:rsidRPr="009257E7">
        <w:rPr>
          <w:rFonts w:ascii="Times New Roman" w:eastAsia="Times New Roman" w:hAnsi="Times New Roman" w:cs="Times New Roman"/>
          <w:kern w:val="0"/>
          <w:lang w:val="es-ES"/>
          <w14:ligatures w14:val="none"/>
        </w:rPr>
        <w:t xml:space="preserve"> Las élites estructuraron el derecho y la sociedad para mantenerse colectivamente siempre en la cima</w:t>
      </w:r>
      <w:r w:rsidRPr="009257E7">
        <w:rPr>
          <w:rFonts w:ascii="Times New Roman" w:eastAsia="Times New Roman" w:hAnsi="Times New Roman" w:cs="Times New Roman"/>
          <w:kern w:val="0"/>
          <w:lang w:val="es-ES"/>
          <w14:ligatures w14:val="none"/>
        </w:rPr>
        <w:br/>
      </w:r>
      <w:r w:rsidRPr="009257E7">
        <w:rPr>
          <w:rFonts w:ascii="Times New Roman" w:eastAsia="Times New Roman" w:hAnsi="Times New Roman" w:cs="Times New Roman"/>
          <w:b/>
          <w:bCs/>
          <w:kern w:val="0"/>
          <w:lang w:val="es-ES"/>
          <w14:ligatures w14:val="none"/>
        </w:rPr>
        <w:t>2.2</w:t>
      </w:r>
      <w:r w:rsidRPr="009257E7">
        <w:rPr>
          <w:rFonts w:ascii="Times New Roman" w:eastAsia="Times New Roman" w:hAnsi="Times New Roman" w:cs="Times New Roman"/>
          <w:kern w:val="0"/>
          <w:lang w:val="es-ES"/>
          <w14:ligatures w14:val="none"/>
        </w:rPr>
        <w:t xml:space="preserve"> Las élites orquestan de forma continua el poder, el privilegio y la ganancia para el dominio local-global</w:t>
      </w:r>
      <w:r w:rsidRPr="009257E7">
        <w:rPr>
          <w:rFonts w:ascii="Times New Roman" w:eastAsia="Times New Roman" w:hAnsi="Times New Roman" w:cs="Times New Roman"/>
          <w:kern w:val="0"/>
          <w:lang w:val="es-ES"/>
          <w14:ligatures w14:val="none"/>
        </w:rPr>
        <w:br/>
      </w:r>
      <w:r w:rsidRPr="009257E7">
        <w:rPr>
          <w:rFonts w:ascii="Times New Roman" w:eastAsia="Times New Roman" w:hAnsi="Times New Roman" w:cs="Times New Roman"/>
          <w:b/>
          <w:bCs/>
          <w:kern w:val="0"/>
          <w:lang w:val="es-ES"/>
          <w14:ligatures w14:val="none"/>
        </w:rPr>
        <w:t>2.3</w:t>
      </w:r>
      <w:r w:rsidRPr="009257E7">
        <w:rPr>
          <w:rFonts w:ascii="Times New Roman" w:eastAsia="Times New Roman" w:hAnsi="Times New Roman" w:cs="Times New Roman"/>
          <w:kern w:val="0"/>
          <w:lang w:val="es-ES"/>
          <w14:ligatures w14:val="none"/>
        </w:rPr>
        <w:t xml:space="preserve"> El control del conocimiento en la educación y la cultura es fundamental para la dominación elitista del derecho y de otros sistemas</w:t>
      </w:r>
      <w:r w:rsidRPr="009257E7">
        <w:rPr>
          <w:rFonts w:ascii="Times New Roman" w:eastAsia="Times New Roman" w:hAnsi="Times New Roman" w:cs="Times New Roman"/>
          <w:kern w:val="0"/>
          <w:lang w:val="es-ES"/>
          <w14:ligatures w14:val="none"/>
        </w:rPr>
        <w:br/>
      </w:r>
      <w:r w:rsidRPr="009257E7">
        <w:rPr>
          <w:rFonts w:ascii="Times New Roman" w:eastAsia="Times New Roman" w:hAnsi="Times New Roman" w:cs="Times New Roman"/>
          <w:b/>
          <w:bCs/>
          <w:kern w:val="0"/>
          <w:lang w:val="es-ES"/>
          <w14:ligatures w14:val="none"/>
        </w:rPr>
        <w:t>2.4</w:t>
      </w:r>
      <w:r w:rsidRPr="009257E7">
        <w:rPr>
          <w:rFonts w:ascii="Times New Roman" w:eastAsia="Times New Roman" w:hAnsi="Times New Roman" w:cs="Times New Roman"/>
          <w:kern w:val="0"/>
          <w:lang w:val="es-ES"/>
          <w14:ligatures w14:val="none"/>
        </w:rPr>
        <w:t xml:space="preserve"> La “democracia” administrada por la propiedad “privada” mantiene las castas identitarias y el control elitista</w:t>
      </w:r>
      <w:r w:rsidRPr="009257E7">
        <w:rPr>
          <w:rFonts w:ascii="Times New Roman" w:eastAsia="Times New Roman" w:hAnsi="Times New Roman" w:cs="Times New Roman"/>
          <w:kern w:val="0"/>
          <w:lang w:val="es-ES"/>
          <w14:ligatures w14:val="none"/>
        </w:rPr>
        <w:br/>
      </w:r>
      <w:r w:rsidRPr="009257E7">
        <w:rPr>
          <w:rFonts w:ascii="Times New Roman" w:eastAsia="Times New Roman" w:hAnsi="Times New Roman" w:cs="Times New Roman"/>
          <w:b/>
          <w:bCs/>
          <w:kern w:val="0"/>
          <w:lang w:val="es-ES"/>
          <w14:ligatures w14:val="none"/>
        </w:rPr>
        <w:t>2.5</w:t>
      </w:r>
      <w:r w:rsidRPr="009257E7">
        <w:rPr>
          <w:rFonts w:ascii="Times New Roman" w:eastAsia="Times New Roman" w:hAnsi="Times New Roman" w:cs="Times New Roman"/>
          <w:kern w:val="0"/>
          <w:lang w:val="es-ES"/>
          <w14:ligatures w14:val="none"/>
        </w:rPr>
        <w:t xml:space="preserve"> El capitalismo racial, la ideología neoliberal y la violencia legalizada concentran, magnifican e imponen el poder público de las élites privadas</w:t>
      </w:r>
    </w:p>
    <w:p w14:paraId="78624324" w14:textId="77777777" w:rsidR="00042E3B" w:rsidRPr="009257E7" w:rsidRDefault="00042E3B" w:rsidP="00042E3B">
      <w:pPr>
        <w:spacing w:before="100" w:beforeAutospacing="1" w:after="100" w:afterAutospacing="1" w:line="240" w:lineRule="auto"/>
        <w:outlineLvl w:val="2"/>
        <w:rPr>
          <w:rFonts w:ascii="Times New Roman" w:eastAsia="Times New Roman" w:hAnsi="Times New Roman" w:cs="Times New Roman"/>
          <w:b/>
          <w:bCs/>
          <w:kern w:val="0"/>
          <w:lang w:val="es-ES"/>
          <w14:ligatures w14:val="none"/>
        </w:rPr>
      </w:pPr>
      <w:r w:rsidRPr="009257E7">
        <w:rPr>
          <w:rFonts w:ascii="Times New Roman" w:eastAsia="Times New Roman" w:hAnsi="Times New Roman" w:cs="Times New Roman"/>
          <w:b/>
          <w:bCs/>
          <w:kern w:val="0"/>
          <w:lang w:val="es-ES"/>
          <w14:ligatures w14:val="none"/>
        </w:rPr>
        <w:t>Capítulo 3: Comprender el derecho en la educación y la práctica como industria</w:t>
      </w:r>
    </w:p>
    <w:p w14:paraId="6CB6BC81" w14:textId="775C2D1F" w:rsidR="00042E3B" w:rsidRPr="009257E7" w:rsidRDefault="00042E3B" w:rsidP="00042E3B">
      <w:pPr>
        <w:spacing w:before="100" w:beforeAutospacing="1" w:after="100" w:afterAutospacing="1" w:line="240" w:lineRule="auto"/>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b/>
          <w:bCs/>
          <w:kern w:val="0"/>
          <w:lang w:val="es-ES"/>
          <w14:ligatures w14:val="none"/>
        </w:rPr>
        <w:t>3.1</w:t>
      </w:r>
      <w:r w:rsidRPr="009257E7">
        <w:rPr>
          <w:rFonts w:ascii="Times New Roman" w:eastAsia="Times New Roman" w:hAnsi="Times New Roman" w:cs="Times New Roman"/>
          <w:kern w:val="0"/>
          <w:lang w:val="es-ES"/>
          <w14:ligatures w14:val="none"/>
        </w:rPr>
        <w:t xml:space="preserve"> El derecho como industria persigue las ganancias por encima de la justicia</w:t>
      </w:r>
      <w:r w:rsidRPr="009257E7">
        <w:rPr>
          <w:rFonts w:ascii="Times New Roman" w:eastAsia="Times New Roman" w:hAnsi="Times New Roman" w:cs="Times New Roman"/>
          <w:kern w:val="0"/>
          <w:lang w:val="es-ES"/>
          <w14:ligatures w14:val="none"/>
        </w:rPr>
        <w:br/>
      </w:r>
      <w:r w:rsidRPr="009257E7">
        <w:rPr>
          <w:rFonts w:ascii="Times New Roman" w:eastAsia="Times New Roman" w:hAnsi="Times New Roman" w:cs="Times New Roman"/>
          <w:b/>
          <w:bCs/>
          <w:kern w:val="0"/>
          <w:lang w:val="es-ES"/>
          <w14:ligatures w14:val="none"/>
        </w:rPr>
        <w:t>3.2</w:t>
      </w:r>
      <w:r w:rsidRPr="009257E7">
        <w:rPr>
          <w:rFonts w:ascii="Times New Roman" w:eastAsia="Times New Roman" w:hAnsi="Times New Roman" w:cs="Times New Roman"/>
          <w:kern w:val="0"/>
          <w:lang w:val="es-ES"/>
          <w14:ligatures w14:val="none"/>
        </w:rPr>
        <w:t xml:space="preserve"> La educación jurídica esposa a la industria para inculcar conformidad desde arriba</w:t>
      </w:r>
      <w:r w:rsidRPr="009257E7">
        <w:rPr>
          <w:rFonts w:ascii="Times New Roman" w:eastAsia="Times New Roman" w:hAnsi="Times New Roman" w:cs="Times New Roman"/>
          <w:kern w:val="0"/>
          <w:lang w:val="es-ES"/>
          <w14:ligatures w14:val="none"/>
        </w:rPr>
        <w:br/>
      </w:r>
      <w:r w:rsidRPr="009257E7">
        <w:rPr>
          <w:rFonts w:ascii="Times New Roman" w:eastAsia="Times New Roman" w:hAnsi="Times New Roman" w:cs="Times New Roman"/>
          <w:b/>
          <w:bCs/>
          <w:kern w:val="0"/>
          <w:lang w:val="es-ES"/>
          <w14:ligatures w14:val="none"/>
        </w:rPr>
        <w:t>3.3</w:t>
      </w:r>
      <w:r w:rsidRPr="009257E7">
        <w:rPr>
          <w:rFonts w:ascii="Times New Roman" w:eastAsia="Times New Roman" w:hAnsi="Times New Roman" w:cs="Times New Roman"/>
          <w:kern w:val="0"/>
          <w:lang w:val="es-ES"/>
          <w14:ligatures w14:val="none"/>
        </w:rPr>
        <w:t xml:space="preserve"> El formalismo jurídico </w:t>
      </w:r>
      <w:r w:rsidR="005515DD" w:rsidRPr="009257E7">
        <w:rPr>
          <w:rFonts w:ascii="Times New Roman" w:eastAsia="Times New Roman" w:hAnsi="Times New Roman" w:cs="Times New Roman"/>
          <w:kern w:val="0"/>
          <w:lang w:val="es-ES"/>
          <w14:ligatures w14:val="none"/>
        </w:rPr>
        <w:t>ciega</w:t>
      </w:r>
      <w:r w:rsidRPr="009257E7">
        <w:rPr>
          <w:rFonts w:ascii="Times New Roman" w:eastAsia="Times New Roman" w:hAnsi="Times New Roman" w:cs="Times New Roman"/>
          <w:kern w:val="0"/>
          <w:lang w:val="es-ES"/>
          <w14:ligatures w14:val="none"/>
        </w:rPr>
        <w:t xml:space="preserve"> el análisis de forma selectiva para ocultar la injusticia sistémica en operación</w:t>
      </w:r>
      <w:r w:rsidRPr="009257E7">
        <w:rPr>
          <w:rFonts w:ascii="Times New Roman" w:eastAsia="Times New Roman" w:hAnsi="Times New Roman" w:cs="Times New Roman"/>
          <w:kern w:val="0"/>
          <w:lang w:val="es-ES"/>
          <w14:ligatures w14:val="none"/>
        </w:rPr>
        <w:br/>
      </w:r>
      <w:r w:rsidRPr="009257E7">
        <w:rPr>
          <w:rFonts w:ascii="Times New Roman" w:eastAsia="Times New Roman" w:hAnsi="Times New Roman" w:cs="Times New Roman"/>
          <w:b/>
          <w:bCs/>
          <w:kern w:val="0"/>
          <w:lang w:val="es-ES"/>
          <w14:ligatures w14:val="none"/>
        </w:rPr>
        <w:t>3.4</w:t>
      </w:r>
      <w:r w:rsidRPr="009257E7">
        <w:rPr>
          <w:rFonts w:ascii="Times New Roman" w:eastAsia="Times New Roman" w:hAnsi="Times New Roman" w:cs="Times New Roman"/>
          <w:kern w:val="0"/>
          <w:lang w:val="es-ES"/>
          <w14:ligatures w14:val="none"/>
        </w:rPr>
        <w:t xml:space="preserve"> El individualismo jurídico —un formalismo clave— atomiza el derecho y desajusta los problemas y las soluciones</w:t>
      </w:r>
      <w:r w:rsidRPr="009257E7">
        <w:rPr>
          <w:rFonts w:ascii="Times New Roman" w:eastAsia="Times New Roman" w:hAnsi="Times New Roman" w:cs="Times New Roman"/>
          <w:kern w:val="0"/>
          <w:lang w:val="es-ES"/>
          <w14:ligatures w14:val="none"/>
        </w:rPr>
        <w:br/>
      </w:r>
      <w:r w:rsidRPr="009257E7">
        <w:rPr>
          <w:rFonts w:ascii="Times New Roman" w:eastAsia="Times New Roman" w:hAnsi="Times New Roman" w:cs="Times New Roman"/>
          <w:b/>
          <w:bCs/>
          <w:kern w:val="0"/>
          <w:lang w:val="es-ES"/>
          <w14:ligatures w14:val="none"/>
        </w:rPr>
        <w:t>3.5</w:t>
      </w:r>
      <w:r w:rsidRPr="009257E7">
        <w:rPr>
          <w:rFonts w:ascii="Times New Roman" w:eastAsia="Times New Roman" w:hAnsi="Times New Roman" w:cs="Times New Roman"/>
          <w:kern w:val="0"/>
          <w:lang w:val="es-ES"/>
          <w14:ligatures w14:val="none"/>
        </w:rPr>
        <w:t xml:space="preserve"> La ética jurídica enseña e impone valores, esposas, vendas y jerarquías de la industria</w:t>
      </w:r>
    </w:p>
    <w:p w14:paraId="396A8771" w14:textId="77777777" w:rsidR="00042E3B" w:rsidRPr="009257E7" w:rsidRDefault="00042E3B" w:rsidP="00042E3B">
      <w:pPr>
        <w:spacing w:before="100" w:beforeAutospacing="1" w:after="100" w:afterAutospacing="1" w:line="240" w:lineRule="auto"/>
        <w:outlineLvl w:val="1"/>
        <w:rPr>
          <w:rFonts w:ascii="Times New Roman" w:eastAsia="Times New Roman" w:hAnsi="Times New Roman" w:cs="Times New Roman"/>
          <w:b/>
          <w:bCs/>
          <w:kern w:val="0"/>
          <w:lang w:val="es-ES"/>
          <w14:ligatures w14:val="none"/>
        </w:rPr>
      </w:pPr>
      <w:r w:rsidRPr="009257E7">
        <w:rPr>
          <w:rFonts w:ascii="Times New Roman" w:eastAsia="Times New Roman" w:hAnsi="Times New Roman" w:cs="Times New Roman"/>
          <w:b/>
          <w:bCs/>
          <w:kern w:val="0"/>
          <w:lang w:val="es-ES"/>
          <w14:ligatures w14:val="none"/>
        </w:rPr>
        <w:t>PARTE B</w:t>
      </w:r>
    </w:p>
    <w:p w14:paraId="46DAC727" w14:textId="77777777" w:rsidR="00042E3B" w:rsidRPr="009257E7" w:rsidRDefault="00042E3B" w:rsidP="00042E3B">
      <w:pPr>
        <w:spacing w:before="100" w:beforeAutospacing="1" w:after="100" w:afterAutospacing="1" w:line="240" w:lineRule="auto"/>
        <w:outlineLvl w:val="1"/>
        <w:rPr>
          <w:rFonts w:ascii="Times New Roman" w:eastAsia="Times New Roman" w:hAnsi="Times New Roman" w:cs="Times New Roman"/>
          <w:b/>
          <w:bCs/>
          <w:kern w:val="0"/>
          <w:lang w:val="es-ES"/>
          <w14:ligatures w14:val="none"/>
        </w:rPr>
      </w:pPr>
      <w:r w:rsidRPr="009257E7">
        <w:rPr>
          <w:rFonts w:ascii="Times New Roman" w:eastAsia="Times New Roman" w:hAnsi="Times New Roman" w:cs="Times New Roman"/>
          <w:b/>
          <w:bCs/>
          <w:kern w:val="0"/>
          <w:lang w:val="es-ES"/>
          <w14:ligatures w14:val="none"/>
        </w:rPr>
        <w:lastRenderedPageBreak/>
        <w:t>CONOCIMIENTO CRÍTICO Y ACCIONES COLABORATIVAS:</w:t>
      </w:r>
    </w:p>
    <w:p w14:paraId="5216F97C" w14:textId="77777777" w:rsidR="00042E3B" w:rsidRPr="009257E7" w:rsidRDefault="00042E3B" w:rsidP="00042E3B">
      <w:pPr>
        <w:spacing w:before="100" w:beforeAutospacing="1" w:after="100" w:afterAutospacing="1" w:line="240" w:lineRule="auto"/>
        <w:outlineLvl w:val="1"/>
        <w:rPr>
          <w:rFonts w:ascii="Times New Roman" w:eastAsia="Times New Roman" w:hAnsi="Times New Roman" w:cs="Times New Roman"/>
          <w:b/>
          <w:bCs/>
          <w:kern w:val="0"/>
          <w:lang w:val="es-ES"/>
          <w14:ligatures w14:val="none"/>
        </w:rPr>
      </w:pPr>
      <w:r w:rsidRPr="009257E7">
        <w:rPr>
          <w:rFonts w:ascii="Times New Roman" w:eastAsia="Times New Roman" w:hAnsi="Times New Roman" w:cs="Times New Roman"/>
          <w:b/>
          <w:bCs/>
          <w:kern w:val="0"/>
          <w:lang w:val="es-ES"/>
          <w14:ligatures w14:val="none"/>
        </w:rPr>
        <w:t>MEDIOS Y FORMAS PARA LOGRAR PROGRESO SISTÉMICO</w:t>
      </w:r>
    </w:p>
    <w:p w14:paraId="566DED7A" w14:textId="77777777" w:rsidR="00042E3B" w:rsidRPr="009257E7" w:rsidRDefault="00042E3B" w:rsidP="00042E3B">
      <w:pPr>
        <w:spacing w:before="100" w:beforeAutospacing="1" w:after="100" w:afterAutospacing="1" w:line="240" w:lineRule="auto"/>
        <w:outlineLvl w:val="2"/>
        <w:rPr>
          <w:rFonts w:ascii="Times New Roman" w:eastAsia="Times New Roman" w:hAnsi="Times New Roman" w:cs="Times New Roman"/>
          <w:b/>
          <w:bCs/>
          <w:kern w:val="0"/>
          <w:lang w:val="es-ES"/>
          <w14:ligatures w14:val="none"/>
        </w:rPr>
      </w:pPr>
      <w:r w:rsidRPr="009257E7">
        <w:rPr>
          <w:rFonts w:ascii="Times New Roman" w:eastAsia="Times New Roman" w:hAnsi="Times New Roman" w:cs="Times New Roman"/>
          <w:b/>
          <w:bCs/>
          <w:kern w:val="0"/>
          <w:lang w:val="es-ES"/>
          <w14:ligatures w14:val="none"/>
        </w:rPr>
        <w:t xml:space="preserve">Capítulo 4: Confrontar los sistemas de casta para construir justicia </w:t>
      </w:r>
      <w:proofErr w:type="spellStart"/>
      <w:r w:rsidRPr="009257E7">
        <w:rPr>
          <w:rFonts w:ascii="Times New Roman" w:eastAsia="Times New Roman" w:hAnsi="Times New Roman" w:cs="Times New Roman"/>
          <w:b/>
          <w:bCs/>
          <w:kern w:val="0"/>
          <w:lang w:val="es-ES"/>
          <w14:ligatures w14:val="none"/>
        </w:rPr>
        <w:t>antisubordinación</w:t>
      </w:r>
      <w:proofErr w:type="spellEnd"/>
    </w:p>
    <w:p w14:paraId="523C3C95" w14:textId="61F5653E" w:rsidR="00042E3B" w:rsidRPr="009257E7" w:rsidRDefault="00042E3B" w:rsidP="00042E3B">
      <w:pPr>
        <w:spacing w:before="100" w:beforeAutospacing="1" w:after="100" w:afterAutospacing="1" w:line="240" w:lineRule="auto"/>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b/>
          <w:bCs/>
          <w:kern w:val="0"/>
          <w:lang w:val="es-ES"/>
          <w14:ligatures w14:val="none"/>
        </w:rPr>
        <w:t>4.1</w:t>
      </w:r>
      <w:r w:rsidRPr="009257E7">
        <w:rPr>
          <w:rFonts w:ascii="Times New Roman" w:eastAsia="Times New Roman" w:hAnsi="Times New Roman" w:cs="Times New Roman"/>
          <w:kern w:val="0"/>
          <w:lang w:val="es-ES"/>
          <w14:ligatures w14:val="none"/>
        </w:rPr>
        <w:t xml:space="preserve"> El derecho distribuye y normaliza el privilegio y la subordinación privado-públicos</w:t>
      </w:r>
      <w:r w:rsidRPr="009257E7">
        <w:rPr>
          <w:rFonts w:ascii="Times New Roman" w:eastAsia="Times New Roman" w:hAnsi="Times New Roman" w:cs="Times New Roman"/>
          <w:kern w:val="0"/>
          <w:lang w:val="es-ES"/>
          <w14:ligatures w14:val="none"/>
        </w:rPr>
        <w:br/>
      </w:r>
      <w:r w:rsidRPr="009257E7">
        <w:rPr>
          <w:rFonts w:ascii="Times New Roman" w:eastAsia="Times New Roman" w:hAnsi="Times New Roman" w:cs="Times New Roman"/>
          <w:b/>
          <w:bCs/>
          <w:kern w:val="0"/>
          <w:lang w:val="es-ES"/>
          <w14:ligatures w14:val="none"/>
        </w:rPr>
        <w:t>4.2</w:t>
      </w:r>
      <w:r w:rsidRPr="009257E7">
        <w:rPr>
          <w:rFonts w:ascii="Times New Roman" w:eastAsia="Times New Roman" w:hAnsi="Times New Roman" w:cs="Times New Roman"/>
          <w:kern w:val="0"/>
          <w:lang w:val="es-ES"/>
          <w14:ligatures w14:val="none"/>
        </w:rPr>
        <w:t xml:space="preserve"> Las identidades sociales todavía importan en la toma de decisiones jurídicas</w:t>
      </w:r>
      <w:r w:rsidRPr="009257E7">
        <w:rPr>
          <w:rFonts w:ascii="Times New Roman" w:eastAsia="Times New Roman" w:hAnsi="Times New Roman" w:cs="Times New Roman"/>
          <w:kern w:val="0"/>
          <w:lang w:val="es-ES"/>
          <w14:ligatures w14:val="none"/>
        </w:rPr>
        <w:br/>
      </w:r>
      <w:r w:rsidRPr="009257E7">
        <w:rPr>
          <w:rFonts w:ascii="Times New Roman" w:eastAsia="Times New Roman" w:hAnsi="Times New Roman" w:cs="Times New Roman"/>
          <w:b/>
          <w:bCs/>
          <w:kern w:val="0"/>
          <w:lang w:val="es-ES"/>
          <w14:ligatures w14:val="none"/>
        </w:rPr>
        <w:t>4.3</w:t>
      </w:r>
      <w:r w:rsidRPr="009257E7">
        <w:rPr>
          <w:rFonts w:ascii="Times New Roman" w:eastAsia="Times New Roman" w:hAnsi="Times New Roman" w:cs="Times New Roman"/>
          <w:kern w:val="0"/>
          <w:lang w:val="es-ES"/>
          <w14:ligatures w14:val="none"/>
        </w:rPr>
        <w:t xml:space="preserve"> El </w:t>
      </w:r>
      <w:r w:rsidR="009103D7" w:rsidRPr="009257E7">
        <w:rPr>
          <w:rFonts w:ascii="Times New Roman" w:eastAsia="Times New Roman" w:hAnsi="Times New Roman" w:cs="Times New Roman"/>
          <w:kern w:val="0"/>
          <w:lang w:val="es-ES"/>
          <w14:ligatures w14:val="none"/>
        </w:rPr>
        <w:t xml:space="preserve">daltonismo racial </w:t>
      </w:r>
      <w:r w:rsidRPr="009257E7">
        <w:rPr>
          <w:rFonts w:ascii="Times New Roman" w:eastAsia="Times New Roman" w:hAnsi="Times New Roman" w:cs="Times New Roman"/>
          <w:kern w:val="0"/>
          <w:lang w:val="es-ES"/>
          <w14:ligatures w14:val="none"/>
        </w:rPr>
        <w:t xml:space="preserve"> </w:t>
      </w:r>
      <w:proofErr w:type="spellStart"/>
      <w:r w:rsidRPr="009257E7">
        <w:rPr>
          <w:rFonts w:ascii="Times New Roman" w:eastAsia="Times New Roman" w:hAnsi="Times New Roman" w:cs="Times New Roman"/>
          <w:kern w:val="0"/>
          <w:lang w:val="es-ES"/>
          <w14:ligatures w14:val="none"/>
        </w:rPr>
        <w:t>racial</w:t>
      </w:r>
      <w:proofErr w:type="spellEnd"/>
      <w:r w:rsidRPr="009257E7">
        <w:rPr>
          <w:rFonts w:ascii="Times New Roman" w:eastAsia="Times New Roman" w:hAnsi="Times New Roman" w:cs="Times New Roman"/>
          <w:kern w:val="0"/>
          <w:lang w:val="es-ES"/>
          <w14:ligatures w14:val="none"/>
        </w:rPr>
        <w:t xml:space="preserve"> es una ficción racista y un mito desde arriba</w:t>
      </w:r>
      <w:r w:rsidRPr="009257E7">
        <w:rPr>
          <w:rFonts w:ascii="Times New Roman" w:eastAsia="Times New Roman" w:hAnsi="Times New Roman" w:cs="Times New Roman"/>
          <w:kern w:val="0"/>
          <w:lang w:val="es-ES"/>
          <w14:ligatures w14:val="none"/>
        </w:rPr>
        <w:br/>
      </w:r>
      <w:r w:rsidRPr="009257E7">
        <w:rPr>
          <w:rFonts w:ascii="Times New Roman" w:eastAsia="Times New Roman" w:hAnsi="Times New Roman" w:cs="Times New Roman"/>
          <w:b/>
          <w:bCs/>
          <w:kern w:val="0"/>
          <w:lang w:val="es-ES"/>
          <w14:ligatures w14:val="none"/>
        </w:rPr>
        <w:t>4.4</w:t>
      </w:r>
      <w:r w:rsidRPr="009257E7">
        <w:rPr>
          <w:rFonts w:ascii="Times New Roman" w:eastAsia="Times New Roman" w:hAnsi="Times New Roman" w:cs="Times New Roman"/>
          <w:kern w:val="0"/>
          <w:lang w:val="es-ES"/>
          <w14:ligatures w14:val="none"/>
        </w:rPr>
        <w:t xml:space="preserve"> Invertir los guiones sistémicos: las identidades sociales como activos grupales para luchas de largo plazo</w:t>
      </w:r>
      <w:r w:rsidRPr="009257E7">
        <w:rPr>
          <w:rFonts w:ascii="Times New Roman" w:eastAsia="Times New Roman" w:hAnsi="Times New Roman" w:cs="Times New Roman"/>
          <w:kern w:val="0"/>
          <w:lang w:val="es-ES"/>
          <w14:ligatures w14:val="none"/>
        </w:rPr>
        <w:br/>
      </w:r>
      <w:r w:rsidRPr="009257E7">
        <w:rPr>
          <w:rFonts w:ascii="Times New Roman" w:eastAsia="Times New Roman" w:hAnsi="Times New Roman" w:cs="Times New Roman"/>
          <w:b/>
          <w:bCs/>
          <w:kern w:val="0"/>
          <w:lang w:val="es-ES"/>
          <w14:ligatures w14:val="none"/>
        </w:rPr>
        <w:t>4.5</w:t>
      </w:r>
      <w:r w:rsidRPr="009257E7">
        <w:rPr>
          <w:rFonts w:ascii="Times New Roman" w:eastAsia="Times New Roman" w:hAnsi="Times New Roman" w:cs="Times New Roman"/>
          <w:kern w:val="0"/>
          <w:lang w:val="es-ES"/>
          <w14:ligatures w14:val="none"/>
        </w:rPr>
        <w:t xml:space="preserve"> La solidaridad </w:t>
      </w:r>
      <w:proofErr w:type="spellStart"/>
      <w:r w:rsidRPr="009257E7">
        <w:rPr>
          <w:rFonts w:ascii="Times New Roman" w:eastAsia="Times New Roman" w:hAnsi="Times New Roman" w:cs="Times New Roman"/>
          <w:kern w:val="0"/>
          <w:lang w:val="es-ES"/>
          <w14:ligatures w14:val="none"/>
        </w:rPr>
        <w:t>antisubordinación</w:t>
      </w:r>
      <w:proofErr w:type="spellEnd"/>
      <w:r w:rsidRPr="009257E7">
        <w:rPr>
          <w:rFonts w:ascii="Times New Roman" w:eastAsia="Times New Roman" w:hAnsi="Times New Roman" w:cs="Times New Roman"/>
          <w:kern w:val="0"/>
          <w:lang w:val="es-ES"/>
          <w14:ligatures w14:val="none"/>
        </w:rPr>
        <w:t xml:space="preserve"> construye poder a través de múltiples tipos de diferencia</w:t>
      </w:r>
      <w:r w:rsidRPr="009257E7">
        <w:rPr>
          <w:rFonts w:ascii="Times New Roman" w:eastAsia="Times New Roman" w:hAnsi="Times New Roman" w:cs="Times New Roman"/>
          <w:kern w:val="0"/>
          <w:lang w:val="es-ES"/>
          <w14:ligatures w14:val="none"/>
        </w:rPr>
        <w:br/>
      </w:r>
      <w:r w:rsidRPr="009257E7">
        <w:rPr>
          <w:rFonts w:ascii="Times New Roman" w:eastAsia="Times New Roman" w:hAnsi="Times New Roman" w:cs="Times New Roman"/>
          <w:b/>
          <w:bCs/>
          <w:kern w:val="0"/>
          <w:lang w:val="es-ES"/>
          <w14:ligatures w14:val="none"/>
        </w:rPr>
        <w:t>4.6</w:t>
      </w:r>
      <w:r w:rsidRPr="009257E7">
        <w:rPr>
          <w:rFonts w:ascii="Times New Roman" w:eastAsia="Times New Roman" w:hAnsi="Times New Roman" w:cs="Times New Roman"/>
          <w:kern w:val="0"/>
          <w:lang w:val="es-ES"/>
          <w14:ligatures w14:val="none"/>
        </w:rPr>
        <w:t xml:space="preserve"> Usar el marco IGIP: identidades, grupos, intereses y poder</w:t>
      </w:r>
    </w:p>
    <w:p w14:paraId="6BED031B" w14:textId="3E4059BF" w:rsidR="00042E3B" w:rsidRPr="009257E7" w:rsidRDefault="00042E3B" w:rsidP="00042E3B">
      <w:pPr>
        <w:spacing w:before="100" w:beforeAutospacing="1" w:after="100" w:afterAutospacing="1" w:line="240" w:lineRule="auto"/>
        <w:outlineLvl w:val="2"/>
        <w:rPr>
          <w:rFonts w:ascii="Times New Roman" w:eastAsia="Times New Roman" w:hAnsi="Times New Roman" w:cs="Times New Roman"/>
          <w:b/>
          <w:bCs/>
          <w:kern w:val="0"/>
          <w:lang w:val="es-ES"/>
          <w14:ligatures w14:val="none"/>
        </w:rPr>
      </w:pPr>
      <w:r w:rsidRPr="009257E7">
        <w:rPr>
          <w:rFonts w:ascii="Times New Roman" w:eastAsia="Times New Roman" w:hAnsi="Times New Roman" w:cs="Times New Roman"/>
          <w:b/>
          <w:bCs/>
          <w:kern w:val="0"/>
          <w:lang w:val="es-ES"/>
          <w14:ligatures w14:val="none"/>
        </w:rPr>
        <w:t xml:space="preserve">Capítulo 5: </w:t>
      </w:r>
      <w:r w:rsidR="00547279" w:rsidRPr="009257E7">
        <w:rPr>
          <w:rFonts w:ascii="Times New Roman" w:eastAsia="Times New Roman" w:hAnsi="Times New Roman" w:cs="Times New Roman"/>
          <w:b/>
          <w:bCs/>
          <w:kern w:val="0"/>
          <w:lang w:val="es-ES"/>
          <w14:ligatures w14:val="none"/>
        </w:rPr>
        <w:t>Utiliz</w:t>
      </w:r>
      <w:r w:rsidRPr="009257E7">
        <w:rPr>
          <w:rFonts w:ascii="Times New Roman" w:eastAsia="Times New Roman" w:hAnsi="Times New Roman" w:cs="Times New Roman"/>
          <w:b/>
          <w:bCs/>
          <w:kern w:val="0"/>
          <w:lang w:val="es-ES"/>
          <w14:ligatures w14:val="none"/>
        </w:rPr>
        <w:t>ar el conocimiento crítico para apoyar luchas desde abajo</w:t>
      </w:r>
    </w:p>
    <w:p w14:paraId="7E9D20FC" w14:textId="135ABD64" w:rsidR="00042E3B" w:rsidRPr="009257E7" w:rsidRDefault="00042E3B" w:rsidP="00042E3B">
      <w:pPr>
        <w:spacing w:before="100" w:beforeAutospacing="1" w:after="100" w:afterAutospacing="1" w:line="240" w:lineRule="auto"/>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b/>
          <w:bCs/>
          <w:kern w:val="0"/>
          <w:lang w:val="es-ES"/>
          <w14:ligatures w14:val="none"/>
        </w:rPr>
        <w:t>5.1</w:t>
      </w:r>
      <w:r w:rsidRPr="009257E7">
        <w:rPr>
          <w:rFonts w:ascii="Times New Roman" w:eastAsia="Times New Roman" w:hAnsi="Times New Roman" w:cs="Times New Roman"/>
          <w:kern w:val="0"/>
          <w:lang w:val="es-ES"/>
          <w14:ligatures w14:val="none"/>
        </w:rPr>
        <w:t xml:space="preserve"> Les abogades apoyan a grupos organizados como “participantes recurrentes” para disputar premisas de fondo, reglas básicas y conceptos fundacionales</w:t>
      </w:r>
      <w:r w:rsidRPr="009257E7">
        <w:rPr>
          <w:rFonts w:ascii="Times New Roman" w:eastAsia="Times New Roman" w:hAnsi="Times New Roman" w:cs="Times New Roman"/>
          <w:kern w:val="0"/>
          <w:lang w:val="es-ES"/>
          <w14:ligatures w14:val="none"/>
        </w:rPr>
        <w:br/>
      </w:r>
      <w:r w:rsidRPr="009257E7">
        <w:rPr>
          <w:rFonts w:ascii="Times New Roman" w:eastAsia="Times New Roman" w:hAnsi="Times New Roman" w:cs="Times New Roman"/>
          <w:b/>
          <w:bCs/>
          <w:kern w:val="0"/>
          <w:lang w:val="es-ES"/>
          <w14:ligatures w14:val="none"/>
        </w:rPr>
        <w:t>5.2</w:t>
      </w:r>
      <w:r w:rsidRPr="009257E7">
        <w:rPr>
          <w:rFonts w:ascii="Times New Roman" w:eastAsia="Times New Roman" w:hAnsi="Times New Roman" w:cs="Times New Roman"/>
          <w:kern w:val="0"/>
          <w:lang w:val="es-ES"/>
          <w14:ligatures w14:val="none"/>
        </w:rPr>
        <w:t xml:space="preserve"> </w:t>
      </w:r>
      <w:r w:rsidR="004131CE" w:rsidRPr="009257E7">
        <w:rPr>
          <w:rFonts w:ascii="Times New Roman" w:eastAsia="Times New Roman" w:hAnsi="Times New Roman" w:cs="Times New Roman"/>
          <w:kern w:val="0"/>
          <w:lang w:val="es-ES"/>
          <w14:ligatures w14:val="none"/>
        </w:rPr>
        <w:t>El conocimiento colectivo desde abajo guía y ancla la abogacía</w:t>
      </w:r>
      <w:r w:rsidRPr="009257E7">
        <w:rPr>
          <w:rFonts w:ascii="Times New Roman" w:eastAsia="Times New Roman" w:hAnsi="Times New Roman" w:cs="Times New Roman"/>
          <w:kern w:val="0"/>
          <w:lang w:val="es-ES"/>
          <w14:ligatures w14:val="none"/>
        </w:rPr>
        <w:br/>
      </w:r>
      <w:r w:rsidRPr="009257E7">
        <w:rPr>
          <w:rFonts w:ascii="Times New Roman" w:eastAsia="Times New Roman" w:hAnsi="Times New Roman" w:cs="Times New Roman"/>
          <w:b/>
          <w:bCs/>
          <w:kern w:val="0"/>
          <w:lang w:val="es-ES"/>
          <w14:ligatures w14:val="none"/>
        </w:rPr>
        <w:t>5.3</w:t>
      </w:r>
      <w:r w:rsidRPr="009257E7">
        <w:rPr>
          <w:rFonts w:ascii="Times New Roman" w:eastAsia="Times New Roman" w:hAnsi="Times New Roman" w:cs="Times New Roman"/>
          <w:kern w:val="0"/>
          <w:lang w:val="es-ES"/>
          <w14:ligatures w14:val="none"/>
        </w:rPr>
        <w:t xml:space="preserve"> Las “escuelas” críticas y los “enfoques” de abogacía ofrecen </w:t>
      </w:r>
      <w:r w:rsidR="00A52FBE" w:rsidRPr="009257E7">
        <w:rPr>
          <w:rFonts w:ascii="Times New Roman" w:eastAsia="Times New Roman" w:hAnsi="Times New Roman" w:cs="Times New Roman"/>
          <w:kern w:val="0"/>
          <w:lang w:val="es-ES"/>
          <w14:ligatures w14:val="none"/>
        </w:rPr>
        <w:t>fuentes</w:t>
      </w:r>
      <w:r w:rsidRPr="009257E7">
        <w:rPr>
          <w:rFonts w:ascii="Times New Roman" w:eastAsia="Times New Roman" w:hAnsi="Times New Roman" w:cs="Times New Roman"/>
          <w:kern w:val="0"/>
          <w:lang w:val="es-ES"/>
          <w14:ligatures w14:val="none"/>
        </w:rPr>
        <w:t xml:space="preserve"> de conocimiento para grupos “diferentes” y sus abogades</w:t>
      </w:r>
      <w:r w:rsidRPr="009257E7">
        <w:rPr>
          <w:rFonts w:ascii="Times New Roman" w:eastAsia="Times New Roman" w:hAnsi="Times New Roman" w:cs="Times New Roman"/>
          <w:kern w:val="0"/>
          <w:lang w:val="es-ES"/>
          <w14:ligatures w14:val="none"/>
        </w:rPr>
        <w:br/>
      </w:r>
      <w:r w:rsidRPr="009257E7">
        <w:rPr>
          <w:rFonts w:ascii="Times New Roman" w:eastAsia="Times New Roman" w:hAnsi="Times New Roman" w:cs="Times New Roman"/>
          <w:b/>
          <w:bCs/>
          <w:kern w:val="0"/>
          <w:lang w:val="es-ES"/>
          <w14:ligatures w14:val="none"/>
        </w:rPr>
        <w:t>5.4</w:t>
      </w:r>
      <w:r w:rsidRPr="009257E7">
        <w:rPr>
          <w:rFonts w:ascii="Times New Roman" w:eastAsia="Times New Roman" w:hAnsi="Times New Roman" w:cs="Times New Roman"/>
          <w:kern w:val="0"/>
          <w:lang w:val="es-ES"/>
          <w14:ligatures w14:val="none"/>
        </w:rPr>
        <w:t xml:space="preserve"> La historia crítica y otras disciplinas pueden ayudar a les abogades a</w:t>
      </w:r>
      <w:r w:rsidR="00F3378B" w:rsidRPr="009257E7">
        <w:rPr>
          <w:rFonts w:ascii="Times New Roman" w:eastAsia="Times New Roman" w:hAnsi="Times New Roman" w:cs="Times New Roman"/>
          <w:kern w:val="0"/>
          <w:lang w:val="es-ES"/>
          <w14:ligatures w14:val="none"/>
        </w:rPr>
        <w:t xml:space="preserve"> desafiar los</w:t>
      </w:r>
      <w:r w:rsidRPr="009257E7">
        <w:rPr>
          <w:rFonts w:ascii="Times New Roman" w:eastAsia="Times New Roman" w:hAnsi="Times New Roman" w:cs="Times New Roman"/>
          <w:kern w:val="0"/>
          <w:lang w:val="es-ES"/>
          <w14:ligatures w14:val="none"/>
        </w:rPr>
        <w:t xml:space="preserve"> resultados sistémicos</w:t>
      </w:r>
      <w:r w:rsidRPr="009257E7">
        <w:rPr>
          <w:rFonts w:ascii="Times New Roman" w:eastAsia="Times New Roman" w:hAnsi="Times New Roman" w:cs="Times New Roman"/>
          <w:kern w:val="0"/>
          <w:lang w:val="es-ES"/>
          <w14:ligatures w14:val="none"/>
        </w:rPr>
        <w:br/>
      </w:r>
      <w:r w:rsidRPr="009257E7">
        <w:rPr>
          <w:rFonts w:ascii="Times New Roman" w:eastAsia="Times New Roman" w:hAnsi="Times New Roman" w:cs="Times New Roman"/>
          <w:b/>
          <w:bCs/>
          <w:kern w:val="0"/>
          <w:lang w:val="es-ES"/>
          <w14:ligatures w14:val="none"/>
        </w:rPr>
        <w:t>5.5</w:t>
      </w:r>
      <w:r w:rsidRPr="009257E7">
        <w:rPr>
          <w:rFonts w:ascii="Times New Roman" w:eastAsia="Times New Roman" w:hAnsi="Times New Roman" w:cs="Times New Roman"/>
          <w:kern w:val="0"/>
          <w:lang w:val="es-ES"/>
          <w14:ligatures w14:val="none"/>
        </w:rPr>
        <w:t xml:space="preserve"> Responder de forma inteligente: usar la mejora para la transformación</w:t>
      </w:r>
      <w:r w:rsidRPr="009257E7">
        <w:rPr>
          <w:rFonts w:ascii="Times New Roman" w:eastAsia="Times New Roman" w:hAnsi="Times New Roman" w:cs="Times New Roman"/>
          <w:kern w:val="0"/>
          <w:lang w:val="es-ES"/>
          <w14:ligatures w14:val="none"/>
        </w:rPr>
        <w:br/>
      </w:r>
      <w:r w:rsidRPr="009257E7">
        <w:rPr>
          <w:rFonts w:ascii="Times New Roman" w:eastAsia="Times New Roman" w:hAnsi="Times New Roman" w:cs="Times New Roman"/>
          <w:b/>
          <w:bCs/>
          <w:kern w:val="0"/>
          <w:lang w:val="es-ES"/>
          <w14:ligatures w14:val="none"/>
        </w:rPr>
        <w:t>5.6</w:t>
      </w:r>
      <w:r w:rsidRPr="009257E7">
        <w:rPr>
          <w:rFonts w:ascii="Times New Roman" w:eastAsia="Times New Roman" w:hAnsi="Times New Roman" w:cs="Times New Roman"/>
          <w:kern w:val="0"/>
          <w:lang w:val="es-ES"/>
          <w14:ligatures w14:val="none"/>
        </w:rPr>
        <w:t xml:space="preserve"> Las narrativas analíticas, la deconstrucción y la conciencia dual son puntos de partida para fortalecer la abogacía y los grupos</w:t>
      </w:r>
      <w:r w:rsidRPr="009257E7">
        <w:rPr>
          <w:rFonts w:ascii="Times New Roman" w:eastAsia="Times New Roman" w:hAnsi="Times New Roman" w:cs="Times New Roman"/>
          <w:kern w:val="0"/>
          <w:lang w:val="es-ES"/>
          <w14:ligatures w14:val="none"/>
        </w:rPr>
        <w:br/>
      </w:r>
      <w:r w:rsidRPr="009257E7">
        <w:rPr>
          <w:rFonts w:ascii="Times New Roman" w:eastAsia="Times New Roman" w:hAnsi="Times New Roman" w:cs="Times New Roman"/>
          <w:b/>
          <w:bCs/>
          <w:kern w:val="0"/>
          <w:lang w:val="es-ES"/>
          <w14:ligatures w14:val="none"/>
        </w:rPr>
        <w:t>5.7</w:t>
      </w:r>
      <w:r w:rsidRPr="009257E7">
        <w:rPr>
          <w:rFonts w:ascii="Times New Roman" w:eastAsia="Times New Roman" w:hAnsi="Times New Roman" w:cs="Times New Roman"/>
          <w:kern w:val="0"/>
          <w:lang w:val="es-ES"/>
          <w14:ligatures w14:val="none"/>
        </w:rPr>
        <w:t xml:space="preserve"> Transformar la abogacía ayuda a transformar la sociedad: poco a poco, año tras año</w:t>
      </w:r>
    </w:p>
    <w:p w14:paraId="77A3A0C9" w14:textId="77777777" w:rsidR="00041F56" w:rsidRPr="009257E7" w:rsidRDefault="00041F56" w:rsidP="00041F56">
      <w:pPr>
        <w:spacing w:before="100" w:beforeAutospacing="1" w:after="100" w:afterAutospacing="1" w:line="240" w:lineRule="auto"/>
        <w:outlineLvl w:val="2"/>
        <w:rPr>
          <w:rFonts w:ascii="Times New Roman" w:eastAsia="Times New Roman" w:hAnsi="Times New Roman" w:cs="Times New Roman"/>
          <w:b/>
          <w:bCs/>
          <w:kern w:val="0"/>
          <w:lang w:val="es-ES"/>
          <w14:ligatures w14:val="none"/>
        </w:rPr>
      </w:pPr>
      <w:r w:rsidRPr="009257E7">
        <w:rPr>
          <w:rFonts w:ascii="Times New Roman" w:eastAsia="Times New Roman" w:hAnsi="Times New Roman" w:cs="Times New Roman"/>
          <w:b/>
          <w:bCs/>
          <w:kern w:val="0"/>
          <w:lang w:val="es-ES"/>
          <w14:ligatures w14:val="none"/>
        </w:rPr>
        <w:t>Capítulo 6: El uso de objetivos de tres niveles en contextos y escenarios sistémicos</w:t>
      </w:r>
    </w:p>
    <w:p w14:paraId="5B5C29A4" w14:textId="77777777" w:rsidR="00041F56" w:rsidRPr="009257E7" w:rsidRDefault="00041F56" w:rsidP="00041F56">
      <w:pPr>
        <w:pStyle w:val="NormalWeb"/>
        <w:rPr>
          <w:lang w:val="es-ES"/>
        </w:rPr>
      </w:pPr>
      <w:r w:rsidRPr="009257E7">
        <w:rPr>
          <w:b/>
          <w:bCs/>
          <w:lang w:val="es-ES"/>
        </w:rPr>
        <w:t>6.1</w:t>
      </w:r>
      <w:r w:rsidRPr="009257E7">
        <w:rPr>
          <w:lang w:val="es-ES"/>
        </w:rPr>
        <w:t xml:space="preserve"> La abogacía sistémica se centra en los problemas sociales persistentes en contextos complejos</w:t>
      </w:r>
      <w:r w:rsidRPr="009257E7">
        <w:rPr>
          <w:lang w:val="es-ES"/>
        </w:rPr>
        <w:br/>
      </w:r>
      <w:r w:rsidRPr="009257E7">
        <w:rPr>
          <w:b/>
          <w:bCs/>
          <w:lang w:val="es-ES"/>
        </w:rPr>
        <w:t>6.2</w:t>
      </w:r>
      <w:r w:rsidRPr="009257E7">
        <w:rPr>
          <w:lang w:val="es-ES"/>
        </w:rPr>
        <w:t xml:space="preserve"> Los objetivos de tres niveles se orientan hacia tres escenarios recurrentes de abogacía</w:t>
      </w:r>
      <w:r w:rsidRPr="009257E7">
        <w:rPr>
          <w:lang w:val="es-ES"/>
        </w:rPr>
        <w:br/>
      </w:r>
      <w:r w:rsidRPr="009257E7">
        <w:rPr>
          <w:b/>
          <w:bCs/>
          <w:lang w:val="es-ES"/>
        </w:rPr>
        <w:t>6.3</w:t>
      </w:r>
      <w:r w:rsidRPr="009257E7">
        <w:rPr>
          <w:lang w:val="es-ES"/>
        </w:rPr>
        <w:t xml:space="preserve"> Los objetivos de segundo nivel combinan la persuasión y la presión para generar y ejercer poder</w:t>
      </w:r>
      <w:r w:rsidRPr="009257E7">
        <w:rPr>
          <w:lang w:val="es-ES"/>
        </w:rPr>
        <w:br/>
      </w:r>
      <w:r w:rsidRPr="009257E7">
        <w:rPr>
          <w:b/>
          <w:bCs/>
          <w:lang w:val="es-ES"/>
        </w:rPr>
        <w:t>6.4</w:t>
      </w:r>
      <w:r w:rsidRPr="009257E7">
        <w:rPr>
          <w:lang w:val="es-ES"/>
        </w:rPr>
        <w:t xml:space="preserve"> Los objetivos de tercer nivel conectan los hechos micro y macro para transformar la conciencia y las culturas</w:t>
      </w:r>
      <w:r w:rsidRPr="009257E7">
        <w:rPr>
          <w:b/>
          <w:bCs/>
          <w:lang w:val="es-ES"/>
        </w:rPr>
        <w:t xml:space="preserve"> </w:t>
      </w:r>
      <w:r w:rsidRPr="009257E7">
        <w:rPr>
          <w:b/>
          <w:bCs/>
          <w:lang w:val="es-ES"/>
        </w:rPr>
        <w:br/>
        <w:t>6.5</w:t>
      </w:r>
      <w:r w:rsidRPr="009257E7">
        <w:rPr>
          <w:lang w:val="es-ES"/>
        </w:rPr>
        <w:t xml:space="preserve"> Les abogades sistémiques combinan herramientas tradicionales y críticas para lograr progreso de tres niveles</w:t>
      </w:r>
    </w:p>
    <w:p w14:paraId="3908AD21" w14:textId="77777777" w:rsidR="00042E3B" w:rsidRPr="009257E7" w:rsidRDefault="00042E3B" w:rsidP="00042E3B">
      <w:pPr>
        <w:spacing w:before="100" w:beforeAutospacing="1" w:after="100" w:afterAutospacing="1" w:line="240" w:lineRule="auto"/>
        <w:outlineLvl w:val="2"/>
        <w:rPr>
          <w:rFonts w:ascii="Times New Roman" w:eastAsia="Times New Roman" w:hAnsi="Times New Roman" w:cs="Times New Roman"/>
          <w:b/>
          <w:bCs/>
          <w:kern w:val="0"/>
          <w:lang w:val="es-ES"/>
          <w14:ligatures w14:val="none"/>
        </w:rPr>
      </w:pPr>
      <w:r w:rsidRPr="009257E7">
        <w:rPr>
          <w:rFonts w:ascii="Times New Roman" w:eastAsia="Times New Roman" w:hAnsi="Times New Roman" w:cs="Times New Roman"/>
          <w:b/>
          <w:bCs/>
          <w:kern w:val="0"/>
          <w:lang w:val="es-ES"/>
          <w14:ligatures w14:val="none"/>
        </w:rPr>
        <w:t>Capítulo 7: La colaboración construye mejores equipos, proyectos y coaliciones</w:t>
      </w:r>
    </w:p>
    <w:p w14:paraId="1CE6ABF3" w14:textId="77777777" w:rsidR="00042E3B" w:rsidRPr="009257E7" w:rsidRDefault="00042E3B" w:rsidP="00042E3B">
      <w:pPr>
        <w:spacing w:before="100" w:beforeAutospacing="1" w:after="100" w:afterAutospacing="1" w:line="240" w:lineRule="auto"/>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b/>
          <w:bCs/>
          <w:kern w:val="0"/>
          <w:lang w:val="es-ES"/>
          <w14:ligatures w14:val="none"/>
        </w:rPr>
        <w:t>7.1</w:t>
      </w:r>
      <w:r w:rsidRPr="009257E7">
        <w:rPr>
          <w:rFonts w:ascii="Times New Roman" w:eastAsia="Times New Roman" w:hAnsi="Times New Roman" w:cs="Times New Roman"/>
          <w:kern w:val="0"/>
          <w:lang w:val="es-ES"/>
          <w14:ligatures w14:val="none"/>
        </w:rPr>
        <w:t xml:space="preserve"> Los equipos y el trabajo en equipo amplían la capacidad de les abogades sistémiques</w:t>
      </w:r>
      <w:r w:rsidRPr="009257E7">
        <w:rPr>
          <w:rFonts w:ascii="Times New Roman" w:eastAsia="Times New Roman" w:hAnsi="Times New Roman" w:cs="Times New Roman"/>
          <w:kern w:val="0"/>
          <w:lang w:val="es-ES"/>
          <w14:ligatures w14:val="none"/>
        </w:rPr>
        <w:br/>
      </w:r>
      <w:r w:rsidRPr="009257E7">
        <w:rPr>
          <w:rFonts w:ascii="Times New Roman" w:eastAsia="Times New Roman" w:hAnsi="Times New Roman" w:cs="Times New Roman"/>
          <w:b/>
          <w:bCs/>
          <w:kern w:val="0"/>
          <w:lang w:val="es-ES"/>
          <w14:ligatures w14:val="none"/>
        </w:rPr>
        <w:t>7.2</w:t>
      </w:r>
      <w:r w:rsidRPr="009257E7">
        <w:rPr>
          <w:rFonts w:ascii="Times New Roman" w:eastAsia="Times New Roman" w:hAnsi="Times New Roman" w:cs="Times New Roman"/>
          <w:kern w:val="0"/>
          <w:lang w:val="es-ES"/>
          <w14:ligatures w14:val="none"/>
        </w:rPr>
        <w:t xml:space="preserve"> El profesionalismo colaborativo y las coaliciones críticas fortalecen los proyectos de abogacía</w:t>
      </w:r>
      <w:r w:rsidRPr="009257E7">
        <w:rPr>
          <w:rFonts w:ascii="Times New Roman" w:eastAsia="Times New Roman" w:hAnsi="Times New Roman" w:cs="Times New Roman"/>
          <w:kern w:val="0"/>
          <w:lang w:val="es-ES"/>
          <w14:ligatures w14:val="none"/>
        </w:rPr>
        <w:br/>
      </w:r>
      <w:r w:rsidRPr="009257E7">
        <w:rPr>
          <w:rFonts w:ascii="Times New Roman" w:eastAsia="Times New Roman" w:hAnsi="Times New Roman" w:cs="Times New Roman"/>
          <w:b/>
          <w:bCs/>
          <w:kern w:val="0"/>
          <w:lang w:val="es-ES"/>
          <w14:ligatures w14:val="none"/>
        </w:rPr>
        <w:t>7.3</w:t>
      </w:r>
      <w:r w:rsidRPr="009257E7">
        <w:rPr>
          <w:rFonts w:ascii="Times New Roman" w:eastAsia="Times New Roman" w:hAnsi="Times New Roman" w:cs="Times New Roman"/>
          <w:kern w:val="0"/>
          <w:lang w:val="es-ES"/>
          <w14:ligatures w14:val="none"/>
        </w:rPr>
        <w:t xml:space="preserve"> Trazar el proceso y los componentes del desarrollo de proyectos</w:t>
      </w:r>
      <w:r w:rsidRPr="009257E7">
        <w:rPr>
          <w:rFonts w:ascii="Times New Roman" w:eastAsia="Times New Roman" w:hAnsi="Times New Roman" w:cs="Times New Roman"/>
          <w:kern w:val="0"/>
          <w:lang w:val="es-ES"/>
          <w14:ligatures w14:val="none"/>
        </w:rPr>
        <w:br/>
      </w:r>
      <w:r w:rsidRPr="009257E7">
        <w:rPr>
          <w:rFonts w:ascii="Times New Roman" w:eastAsia="Times New Roman" w:hAnsi="Times New Roman" w:cs="Times New Roman"/>
          <w:b/>
          <w:bCs/>
          <w:kern w:val="0"/>
          <w:lang w:val="es-ES"/>
          <w14:ligatures w14:val="none"/>
        </w:rPr>
        <w:lastRenderedPageBreak/>
        <w:t>7.4</w:t>
      </w:r>
      <w:r w:rsidRPr="009257E7">
        <w:rPr>
          <w:rFonts w:ascii="Times New Roman" w:eastAsia="Times New Roman" w:hAnsi="Times New Roman" w:cs="Times New Roman"/>
          <w:kern w:val="0"/>
          <w:lang w:val="es-ES"/>
          <w14:ligatures w14:val="none"/>
        </w:rPr>
        <w:t xml:space="preserve"> Los derechos son importantes para la resistencia o la mejora, pero insuficientes para la transformación</w:t>
      </w:r>
      <w:r w:rsidRPr="009257E7">
        <w:rPr>
          <w:rFonts w:ascii="Times New Roman" w:eastAsia="Times New Roman" w:hAnsi="Times New Roman" w:cs="Times New Roman"/>
          <w:kern w:val="0"/>
          <w:lang w:val="es-ES"/>
          <w14:ligatures w14:val="none"/>
        </w:rPr>
        <w:br/>
      </w:r>
      <w:r w:rsidRPr="009257E7">
        <w:rPr>
          <w:rFonts w:ascii="Times New Roman" w:eastAsia="Times New Roman" w:hAnsi="Times New Roman" w:cs="Times New Roman"/>
          <w:b/>
          <w:bCs/>
          <w:kern w:val="0"/>
          <w:lang w:val="es-ES"/>
          <w14:ligatures w14:val="none"/>
        </w:rPr>
        <w:t>7.5</w:t>
      </w:r>
      <w:r w:rsidRPr="009257E7">
        <w:rPr>
          <w:rFonts w:ascii="Times New Roman" w:eastAsia="Times New Roman" w:hAnsi="Times New Roman" w:cs="Times New Roman"/>
          <w:kern w:val="0"/>
          <w:lang w:val="es-ES"/>
          <w14:ligatures w14:val="none"/>
        </w:rPr>
        <w:t xml:space="preserve"> Situar los derechos humanos internacionales en la abogacía sistémica local</w:t>
      </w:r>
      <w:r w:rsidRPr="009257E7">
        <w:rPr>
          <w:rFonts w:ascii="Times New Roman" w:eastAsia="Times New Roman" w:hAnsi="Times New Roman" w:cs="Times New Roman"/>
          <w:kern w:val="0"/>
          <w:lang w:val="es-ES"/>
          <w14:ligatures w14:val="none"/>
        </w:rPr>
        <w:br/>
      </w:r>
      <w:r w:rsidRPr="009257E7">
        <w:rPr>
          <w:rFonts w:ascii="Times New Roman" w:eastAsia="Times New Roman" w:hAnsi="Times New Roman" w:cs="Times New Roman"/>
          <w:b/>
          <w:bCs/>
          <w:kern w:val="0"/>
          <w:lang w:val="es-ES"/>
          <w14:ligatures w14:val="none"/>
        </w:rPr>
        <w:t>7.6</w:t>
      </w:r>
      <w:r w:rsidRPr="009257E7">
        <w:rPr>
          <w:rFonts w:ascii="Times New Roman" w:eastAsia="Times New Roman" w:hAnsi="Times New Roman" w:cs="Times New Roman"/>
          <w:kern w:val="0"/>
          <w:lang w:val="es-ES"/>
          <w14:ligatures w14:val="none"/>
        </w:rPr>
        <w:t xml:space="preserve"> Las metas de tres capas deben ser parte integral del diseño de proyectos</w:t>
      </w:r>
      <w:r w:rsidRPr="009257E7">
        <w:rPr>
          <w:rFonts w:ascii="Times New Roman" w:eastAsia="Times New Roman" w:hAnsi="Times New Roman" w:cs="Times New Roman"/>
          <w:kern w:val="0"/>
          <w:lang w:val="es-ES"/>
          <w14:ligatures w14:val="none"/>
        </w:rPr>
        <w:br/>
      </w:r>
      <w:r w:rsidRPr="009257E7">
        <w:rPr>
          <w:rFonts w:ascii="Times New Roman" w:eastAsia="Times New Roman" w:hAnsi="Times New Roman" w:cs="Times New Roman"/>
          <w:b/>
          <w:bCs/>
          <w:kern w:val="0"/>
          <w:lang w:val="es-ES"/>
          <w14:ligatures w14:val="none"/>
        </w:rPr>
        <w:t>7.7</w:t>
      </w:r>
      <w:r w:rsidRPr="009257E7">
        <w:rPr>
          <w:rFonts w:ascii="Times New Roman" w:eastAsia="Times New Roman" w:hAnsi="Times New Roman" w:cs="Times New Roman"/>
          <w:kern w:val="0"/>
          <w:lang w:val="es-ES"/>
          <w14:ligatures w14:val="none"/>
        </w:rPr>
        <w:t xml:space="preserve"> Las políticas del financiamiento requieren múltiples formas y medios</w:t>
      </w:r>
    </w:p>
    <w:p w14:paraId="585F3E66" w14:textId="77777777" w:rsidR="00042E3B" w:rsidRPr="009257E7" w:rsidRDefault="00042E3B" w:rsidP="00042E3B">
      <w:pPr>
        <w:spacing w:before="100" w:beforeAutospacing="1" w:after="100" w:afterAutospacing="1" w:line="240" w:lineRule="auto"/>
        <w:outlineLvl w:val="2"/>
        <w:rPr>
          <w:rFonts w:ascii="Times New Roman" w:eastAsia="Times New Roman" w:hAnsi="Times New Roman" w:cs="Times New Roman"/>
          <w:b/>
          <w:bCs/>
          <w:kern w:val="0"/>
          <w:lang w:val="es-ES"/>
          <w14:ligatures w14:val="none"/>
        </w:rPr>
      </w:pPr>
      <w:r w:rsidRPr="009257E7">
        <w:rPr>
          <w:rFonts w:ascii="Times New Roman" w:eastAsia="Times New Roman" w:hAnsi="Times New Roman" w:cs="Times New Roman"/>
          <w:b/>
          <w:bCs/>
          <w:kern w:val="0"/>
          <w:lang w:val="es-ES"/>
          <w14:ligatures w14:val="none"/>
        </w:rPr>
        <w:t>Capítulo 8: Primera etapa: investigar, analizar y diagnosticar problemas</w:t>
      </w:r>
    </w:p>
    <w:p w14:paraId="58E9C6F0" w14:textId="3E9E073B" w:rsidR="00042E3B" w:rsidRPr="009257E7" w:rsidRDefault="00042E3B" w:rsidP="00042E3B">
      <w:pPr>
        <w:spacing w:before="100" w:beforeAutospacing="1" w:after="100" w:afterAutospacing="1" w:line="240" w:lineRule="auto"/>
        <w:rPr>
          <w:rFonts w:ascii="Times New Roman" w:eastAsia="Times New Roman" w:hAnsi="Times New Roman" w:cs="Times New Roman"/>
          <w:b/>
          <w:bCs/>
          <w:kern w:val="0"/>
          <w:lang w:val="es-ES"/>
          <w14:ligatures w14:val="none"/>
        </w:rPr>
      </w:pPr>
      <w:r w:rsidRPr="009257E7">
        <w:rPr>
          <w:rFonts w:ascii="Times New Roman" w:eastAsia="Times New Roman" w:hAnsi="Times New Roman" w:cs="Times New Roman"/>
          <w:b/>
          <w:bCs/>
          <w:kern w:val="0"/>
          <w:lang w:val="es-ES"/>
          <w14:ligatures w14:val="none"/>
        </w:rPr>
        <w:t>8.1</w:t>
      </w:r>
      <w:r w:rsidRPr="009257E7">
        <w:rPr>
          <w:rFonts w:ascii="Times New Roman" w:eastAsia="Times New Roman" w:hAnsi="Times New Roman" w:cs="Times New Roman"/>
          <w:kern w:val="0"/>
          <w:lang w:val="es-ES"/>
          <w14:ligatures w14:val="none"/>
        </w:rPr>
        <w:t xml:space="preserve"> El conocimiento siempre tiene una</w:t>
      </w:r>
      <w:r w:rsidR="005C4E4E" w:rsidRPr="009257E7">
        <w:rPr>
          <w:rFonts w:ascii="Times New Roman" w:eastAsia="Times New Roman" w:hAnsi="Times New Roman" w:cs="Times New Roman"/>
          <w:kern w:val="0"/>
          <w:lang w:val="es-ES"/>
          <w14:ligatures w14:val="none"/>
        </w:rPr>
        <w:t xml:space="preserve"> dimensión</w:t>
      </w:r>
      <w:r w:rsidRPr="009257E7">
        <w:rPr>
          <w:rFonts w:ascii="Times New Roman" w:eastAsia="Times New Roman" w:hAnsi="Times New Roman" w:cs="Times New Roman"/>
          <w:kern w:val="0"/>
          <w:lang w:val="es-ES"/>
          <w14:ligatures w14:val="none"/>
        </w:rPr>
        <w:t xml:space="preserve"> política, que puede sesgar el análisis y la acción</w:t>
      </w:r>
      <w:r w:rsidRPr="009257E7">
        <w:rPr>
          <w:rFonts w:ascii="Times New Roman" w:eastAsia="Times New Roman" w:hAnsi="Times New Roman" w:cs="Times New Roman"/>
          <w:kern w:val="0"/>
          <w:lang w:val="es-ES"/>
          <w14:ligatures w14:val="none"/>
        </w:rPr>
        <w:br/>
      </w:r>
      <w:r w:rsidRPr="009257E7">
        <w:rPr>
          <w:rFonts w:ascii="Times New Roman" w:eastAsia="Times New Roman" w:hAnsi="Times New Roman" w:cs="Times New Roman"/>
          <w:b/>
          <w:bCs/>
          <w:kern w:val="0"/>
          <w:lang w:val="es-ES"/>
          <w14:ligatures w14:val="none"/>
        </w:rPr>
        <w:t>8.2</w:t>
      </w:r>
      <w:r w:rsidRPr="009257E7">
        <w:rPr>
          <w:rFonts w:ascii="Times New Roman" w:eastAsia="Times New Roman" w:hAnsi="Times New Roman" w:cs="Times New Roman"/>
          <w:kern w:val="0"/>
          <w:lang w:val="es-ES"/>
          <w14:ligatures w14:val="none"/>
        </w:rPr>
        <w:t xml:space="preserve"> Les abogades diagnostican problemas y formulan estrategias de solución en dos etapas recurrentes</w:t>
      </w:r>
      <w:r w:rsidRPr="009257E7">
        <w:rPr>
          <w:rFonts w:ascii="Times New Roman" w:eastAsia="Times New Roman" w:hAnsi="Times New Roman" w:cs="Times New Roman"/>
          <w:kern w:val="0"/>
          <w:lang w:val="es-ES"/>
          <w14:ligatures w14:val="none"/>
        </w:rPr>
        <w:br/>
      </w:r>
      <w:r w:rsidRPr="009257E7">
        <w:rPr>
          <w:rFonts w:ascii="Times New Roman" w:eastAsia="Times New Roman" w:hAnsi="Times New Roman" w:cs="Times New Roman"/>
          <w:b/>
          <w:bCs/>
          <w:kern w:val="0"/>
          <w:lang w:val="es-ES"/>
          <w14:ligatures w14:val="none"/>
        </w:rPr>
        <w:t>8.3</w:t>
      </w:r>
      <w:r w:rsidRPr="009257E7">
        <w:rPr>
          <w:rFonts w:ascii="Times New Roman" w:eastAsia="Times New Roman" w:hAnsi="Times New Roman" w:cs="Times New Roman"/>
          <w:kern w:val="0"/>
          <w:lang w:val="es-ES"/>
          <w14:ligatures w14:val="none"/>
        </w:rPr>
        <w:t xml:space="preserve"> </w:t>
      </w:r>
      <w:r w:rsidR="0001236C" w:rsidRPr="009257E7">
        <w:rPr>
          <w:rFonts w:ascii="Times New Roman" w:eastAsia="Times New Roman" w:hAnsi="Times New Roman" w:cs="Times New Roman"/>
          <w:kern w:val="0"/>
          <w:lang w:val="es-ES"/>
          <w14:ligatures w14:val="none"/>
        </w:rPr>
        <w:t>Tres métodos de investigación crítica desde abajo para lograr progreso en los tres niveles</w:t>
      </w:r>
      <w:r w:rsidRPr="009257E7">
        <w:rPr>
          <w:rFonts w:ascii="Times New Roman" w:eastAsia="Times New Roman" w:hAnsi="Times New Roman" w:cs="Times New Roman"/>
          <w:kern w:val="0"/>
          <w:lang w:val="es-ES"/>
          <w14:ligatures w14:val="none"/>
        </w:rPr>
        <w:br/>
      </w:r>
      <w:r w:rsidRPr="009257E7">
        <w:rPr>
          <w:rFonts w:ascii="Times New Roman" w:eastAsia="Times New Roman" w:hAnsi="Times New Roman" w:cs="Times New Roman"/>
          <w:b/>
          <w:bCs/>
          <w:kern w:val="0"/>
          <w:lang w:val="es-ES"/>
          <w14:ligatures w14:val="none"/>
        </w:rPr>
        <w:t>8.4</w:t>
      </w:r>
      <w:r w:rsidRPr="009257E7">
        <w:rPr>
          <w:rFonts w:ascii="Times New Roman" w:eastAsia="Times New Roman" w:hAnsi="Times New Roman" w:cs="Times New Roman"/>
          <w:kern w:val="0"/>
          <w:lang w:val="es-ES"/>
          <w14:ligatures w14:val="none"/>
        </w:rPr>
        <w:t xml:space="preserve"> Tres normas ayudan a ampliar y profundizar el impacto de la investigación y el análisis críticos</w:t>
      </w:r>
      <w:r w:rsidRPr="009257E7">
        <w:rPr>
          <w:rFonts w:ascii="Times New Roman" w:eastAsia="Times New Roman" w:hAnsi="Times New Roman" w:cs="Times New Roman"/>
          <w:kern w:val="0"/>
          <w:lang w:val="es-ES"/>
          <w14:ligatures w14:val="none"/>
        </w:rPr>
        <w:br/>
      </w:r>
      <w:r w:rsidRPr="009257E7">
        <w:rPr>
          <w:rFonts w:ascii="Times New Roman" w:eastAsia="Times New Roman" w:hAnsi="Times New Roman" w:cs="Times New Roman"/>
          <w:b/>
          <w:bCs/>
          <w:kern w:val="0"/>
          <w:lang w:val="es-ES"/>
          <w14:ligatures w14:val="none"/>
        </w:rPr>
        <w:t>8.5</w:t>
      </w:r>
      <w:r w:rsidRPr="009257E7">
        <w:rPr>
          <w:rFonts w:ascii="Times New Roman" w:eastAsia="Times New Roman" w:hAnsi="Times New Roman" w:cs="Times New Roman"/>
          <w:kern w:val="0"/>
          <w:lang w:val="es-ES"/>
          <w14:ligatures w14:val="none"/>
        </w:rPr>
        <w:t xml:space="preserve"> </w:t>
      </w:r>
      <w:r w:rsidR="00D00121" w:rsidRPr="009257E7">
        <w:rPr>
          <w:rFonts w:ascii="Times New Roman" w:eastAsia="Times New Roman" w:hAnsi="Times New Roman" w:cs="Times New Roman"/>
          <w:kern w:val="0"/>
          <w:lang w:val="es-ES"/>
          <w14:ligatures w14:val="none"/>
        </w:rPr>
        <w:t>Las c</w:t>
      </w:r>
      <w:r w:rsidRPr="009257E7">
        <w:rPr>
          <w:rFonts w:ascii="Times New Roman" w:eastAsia="Times New Roman" w:hAnsi="Times New Roman" w:cs="Times New Roman"/>
          <w:kern w:val="0"/>
          <w:lang w:val="es-ES"/>
          <w14:ligatures w14:val="none"/>
        </w:rPr>
        <w:t>uatro técnicas de “mapeo” ayudan a ajustar e implementar planes de acción contextuales</w:t>
      </w:r>
    </w:p>
    <w:p w14:paraId="1ADA1B8C" w14:textId="77777777" w:rsidR="00944921" w:rsidRPr="009257E7" w:rsidRDefault="00944921" w:rsidP="00944921">
      <w:pPr>
        <w:spacing w:before="100" w:beforeAutospacing="1" w:after="100" w:afterAutospacing="1" w:line="240" w:lineRule="auto"/>
        <w:outlineLvl w:val="2"/>
        <w:rPr>
          <w:rFonts w:ascii="Times New Roman" w:eastAsia="Times New Roman" w:hAnsi="Times New Roman" w:cs="Times New Roman"/>
          <w:b/>
          <w:bCs/>
          <w:kern w:val="0"/>
          <w:lang w:val="es-ES"/>
          <w14:ligatures w14:val="none"/>
        </w:rPr>
      </w:pPr>
      <w:r w:rsidRPr="009257E7">
        <w:rPr>
          <w:rFonts w:ascii="Times New Roman" w:eastAsia="Times New Roman" w:hAnsi="Times New Roman" w:cs="Times New Roman"/>
          <w:b/>
          <w:bCs/>
          <w:kern w:val="0"/>
          <w:lang w:val="es-ES"/>
          <w14:ligatures w14:val="none"/>
        </w:rPr>
        <w:t>Capítulo 9: Segunda etapa: diseño y ejecución de acciones complejas</w:t>
      </w:r>
    </w:p>
    <w:p w14:paraId="5F2217D4" w14:textId="3BA86DBD" w:rsidR="00042E3B" w:rsidRPr="009257E7" w:rsidRDefault="00042E3B" w:rsidP="00E23F6D">
      <w:pPr>
        <w:rPr>
          <w:rFonts w:ascii="Times New Roman" w:hAnsi="Times New Roman" w:cs="Times New Roman"/>
          <w:b/>
          <w:bCs/>
        </w:rPr>
      </w:pPr>
      <w:r w:rsidRPr="009257E7">
        <w:rPr>
          <w:rFonts w:ascii="Times New Roman" w:eastAsia="Times New Roman" w:hAnsi="Times New Roman" w:cs="Times New Roman"/>
          <w:b/>
          <w:bCs/>
          <w:kern w:val="0"/>
          <w:lang w:val="es-ES"/>
          <w14:ligatures w14:val="none"/>
        </w:rPr>
        <w:t>9.1</w:t>
      </w:r>
      <w:r w:rsidRPr="009257E7">
        <w:rPr>
          <w:rFonts w:ascii="Times New Roman" w:eastAsia="Times New Roman" w:hAnsi="Times New Roman" w:cs="Times New Roman"/>
          <w:kern w:val="0"/>
          <w:lang w:val="es-ES"/>
          <w14:ligatures w14:val="none"/>
        </w:rPr>
        <w:t xml:space="preserve"> Las acciones complejas combinan presión y persuasión en la segunda etapa de la abogacía sistémica</w:t>
      </w:r>
      <w:r w:rsidRPr="009257E7">
        <w:rPr>
          <w:rFonts w:ascii="Times New Roman" w:eastAsia="Times New Roman" w:hAnsi="Times New Roman" w:cs="Times New Roman"/>
          <w:kern w:val="0"/>
          <w:lang w:val="es-ES"/>
          <w14:ligatures w14:val="none"/>
        </w:rPr>
        <w:br/>
      </w:r>
      <w:r w:rsidR="00E23F6D" w:rsidRPr="009257E7">
        <w:rPr>
          <w:rFonts w:ascii="Times New Roman" w:hAnsi="Times New Roman" w:cs="Times New Roman"/>
          <w:b/>
          <w:bCs/>
        </w:rPr>
        <w:t xml:space="preserve">9.2 </w:t>
      </w:r>
      <w:r w:rsidR="00E23F6D" w:rsidRPr="009257E7">
        <w:rPr>
          <w:rFonts w:ascii="Times New Roman" w:hAnsi="Times New Roman" w:cs="Times New Roman"/>
        </w:rPr>
        <w:t>Apoyo a las acciones complejas de grupos organizados: encontrar su función</w:t>
      </w:r>
      <w:r w:rsidR="00E23F6D" w:rsidRPr="009257E7">
        <w:rPr>
          <w:rFonts w:ascii="Times New Roman" w:hAnsi="Times New Roman" w:cs="Times New Roman"/>
        </w:rPr>
        <w:br/>
      </w:r>
      <w:r w:rsidRPr="009257E7">
        <w:rPr>
          <w:rFonts w:ascii="Times New Roman" w:eastAsia="Times New Roman" w:hAnsi="Times New Roman" w:cs="Times New Roman"/>
          <w:b/>
          <w:bCs/>
          <w:kern w:val="0"/>
          <w:lang w:val="es-ES"/>
          <w14:ligatures w14:val="none"/>
        </w:rPr>
        <w:t>9.3</w:t>
      </w:r>
      <w:r w:rsidRPr="009257E7">
        <w:rPr>
          <w:rFonts w:ascii="Times New Roman" w:eastAsia="Times New Roman" w:hAnsi="Times New Roman" w:cs="Times New Roman"/>
          <w:kern w:val="0"/>
          <w:lang w:val="es-ES"/>
          <w14:ligatures w14:val="none"/>
        </w:rPr>
        <w:t xml:space="preserve"> La colaboración y el conflicto coexisten en las acciones complejas</w:t>
      </w:r>
    </w:p>
    <w:p w14:paraId="7EE48401" w14:textId="342B0CE8" w:rsidR="00197F51" w:rsidRPr="009257E7" w:rsidRDefault="00042E3B" w:rsidP="00197F51">
      <w:pPr>
        <w:spacing w:before="100" w:beforeAutospacing="1" w:after="100" w:afterAutospacing="1" w:line="240" w:lineRule="auto"/>
        <w:outlineLvl w:val="2"/>
        <w:rPr>
          <w:rFonts w:ascii="Times New Roman" w:eastAsia="Times New Roman" w:hAnsi="Times New Roman" w:cs="Times New Roman"/>
          <w:b/>
          <w:bCs/>
          <w:kern w:val="0"/>
          <w:lang w:val="es-ES"/>
          <w14:ligatures w14:val="none"/>
        </w:rPr>
      </w:pPr>
      <w:r w:rsidRPr="009257E7">
        <w:rPr>
          <w:rFonts w:ascii="Times New Roman" w:eastAsia="Times New Roman" w:hAnsi="Times New Roman" w:cs="Times New Roman"/>
          <w:b/>
          <w:bCs/>
          <w:kern w:val="0"/>
          <w:lang w:val="es-ES"/>
          <w14:ligatures w14:val="none"/>
        </w:rPr>
        <w:t xml:space="preserve">Capítulo 10: </w:t>
      </w:r>
      <w:r w:rsidR="00197F51" w:rsidRPr="009257E7">
        <w:rPr>
          <w:rFonts w:ascii="Times New Roman" w:eastAsia="Times New Roman" w:hAnsi="Times New Roman" w:cs="Times New Roman"/>
          <w:b/>
          <w:bCs/>
          <w:kern w:val="0"/>
          <w:lang w:val="es-ES"/>
          <w14:ligatures w14:val="none"/>
        </w:rPr>
        <w:t>El camino largo: trazar sus rutas hacia la justicia</w:t>
      </w:r>
    </w:p>
    <w:p w14:paraId="231CAFA0" w14:textId="1FA9122D" w:rsidR="005515DD" w:rsidRPr="009257E7" w:rsidRDefault="00042E3B" w:rsidP="00197F51">
      <w:pPr>
        <w:spacing w:before="100" w:beforeAutospacing="1" w:after="100" w:afterAutospacing="1" w:line="240" w:lineRule="auto"/>
        <w:outlineLvl w:val="2"/>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b/>
          <w:bCs/>
          <w:kern w:val="0"/>
          <w:lang w:val="es-ES"/>
          <w14:ligatures w14:val="none"/>
        </w:rPr>
        <w:t>10.1</w:t>
      </w:r>
      <w:r w:rsidRPr="009257E7">
        <w:rPr>
          <w:rFonts w:ascii="Times New Roman" w:eastAsia="Times New Roman" w:hAnsi="Times New Roman" w:cs="Times New Roman"/>
          <w:kern w:val="0"/>
          <w:lang w:val="es-ES"/>
          <w14:ligatures w14:val="none"/>
        </w:rPr>
        <w:t xml:space="preserve"> Cada abogade debe desaprender y reaprender la solución de problemas para crear su propio “camino” vital hacia la justicia crítica</w:t>
      </w:r>
      <w:r w:rsidRPr="009257E7">
        <w:rPr>
          <w:rFonts w:ascii="Times New Roman" w:eastAsia="Times New Roman" w:hAnsi="Times New Roman" w:cs="Times New Roman"/>
          <w:kern w:val="0"/>
          <w:lang w:val="es-ES"/>
          <w14:ligatures w14:val="none"/>
        </w:rPr>
        <w:br/>
      </w:r>
      <w:r w:rsidRPr="009257E7">
        <w:rPr>
          <w:rFonts w:ascii="Times New Roman" w:eastAsia="Times New Roman" w:hAnsi="Times New Roman" w:cs="Times New Roman"/>
          <w:b/>
          <w:bCs/>
          <w:kern w:val="0"/>
          <w:lang w:val="es-ES"/>
          <w14:ligatures w14:val="none"/>
        </w:rPr>
        <w:t>10.2</w:t>
      </w:r>
      <w:r w:rsidRPr="009257E7">
        <w:rPr>
          <w:rFonts w:ascii="Times New Roman" w:eastAsia="Times New Roman" w:hAnsi="Times New Roman" w:cs="Times New Roman"/>
          <w:kern w:val="0"/>
          <w:lang w:val="es-ES"/>
          <w14:ligatures w14:val="none"/>
        </w:rPr>
        <w:t xml:space="preserve"> Las rutas cambian en el trayecto; por eso también deben cambiar los grupos, les abogades y la abogacía</w:t>
      </w:r>
      <w:r w:rsidRPr="009257E7">
        <w:rPr>
          <w:rFonts w:ascii="Times New Roman" w:eastAsia="Times New Roman" w:hAnsi="Times New Roman" w:cs="Times New Roman"/>
          <w:kern w:val="0"/>
          <w:lang w:val="es-ES"/>
          <w14:ligatures w14:val="none"/>
        </w:rPr>
        <w:br/>
      </w:r>
      <w:r w:rsidRPr="009257E7">
        <w:rPr>
          <w:rFonts w:ascii="Times New Roman" w:eastAsia="Times New Roman" w:hAnsi="Times New Roman" w:cs="Times New Roman"/>
          <w:b/>
          <w:bCs/>
          <w:kern w:val="0"/>
          <w:lang w:val="es-ES"/>
          <w14:ligatures w14:val="none"/>
        </w:rPr>
        <w:t>10.3</w:t>
      </w:r>
      <w:r w:rsidRPr="009257E7">
        <w:rPr>
          <w:rFonts w:ascii="Times New Roman" w:eastAsia="Times New Roman" w:hAnsi="Times New Roman" w:cs="Times New Roman"/>
          <w:kern w:val="0"/>
          <w:lang w:val="es-ES"/>
          <w14:ligatures w14:val="none"/>
        </w:rPr>
        <w:t xml:space="preserve"> Crítica profunda y abogacía sistémica para el largo plazo</w:t>
      </w:r>
    </w:p>
    <w:p w14:paraId="142E215D" w14:textId="77777777" w:rsidR="005515DD" w:rsidRPr="009257E7" w:rsidRDefault="005515DD">
      <w:pPr>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br w:type="page"/>
      </w:r>
    </w:p>
    <w:p w14:paraId="3BDE136F" w14:textId="77777777" w:rsidR="005515DD" w:rsidRPr="009257E7" w:rsidRDefault="005515DD" w:rsidP="005515DD">
      <w:pPr>
        <w:spacing w:before="100" w:beforeAutospacing="1" w:after="100" w:afterAutospacing="1" w:line="240" w:lineRule="auto"/>
        <w:outlineLvl w:val="1"/>
        <w:rPr>
          <w:rFonts w:ascii="Times New Roman" w:eastAsia="Times New Roman" w:hAnsi="Times New Roman" w:cs="Times New Roman"/>
          <w:b/>
          <w:bCs/>
          <w:kern w:val="0"/>
          <w:lang w:val="es-ES"/>
          <w14:ligatures w14:val="none"/>
        </w:rPr>
      </w:pPr>
      <w:r w:rsidRPr="009257E7">
        <w:rPr>
          <w:rFonts w:ascii="Times New Roman" w:eastAsia="Times New Roman" w:hAnsi="Times New Roman" w:cs="Times New Roman"/>
          <w:b/>
          <w:bCs/>
          <w:kern w:val="0"/>
          <w:lang w:val="es-ES"/>
          <w14:ligatures w14:val="none"/>
        </w:rPr>
        <w:lastRenderedPageBreak/>
        <w:t>INTRODUCCIÓN</w:t>
      </w:r>
    </w:p>
    <w:p w14:paraId="519C687B" w14:textId="77777777" w:rsidR="005515DD" w:rsidRPr="009257E7" w:rsidRDefault="005515DD" w:rsidP="005515DD">
      <w:pPr>
        <w:spacing w:before="100" w:beforeAutospacing="1" w:after="100" w:afterAutospacing="1" w:line="240" w:lineRule="auto"/>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i/>
          <w:iCs/>
          <w:kern w:val="0"/>
          <w:lang w:val="es-ES"/>
          <w14:ligatures w14:val="none"/>
        </w:rPr>
        <w:t>Todo lo que le decimos a Estados Unidos es: “Sé fiel a lo que dijiste en el papel”.</w:t>
      </w:r>
      <w:r w:rsidRPr="009257E7">
        <w:rPr>
          <w:rFonts w:ascii="Times New Roman" w:eastAsia="Times New Roman" w:hAnsi="Times New Roman" w:cs="Times New Roman"/>
          <w:kern w:val="0"/>
          <w:lang w:val="es-ES"/>
          <w14:ligatures w14:val="none"/>
        </w:rPr>
        <w:br/>
        <w:t>—Dr. Martin Luther King Jr., discurso en Memphis el día antes de su asesinato</w:t>
      </w:r>
    </w:p>
    <w:p w14:paraId="78612ABF" w14:textId="01CED693" w:rsidR="005515DD" w:rsidRPr="009257E7" w:rsidRDefault="005515DD" w:rsidP="005515DD">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A pesar de un siglo o más de reformas jurídicas y cambios sociales, los titulares cotidianos dejan claro que el compromiso constitucional de Estados Unidos con la “Justicia igualitaria bajo la ley” sigue siendo ilusorio para muchas personas y para algunas comunidades enteras. Hoy, los asuntos jurídicos y sociales más urgentes, así como los objetivos de la lucha grupal, van desde la remuneración de igual paga por igual trabajo hasta el encarcelamiento masivo y la violencia policial, la supresión del voto, la deuda estudiantil, la adaptación climática, la igualdad matrimonial, la justicia migratoria, el acceso a la atención médica y muchas otras controversias actuales. Algunos son nuevos, como la desinformación generada por inteligencia artificial, mientras que la mayoría se conecta con las injusticias, las luchas y las aspiraciones de generaciones pasadas. Lo mismo ocurre a nivel global.</w:t>
      </w:r>
    </w:p>
    <w:p w14:paraId="42B1C916" w14:textId="63C95C34" w:rsidR="005515DD" w:rsidRPr="009257E7" w:rsidRDefault="005515DD" w:rsidP="005515DD">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 xml:space="preserve">Los grupos de abogacía en todo el mundo usan el término “injusticia sistémica” para identificar la injusticia perpetrada de manera sistemática, casi automática, porque ha sido arraigada e institucionalizada por el derecho. En respuesta, les abogades y les activistas han desarrollado una gran variedad de enfoques de “abogacía sistémica”. La abogacía sistémica busca contrarrestar la injusticia sistémica de manera colectiva para lograr la justicia sistémica. En este trabajo, el derecho es central: tanto para la injusticia sistémica como para la abogacía sistémica. El derecho permite que persista la desigualdad colectiva. Y el derecho es una parte esencial de la solución. Por eso, les abogades, les activistas y otras personas enfrentan lo que este libro denomina y detalla como el Desafío Crítico urgente: </w:t>
      </w:r>
      <w:r w:rsidRPr="009257E7">
        <w:rPr>
          <w:rFonts w:ascii="Times New Roman" w:eastAsia="Times New Roman" w:hAnsi="Times New Roman" w:cs="Times New Roman"/>
          <w:i/>
          <w:iCs/>
          <w:kern w:val="0"/>
          <w:lang w:val="es-ES"/>
          <w14:ligatures w14:val="none"/>
        </w:rPr>
        <w:t>¿cómo se ayuda a traducir las promesas nobles del derecho en realidades sociales vividas para todes?</w:t>
      </w:r>
      <w:r w:rsidRPr="009257E7">
        <w:rPr>
          <w:rFonts w:ascii="Times New Roman" w:eastAsia="Times New Roman" w:hAnsi="Times New Roman" w:cs="Times New Roman"/>
          <w:kern w:val="0"/>
          <w:lang w:val="es-ES"/>
          <w14:ligatures w14:val="none"/>
        </w:rPr>
        <w:t xml:space="preserve"> O, en términos más simples, ¿cómo se utiliza el derecho para la justicia igualitaria y la equidad social en los ámbitos material, práctico y ético?</w:t>
      </w:r>
    </w:p>
    <w:p w14:paraId="53DE4519" w14:textId="7765B8D9" w:rsidR="005515DD" w:rsidRPr="009257E7" w:rsidRDefault="005515DD" w:rsidP="005515DD">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Un hilo común une los esfuerzos globales para oponerse a la injusticia y promover la justicia de manera sistémica: un enfoque en los grupos, los sistemas jurídicos, las desigualdades persistentes y el desarrollo de herramientas multidisciplinarias para diagnosticar críticamente y atender estratégicamente la injusticia sistémica. Ese trabajo prioriza la colaboración basada en las perspectivas de quienes sufren la injusticia: perspectivas desde “abajo” de un problema persistente y sistémico.</w:t>
      </w:r>
    </w:p>
    <w:p w14:paraId="6DC2E52F" w14:textId="7C13668F" w:rsidR="005515DD" w:rsidRPr="009257E7" w:rsidRDefault="005515DD" w:rsidP="005515DD">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 xml:space="preserve">Un enfoque en la </w:t>
      </w:r>
      <w:proofErr w:type="gramStart"/>
      <w:r w:rsidRPr="009257E7">
        <w:rPr>
          <w:rFonts w:ascii="Times New Roman" w:eastAsia="Times New Roman" w:hAnsi="Times New Roman" w:cs="Times New Roman"/>
          <w:kern w:val="0"/>
          <w:lang w:val="es-ES"/>
          <w14:ligatures w14:val="none"/>
        </w:rPr>
        <w:t>injusticia sistémica y la abogacía sistémica</w:t>
      </w:r>
      <w:proofErr w:type="gramEnd"/>
      <w:r w:rsidRPr="009257E7">
        <w:rPr>
          <w:rFonts w:ascii="Times New Roman" w:eastAsia="Times New Roman" w:hAnsi="Times New Roman" w:cs="Times New Roman"/>
          <w:kern w:val="0"/>
          <w:lang w:val="es-ES"/>
          <w14:ligatures w14:val="none"/>
        </w:rPr>
        <w:t xml:space="preserve"> emplea y amplía el análisis jurídico y la resolución de problemas para llegar a las causas raíz de desigualdades conocidas, arraigadas y colectivizadas. Esta expansión se centra en las identidades, los grupos, los intereses y el poder como elementos cruciales del Desafío Crítico que enfrentan les abogades alrededor del mundo hoy.</w:t>
      </w:r>
    </w:p>
    <w:p w14:paraId="68DF293E" w14:textId="41D1010D" w:rsidR="005515DD" w:rsidRPr="009257E7" w:rsidRDefault="005515DD" w:rsidP="005946C8">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 xml:space="preserve">La naturaleza sistémica de un problema social persistente puede evidenciarse </w:t>
      </w:r>
      <w:r w:rsidR="005946C8" w:rsidRPr="009257E7">
        <w:rPr>
          <w:rFonts w:ascii="Times New Roman" w:eastAsia="Times New Roman" w:hAnsi="Times New Roman" w:cs="Times New Roman"/>
          <w:kern w:val="0"/>
          <w:lang w:val="es-ES"/>
          <w14:ligatures w14:val="none"/>
        </w:rPr>
        <w:t>por</w:t>
      </w:r>
      <w:r w:rsidRPr="009257E7">
        <w:rPr>
          <w:rFonts w:ascii="Times New Roman" w:eastAsia="Times New Roman" w:hAnsi="Times New Roman" w:cs="Times New Roman"/>
          <w:kern w:val="0"/>
          <w:lang w:val="es-ES"/>
          <w14:ligatures w14:val="none"/>
        </w:rPr>
        <w:t xml:space="preserve"> su recurrencia en m</w:t>
      </w:r>
      <w:r w:rsidR="005946C8" w:rsidRPr="009257E7">
        <w:rPr>
          <w:rFonts w:ascii="Times New Roman" w:eastAsia="Times New Roman" w:hAnsi="Times New Roman" w:cs="Times New Roman"/>
          <w:kern w:val="0"/>
          <w:lang w:val="es-ES"/>
          <w14:ligatures w14:val="none"/>
        </w:rPr>
        <w:t>últiple</w:t>
      </w:r>
      <w:r w:rsidRPr="009257E7">
        <w:rPr>
          <w:rFonts w:ascii="Times New Roman" w:eastAsia="Times New Roman" w:hAnsi="Times New Roman" w:cs="Times New Roman"/>
          <w:kern w:val="0"/>
          <w:lang w:val="es-ES"/>
          <w14:ligatures w14:val="none"/>
        </w:rPr>
        <w:t xml:space="preserve">s instancias “individuales”. Esas instancias, de forma acumulativa, establecen patrones de resultados a partir de los cuales se juzgan los sistemas. La abogacía sistémica debe conectar las particularidades para revelar, y cambiar, los patrones. Así demuestra </w:t>
      </w:r>
      <w:r w:rsidRPr="009257E7">
        <w:rPr>
          <w:rFonts w:ascii="Times New Roman" w:eastAsia="Times New Roman" w:hAnsi="Times New Roman" w:cs="Times New Roman"/>
          <w:kern w:val="0"/>
          <w:lang w:val="es-ES"/>
          <w14:ligatures w14:val="none"/>
        </w:rPr>
        <w:lastRenderedPageBreak/>
        <w:t xml:space="preserve">por qué la abogacía debe </w:t>
      </w:r>
      <w:r w:rsidR="005946C8" w:rsidRPr="009257E7">
        <w:rPr>
          <w:rFonts w:ascii="Times New Roman" w:eastAsia="Times New Roman" w:hAnsi="Times New Roman" w:cs="Times New Roman"/>
          <w:kern w:val="0"/>
          <w:lang w:val="es-ES"/>
          <w14:ligatures w14:val="none"/>
        </w:rPr>
        <w:t>considerar</w:t>
      </w:r>
      <w:r w:rsidRPr="009257E7">
        <w:rPr>
          <w:rFonts w:ascii="Times New Roman" w:eastAsia="Times New Roman" w:hAnsi="Times New Roman" w:cs="Times New Roman"/>
          <w:kern w:val="0"/>
          <w:lang w:val="es-ES"/>
          <w14:ligatures w14:val="none"/>
        </w:rPr>
        <w:t xml:space="preserve"> tanto lo micro como lo macro. Estos resultados individualizados, y sus patrones, reflejan las formas en que el derecho se entrelaza con otros sistemas —sociales, políticos y económicos— sobre la base de identidades sociales y grupales.</w:t>
      </w:r>
    </w:p>
    <w:p w14:paraId="78BEEF82" w14:textId="1292F7DA" w:rsidR="005946C8" w:rsidRPr="009257E7" w:rsidRDefault="005946C8" w:rsidP="005946C8">
      <w:pPr>
        <w:pStyle w:val="NormalWeb"/>
        <w:ind w:firstLine="720"/>
        <w:rPr>
          <w:lang w:val="es-ES"/>
        </w:rPr>
      </w:pPr>
      <w:r w:rsidRPr="009257E7">
        <w:rPr>
          <w:lang w:val="es-ES"/>
        </w:rPr>
        <w:t>En respuesta, les activistas, les organizadores, les grupos y les abogades han colaborado durante mucho tiempo para lograr progreso desde abajo, y todavía lo hacen, incluso mediante:</w:t>
      </w:r>
    </w:p>
    <w:p w14:paraId="4FF749EF" w14:textId="77777777" w:rsidR="005946C8" w:rsidRPr="009257E7" w:rsidRDefault="005946C8" w:rsidP="00CD6233">
      <w:pPr>
        <w:pStyle w:val="NormalWeb"/>
        <w:spacing w:before="0" w:beforeAutospacing="0" w:after="0" w:afterAutospacing="0"/>
        <w:rPr>
          <w:lang w:val="es-ES"/>
        </w:rPr>
      </w:pPr>
      <w:r w:rsidRPr="009257E7">
        <w:rPr>
          <w:lang w:val="es-ES"/>
        </w:rPr>
        <w:t>• el anclaje de la abogacía en el conocimiento extraído desde “abajo”: de quienes experimentan directamente los problemas sociales y participan en luchas sociales para promover la justicia igualitaria;</w:t>
      </w:r>
    </w:p>
    <w:p w14:paraId="5CDC2B77" w14:textId="77777777" w:rsidR="005946C8" w:rsidRPr="009257E7" w:rsidRDefault="005946C8" w:rsidP="00CD6233">
      <w:pPr>
        <w:pStyle w:val="NormalWeb"/>
        <w:spacing w:before="0" w:beforeAutospacing="0" w:after="0" w:afterAutospacing="0"/>
        <w:rPr>
          <w:lang w:val="es-ES"/>
        </w:rPr>
      </w:pPr>
      <w:r w:rsidRPr="009257E7">
        <w:rPr>
          <w:lang w:val="es-ES"/>
        </w:rPr>
        <w:t>• el uso de la criticidad —la reflexión crítica y autocrítica— para centrar el conocimiento desde abajo y exponer la interacción entre identidades, grupos, intereses y poder en el derecho y en la lucha social;</w:t>
      </w:r>
    </w:p>
    <w:p w14:paraId="057C65AD" w14:textId="77777777" w:rsidR="005946C8" w:rsidRPr="009257E7" w:rsidRDefault="005946C8" w:rsidP="00CD6233">
      <w:pPr>
        <w:pStyle w:val="NormalWeb"/>
        <w:spacing w:before="0" w:beforeAutospacing="0" w:after="0" w:afterAutospacing="0"/>
        <w:rPr>
          <w:lang w:val="es-ES"/>
        </w:rPr>
      </w:pPr>
      <w:r w:rsidRPr="009257E7">
        <w:rPr>
          <w:lang w:val="es-ES"/>
        </w:rPr>
        <w:t>• el aprendizaje a partir de las escuelas realistas y críticas del análisis jurídico y de los enfoques de abogacía basados en el trabajo de campo, que profundizan la comprensión de los comportamientos y resultados sistémicos, y ofrecen estrategias de abogacía para contrarrestarlos en favor de la justicia;</w:t>
      </w:r>
    </w:p>
    <w:p w14:paraId="1055517A" w14:textId="77777777" w:rsidR="005946C8" w:rsidRPr="009257E7" w:rsidRDefault="005946C8" w:rsidP="00CD6233">
      <w:pPr>
        <w:pStyle w:val="NormalWeb"/>
        <w:spacing w:before="0" w:beforeAutospacing="0" w:after="0" w:afterAutospacing="0"/>
        <w:rPr>
          <w:lang w:val="es-ES"/>
        </w:rPr>
      </w:pPr>
      <w:r w:rsidRPr="009257E7">
        <w:rPr>
          <w:lang w:val="es-ES"/>
        </w:rPr>
        <w:t>• el desarrollo de una conciencia dual para operar de manera efectiva como persona interna al sistema jurídico que usa herramientas jurídicas, y para mantener, a la vez, una perspectiva crítica externa sobre los límites del derecho y sus fallas sistémicas intencionales;</w:t>
      </w:r>
    </w:p>
    <w:p w14:paraId="34236E91" w14:textId="77777777" w:rsidR="005946C8" w:rsidRPr="009257E7" w:rsidRDefault="005946C8" w:rsidP="00CD6233">
      <w:pPr>
        <w:pStyle w:val="NormalWeb"/>
        <w:spacing w:before="0" w:beforeAutospacing="0" w:after="0" w:afterAutospacing="0"/>
        <w:rPr>
          <w:lang w:val="es-ES"/>
        </w:rPr>
      </w:pPr>
      <w:r w:rsidRPr="009257E7">
        <w:rPr>
          <w:lang w:val="es-ES"/>
        </w:rPr>
        <w:t>• la colaboración entre muchas disciplinas y muchos tipos de diferencias sociales en equipos y coaliciones para construir valores, principios, metas y movimientos compartidos; y</w:t>
      </w:r>
    </w:p>
    <w:p w14:paraId="56A4E316" w14:textId="2E8A3B80" w:rsidR="00CD6233" w:rsidRPr="009257E7" w:rsidRDefault="005946C8" w:rsidP="00CD6233">
      <w:pPr>
        <w:pStyle w:val="NormalWeb"/>
        <w:spacing w:before="0" w:beforeAutospacing="0" w:after="0" w:afterAutospacing="0"/>
        <w:rPr>
          <w:lang w:val="es-ES"/>
        </w:rPr>
      </w:pPr>
      <w:r w:rsidRPr="009257E7">
        <w:rPr>
          <w:lang w:val="es-ES"/>
        </w:rPr>
        <w:t>• el manejo del tiempo con una intención estratégica consciente para obstaculizar la oposición o promover el progreso hacia la justicia igualitaria.</w:t>
      </w:r>
    </w:p>
    <w:p w14:paraId="6438BEF7" w14:textId="02198018" w:rsidR="005946C8" w:rsidRPr="009257E7" w:rsidRDefault="005946C8" w:rsidP="00731DF0">
      <w:pPr>
        <w:pStyle w:val="NormalWeb"/>
        <w:ind w:firstLine="720"/>
        <w:rPr>
          <w:lang w:val="es-ES"/>
        </w:rPr>
      </w:pPr>
      <w:r w:rsidRPr="009257E7">
        <w:rPr>
          <w:lang w:val="es-ES"/>
        </w:rPr>
        <w:t>Pero no hay panaceas. No tenemos soluciones mágicas para la injusticia sistémica. En cambio, nos tenemos a nosotres mismes, nos tenemos unes a otres, tenemos lo que sabemos colectivamente y lo que podemos aprender mientras construimos proyectos de abogacía sistémica y participamos en el activismo de movimientos sociales. Gerald López, pionero del enfoque de la abogacía rebelde aplicado a la abogacía sistémica, explica:</w:t>
      </w:r>
    </w:p>
    <w:p w14:paraId="7002F241" w14:textId="33B824D0" w:rsidR="005946C8" w:rsidRPr="009257E7" w:rsidRDefault="005946C8" w:rsidP="00731DF0">
      <w:pPr>
        <w:pStyle w:val="NormalWeb"/>
        <w:ind w:left="720"/>
        <w:rPr>
          <w:lang w:val="es-ES"/>
        </w:rPr>
      </w:pPr>
      <w:r w:rsidRPr="009257E7">
        <w:rPr>
          <w:lang w:val="es-ES"/>
        </w:rPr>
        <w:t>Ningune de estes abogades ha elaborado por completo las respuestas a todas las preguntas que enfrenta. Ningune ha escapado por completo de las inconsistencias y contradicciones. Ningune es inmune a las frustraciones y los fracasos. Sin embargo, lo que cada une comprende es que no existe un modelo que se ejecute por sí solo para cambiar la práctica jurídica, así como tampoco existe un plan mágico para cambiar el mundo. Su trabajo refleja [...] una apreciación profunda de que la abogacía, al igual que otras vocaciones activistas, debe reflejar ella misma, e incluso a veces ayudar a inaugurar, el mundo que esperamos crear.</w:t>
      </w:r>
      <w:r w:rsidR="00D041B6" w:rsidRPr="009257E7">
        <w:rPr>
          <w:rStyle w:val="FootnoteReference"/>
          <w:lang w:val="es-ES"/>
        </w:rPr>
        <w:footnoteReference w:id="1"/>
      </w:r>
    </w:p>
    <w:p w14:paraId="2DAB9FE1" w14:textId="6CC10FFB" w:rsidR="006E2F63" w:rsidRPr="009257E7" w:rsidRDefault="005946C8" w:rsidP="006E2F63">
      <w:pPr>
        <w:pStyle w:val="NormalWeb"/>
        <w:rPr>
          <w:lang w:val="es-ES"/>
        </w:rPr>
      </w:pPr>
      <w:r w:rsidRPr="009257E7">
        <w:rPr>
          <w:lang w:val="es-ES"/>
        </w:rPr>
        <w:t>En Estados Unidos y más allá, el derecho no siempre es lo que dice o parece ser, si se mira desde abajo. Entonces, nos corresponde a ti y a mí comenzar a realizar los cambios necesarios.</w:t>
      </w:r>
      <w:r w:rsidR="006E2F63" w:rsidRPr="009257E7">
        <w:rPr>
          <w:b/>
          <w:bCs/>
          <w:lang w:val="es-ES"/>
        </w:rPr>
        <w:br w:type="page"/>
      </w:r>
    </w:p>
    <w:p w14:paraId="23C20CC3" w14:textId="1ABBB215" w:rsidR="00540F7E" w:rsidRPr="009257E7" w:rsidRDefault="00540F7E" w:rsidP="00540F7E">
      <w:pPr>
        <w:spacing w:before="100" w:beforeAutospacing="1" w:after="100" w:afterAutospacing="1" w:line="240" w:lineRule="auto"/>
        <w:outlineLvl w:val="1"/>
        <w:rPr>
          <w:rFonts w:ascii="Times New Roman" w:eastAsia="Times New Roman" w:hAnsi="Times New Roman" w:cs="Times New Roman"/>
          <w:b/>
          <w:bCs/>
          <w:kern w:val="0"/>
          <w:lang w:val="es-ES"/>
          <w14:ligatures w14:val="none"/>
        </w:rPr>
      </w:pPr>
      <w:r w:rsidRPr="009257E7">
        <w:rPr>
          <w:rFonts w:ascii="Times New Roman" w:eastAsia="Times New Roman" w:hAnsi="Times New Roman" w:cs="Times New Roman"/>
          <w:b/>
          <w:bCs/>
          <w:kern w:val="0"/>
          <w:lang w:val="es-ES"/>
          <w14:ligatures w14:val="none"/>
        </w:rPr>
        <w:lastRenderedPageBreak/>
        <w:t>Parte A: Los sistemas, las castas y los males sociales: El desafío crítico de utilizar el derecho para la justicia</w:t>
      </w:r>
    </w:p>
    <w:p w14:paraId="66705E58" w14:textId="77777777" w:rsidR="00540F7E" w:rsidRPr="009257E7" w:rsidRDefault="00540F7E" w:rsidP="00540F7E">
      <w:pPr>
        <w:spacing w:before="100" w:beforeAutospacing="1" w:after="100" w:afterAutospacing="1" w:line="240" w:lineRule="auto"/>
        <w:outlineLvl w:val="2"/>
        <w:rPr>
          <w:rFonts w:ascii="Times New Roman" w:eastAsia="Times New Roman" w:hAnsi="Times New Roman" w:cs="Times New Roman"/>
          <w:b/>
          <w:bCs/>
          <w:kern w:val="0"/>
          <w:lang w:val="es-ES"/>
          <w14:ligatures w14:val="none"/>
        </w:rPr>
      </w:pPr>
      <w:r w:rsidRPr="009257E7">
        <w:rPr>
          <w:rFonts w:ascii="Times New Roman" w:eastAsia="Times New Roman" w:hAnsi="Times New Roman" w:cs="Times New Roman"/>
          <w:b/>
          <w:bCs/>
          <w:kern w:val="0"/>
          <w:lang w:val="es-ES"/>
          <w14:ligatures w14:val="none"/>
        </w:rPr>
        <w:t>Capítulo 1: Desaprender y reaprender los sistemas y el “Estado de derecho”</w:t>
      </w:r>
    </w:p>
    <w:p w14:paraId="7733059D" w14:textId="41A5CFE2" w:rsidR="002E51F2" w:rsidRPr="009257E7" w:rsidRDefault="002E51F2" w:rsidP="002E51F2">
      <w:pPr>
        <w:spacing w:before="100" w:beforeAutospacing="1" w:after="100" w:afterAutospacing="1" w:line="240" w:lineRule="auto"/>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i/>
          <w:iCs/>
          <w:kern w:val="0"/>
          <w:lang w:val="es-ES"/>
          <w14:ligatures w14:val="none"/>
        </w:rPr>
        <w:t>Las lecciones más importantes no residían en lo que necesitaba aprender, sino en lo que primero necesitaba desaprender.</w:t>
      </w:r>
      <w:r w:rsidR="007B781A" w:rsidRPr="009257E7">
        <w:rPr>
          <w:rFonts w:ascii="Times New Roman" w:eastAsia="Times New Roman" w:hAnsi="Times New Roman" w:cs="Times New Roman"/>
          <w:i/>
          <w:iCs/>
          <w:kern w:val="0"/>
          <w:lang w:val="es-ES"/>
          <w14:ligatures w14:val="none"/>
        </w:rPr>
        <w:t xml:space="preserve"> </w:t>
      </w:r>
      <w:r w:rsidRPr="009257E7">
        <w:rPr>
          <w:rFonts w:ascii="Times New Roman" w:eastAsia="Times New Roman" w:hAnsi="Times New Roman" w:cs="Times New Roman"/>
          <w:kern w:val="0"/>
          <w:lang w:val="es-ES"/>
          <w14:ligatures w14:val="none"/>
        </w:rPr>
        <w:t>—</w:t>
      </w:r>
      <w:r w:rsidRPr="009257E7">
        <w:rPr>
          <w:rFonts w:ascii="Times New Roman" w:eastAsia="Times New Roman" w:hAnsi="Times New Roman" w:cs="Times New Roman"/>
          <w:b/>
          <w:bCs/>
          <w:kern w:val="0"/>
          <w:lang w:val="es-ES"/>
          <w14:ligatures w14:val="none"/>
        </w:rPr>
        <w:t>Jim Collins</w:t>
      </w:r>
      <w:r w:rsidRPr="009257E7">
        <w:rPr>
          <w:rFonts w:ascii="Times New Roman" w:eastAsia="Times New Roman" w:hAnsi="Times New Roman" w:cs="Times New Roman"/>
          <w:kern w:val="0"/>
          <w:lang w:val="es-ES"/>
          <w14:ligatures w14:val="none"/>
        </w:rPr>
        <w:t>, autor</w:t>
      </w:r>
    </w:p>
    <w:p w14:paraId="7B6B505E" w14:textId="77777777" w:rsidR="002E51F2" w:rsidRPr="009257E7" w:rsidRDefault="002E51F2" w:rsidP="002E51F2">
      <w:pPr>
        <w:spacing w:before="100" w:beforeAutospacing="1" w:after="100" w:afterAutospacing="1" w:line="240" w:lineRule="auto"/>
        <w:outlineLvl w:val="1"/>
        <w:rPr>
          <w:rFonts w:ascii="Times New Roman" w:eastAsia="Times New Roman" w:hAnsi="Times New Roman" w:cs="Times New Roman"/>
          <w:b/>
          <w:bCs/>
          <w:kern w:val="0"/>
          <w:lang w:val="es-ES"/>
          <w14:ligatures w14:val="none"/>
        </w:rPr>
      </w:pPr>
      <w:r w:rsidRPr="009257E7">
        <w:rPr>
          <w:rFonts w:ascii="Times New Roman" w:eastAsia="Times New Roman" w:hAnsi="Times New Roman" w:cs="Times New Roman"/>
          <w:b/>
          <w:bCs/>
          <w:kern w:val="0"/>
          <w:lang w:val="es-ES"/>
          <w14:ligatures w14:val="none"/>
        </w:rPr>
        <w:t>INTRODUCCIÓN</w:t>
      </w:r>
    </w:p>
    <w:p w14:paraId="5EF71B69" w14:textId="4CCB5DE3" w:rsidR="002E51F2" w:rsidRPr="009257E7" w:rsidRDefault="002E51F2" w:rsidP="007B781A">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 xml:space="preserve">Los problemas sociales persistentes parecen intratables: la pobreza, la falta de atención médica, la educación inadecuada, la violencia, los alimentos y el agua contaminados, los ingresos bajos, el acoso, el encarcelamiento masivo y la lista continúa. La injusticia sistémica persiste cuando los derechos, el poder, los recursos y la seguridad se distribuyen de manera desigual entre </w:t>
      </w:r>
      <w:r w:rsidR="006F702B" w:rsidRPr="009257E7">
        <w:rPr>
          <w:rFonts w:ascii="Times New Roman" w:eastAsia="Times New Roman" w:hAnsi="Times New Roman" w:cs="Times New Roman"/>
          <w:kern w:val="0"/>
          <w:lang w:val="es-ES"/>
          <w14:ligatures w14:val="none"/>
        </w:rPr>
        <w:t xml:space="preserve">los </w:t>
      </w:r>
      <w:r w:rsidRPr="009257E7">
        <w:rPr>
          <w:rFonts w:ascii="Times New Roman" w:eastAsia="Times New Roman" w:hAnsi="Times New Roman" w:cs="Times New Roman"/>
          <w:kern w:val="0"/>
          <w:lang w:val="es-ES"/>
          <w14:ligatures w14:val="none"/>
        </w:rPr>
        <w:t>integrantes de distintos grupos sociales de forma sistemática. Esa distribución asegura que los problemas sociales de alcance grupal, arraigados en esas desigualdades, continúen durante períodos largos e indefinidos. Por lo tanto, sistemático significa por diseño.</w:t>
      </w:r>
    </w:p>
    <w:p w14:paraId="48E36F53" w14:textId="4A60E612" w:rsidR="002E51F2" w:rsidRPr="009257E7" w:rsidRDefault="002E51F2" w:rsidP="006F702B">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El “Estado de derecho” es el sistema que los seres humanos diseñaron, supuestamente, para resolver problemas sociales y ofrecer justicia igualitaria para todes. La justicia igualitaria es la promesa solemne que el sistema jurídico</w:t>
      </w:r>
      <w:r w:rsidR="00977239" w:rsidRPr="009257E7">
        <w:rPr>
          <w:rFonts w:ascii="Times New Roman" w:eastAsia="Times New Roman" w:hAnsi="Times New Roman" w:cs="Times New Roman"/>
          <w:kern w:val="0"/>
          <w:lang w:val="es-ES"/>
          <w14:ligatures w14:val="none"/>
        </w:rPr>
        <w:t xml:space="preserve"> hace</w:t>
      </w:r>
      <w:r w:rsidRPr="009257E7">
        <w:rPr>
          <w:rFonts w:ascii="Times New Roman" w:eastAsia="Times New Roman" w:hAnsi="Times New Roman" w:cs="Times New Roman"/>
          <w:kern w:val="0"/>
          <w:lang w:val="es-ES"/>
          <w14:ligatures w14:val="none"/>
        </w:rPr>
        <w:t xml:space="preserve"> de producir una toma de decisiones responsable y basada en principios mediante la democracia y la adjudicación. Cumplir esa promesa es una fuente central de la utilidad práctica y </w:t>
      </w:r>
      <w:r w:rsidR="00977239" w:rsidRPr="009257E7">
        <w:rPr>
          <w:rFonts w:ascii="Times New Roman" w:eastAsia="Times New Roman" w:hAnsi="Times New Roman" w:cs="Times New Roman"/>
          <w:kern w:val="0"/>
          <w:lang w:val="es-ES"/>
          <w14:ligatures w14:val="none"/>
        </w:rPr>
        <w:t xml:space="preserve">de </w:t>
      </w:r>
      <w:r w:rsidRPr="009257E7">
        <w:rPr>
          <w:rFonts w:ascii="Times New Roman" w:eastAsia="Times New Roman" w:hAnsi="Times New Roman" w:cs="Times New Roman"/>
          <w:kern w:val="0"/>
          <w:lang w:val="es-ES"/>
          <w14:ligatures w14:val="none"/>
        </w:rPr>
        <w:t xml:space="preserve">la legitimidad moral del derecho. Les abogades, y las personas en general, esperan “Justicia igualitaria bajo la ley” porque esa es la promesa literalmente grabada en el pórtico de mármol de la Corte Suprema de Estados Unidos y escrita en otros documentos fundacionales. “Establecer la justicia” ocupa el segundo lugar entre los propósitos sistémicos del derecho expresados de forma explícita en el Preámbulo de la Constitución de </w:t>
      </w:r>
      <w:r w:rsidR="001D2BF6" w:rsidRPr="009257E7">
        <w:rPr>
          <w:rFonts w:ascii="Times New Roman" w:eastAsia="Times New Roman" w:hAnsi="Times New Roman" w:cs="Times New Roman"/>
          <w:kern w:val="0"/>
          <w:lang w:val="es-ES"/>
          <w14:ligatures w14:val="none"/>
        </w:rPr>
        <w:t xml:space="preserve">los </w:t>
      </w:r>
      <w:r w:rsidRPr="009257E7">
        <w:rPr>
          <w:rFonts w:ascii="Times New Roman" w:eastAsia="Times New Roman" w:hAnsi="Times New Roman" w:cs="Times New Roman"/>
          <w:kern w:val="0"/>
          <w:lang w:val="es-ES"/>
          <w14:ligatures w14:val="none"/>
        </w:rPr>
        <w:t>Estados Unidos:</w:t>
      </w:r>
    </w:p>
    <w:p w14:paraId="5832975F" w14:textId="4993DF97" w:rsidR="002E51F2" w:rsidRPr="009257E7" w:rsidRDefault="002E51F2" w:rsidP="001D2BF6">
      <w:pPr>
        <w:spacing w:before="100" w:beforeAutospacing="1" w:after="100" w:afterAutospacing="1" w:line="240" w:lineRule="auto"/>
        <w:ind w:left="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 xml:space="preserve">Nosotros, el </w:t>
      </w:r>
      <w:r w:rsidR="00977239" w:rsidRPr="009257E7">
        <w:rPr>
          <w:rFonts w:ascii="Times New Roman" w:eastAsia="Times New Roman" w:hAnsi="Times New Roman" w:cs="Times New Roman"/>
          <w:kern w:val="0"/>
          <w:lang w:val="es-ES"/>
          <w14:ligatures w14:val="none"/>
        </w:rPr>
        <w:t>p</w:t>
      </w:r>
      <w:r w:rsidRPr="009257E7">
        <w:rPr>
          <w:rFonts w:ascii="Times New Roman" w:eastAsia="Times New Roman" w:hAnsi="Times New Roman" w:cs="Times New Roman"/>
          <w:kern w:val="0"/>
          <w:lang w:val="es-ES"/>
          <w14:ligatures w14:val="none"/>
        </w:rPr>
        <w:t>ueblo de Estados Unidos, a fin de formar una Unión más perfecta, establecer la justicia, asegurar la tranquilidad interna, proveer la defensa común, promover el bienestar general y asegurar los beneficios de la libertad para nosotres y para nuestra posteridad, ordenamos y establecemos esta Constitución para Estados Unidos de América.</w:t>
      </w:r>
    </w:p>
    <w:p w14:paraId="6A4B0624" w14:textId="77777777" w:rsidR="00041FAF" w:rsidRPr="009257E7" w:rsidRDefault="00041FAF" w:rsidP="00041FAF">
      <w:pPr>
        <w:pStyle w:val="NormalWeb"/>
        <w:ind w:firstLine="720"/>
        <w:rPr>
          <w:lang w:val="es-ES"/>
        </w:rPr>
      </w:pPr>
      <w:r w:rsidRPr="009257E7">
        <w:rPr>
          <w:lang w:val="es-ES"/>
        </w:rPr>
        <w:t>Este propósito y esta promesa son fundacionales para el derecho no solo en Estados Unidos, sino también en otros sistemas jurídicos, incluido el sistema del derecho internacional. A través de todas las fronteras, la justicia desigual sigue siendo una realidad para grupos sociales enteros porque el compromiso con la justicia igualitaria ha sido desplazado por otra cosa: el poder, la codicia, la ganancia.</w:t>
      </w:r>
    </w:p>
    <w:p w14:paraId="5B378F75" w14:textId="4A278487" w:rsidR="00041FAF" w:rsidRPr="009257E7" w:rsidRDefault="00041FAF" w:rsidP="00183B3B">
      <w:pPr>
        <w:pStyle w:val="NormalWeb"/>
        <w:ind w:firstLine="720"/>
        <w:rPr>
          <w:lang w:val="es-ES"/>
        </w:rPr>
      </w:pPr>
      <w:r w:rsidRPr="009257E7">
        <w:rPr>
          <w:lang w:val="es-ES"/>
        </w:rPr>
        <w:t xml:space="preserve">Como resultado de esta contradicción intencional, los resultados sistémicos reproducen los “problemas sociales” y sus desigualdades grupales basadas en la identidad, hasta convertirse simplemente en “lo de siempre”. </w:t>
      </w:r>
      <w:r w:rsidR="00183B3B" w:rsidRPr="009257E7">
        <w:rPr>
          <w:lang w:val="es-ES"/>
        </w:rPr>
        <w:t xml:space="preserve">Estos resultados injustos (pero que se hacen pasar por justificados) quedan poco a poco en un segundo plano, hasta tal punto que se normalizan y casi pasan desapercibidos “oficialmente”. </w:t>
      </w:r>
      <w:r w:rsidRPr="009257E7">
        <w:rPr>
          <w:lang w:val="es-ES"/>
        </w:rPr>
        <w:t xml:space="preserve">Las élites usan los sistemas para establecer hegemonías, </w:t>
      </w:r>
      <w:r w:rsidRPr="009257E7">
        <w:rPr>
          <w:lang w:val="es-ES"/>
        </w:rPr>
        <w:lastRenderedPageBreak/>
        <w:t>pero los resultados injustos recurrentes nunca son aceptados del todo por todos los grupos</w:t>
      </w:r>
      <w:r w:rsidR="00183B3B" w:rsidRPr="009257E7">
        <w:rPr>
          <w:lang w:val="es-ES"/>
        </w:rPr>
        <w:t>,</w:t>
      </w:r>
      <w:r w:rsidRPr="009257E7">
        <w:rPr>
          <w:lang w:val="es-ES"/>
        </w:rPr>
        <w:t xml:space="preserve"> sin objeci</w:t>
      </w:r>
      <w:r w:rsidR="00183B3B" w:rsidRPr="009257E7">
        <w:rPr>
          <w:lang w:val="es-ES"/>
        </w:rPr>
        <w:t>ones</w:t>
      </w:r>
      <w:r w:rsidRPr="009257E7">
        <w:rPr>
          <w:lang w:val="es-ES"/>
        </w:rPr>
        <w:t xml:space="preserve"> ni resistencia</w:t>
      </w:r>
      <w:r w:rsidR="00183B3B" w:rsidRPr="009257E7">
        <w:rPr>
          <w:lang w:val="es-ES"/>
        </w:rPr>
        <w:t>s</w:t>
      </w:r>
      <w:r w:rsidRPr="009257E7">
        <w:rPr>
          <w:lang w:val="es-ES"/>
        </w:rPr>
        <w:t xml:space="preserve">. Les abogades y </w:t>
      </w:r>
      <w:r w:rsidR="002B55F0" w:rsidRPr="009257E7">
        <w:rPr>
          <w:lang w:val="es-ES"/>
        </w:rPr>
        <w:t xml:space="preserve">les </w:t>
      </w:r>
      <w:r w:rsidRPr="009257E7">
        <w:rPr>
          <w:lang w:val="es-ES"/>
        </w:rPr>
        <w:t xml:space="preserve">activistas luchan en conjunto para combatir la injusticia sistémica. También reúnen perspectivas </w:t>
      </w:r>
      <w:r w:rsidR="009577DC" w:rsidRPr="009257E7">
        <w:rPr>
          <w:lang w:val="es-ES"/>
        </w:rPr>
        <w:t>basadas en</w:t>
      </w:r>
      <w:r w:rsidRPr="009257E7">
        <w:rPr>
          <w:lang w:val="es-ES"/>
        </w:rPr>
        <w:t xml:space="preserve"> el conocimiento y la experiencia para orientar la acción futura. Aprenden, desaprenden y reaprenden de forma constante.</w:t>
      </w:r>
    </w:p>
    <w:p w14:paraId="7D87696C" w14:textId="7CD45486" w:rsidR="00041FAF" w:rsidRPr="009257E7" w:rsidRDefault="00041FAF" w:rsidP="002B55F0">
      <w:pPr>
        <w:pStyle w:val="NormalWeb"/>
        <w:ind w:firstLine="720"/>
        <w:rPr>
          <w:lang w:val="es-ES"/>
        </w:rPr>
      </w:pPr>
      <w:r w:rsidRPr="009257E7">
        <w:rPr>
          <w:lang w:val="es-ES"/>
        </w:rPr>
        <w:t xml:space="preserve">En términos más amplios, los orígenes occidentales del derecho </w:t>
      </w:r>
      <w:r w:rsidR="009577DC" w:rsidRPr="009257E7">
        <w:rPr>
          <w:lang w:val="es-ES"/>
        </w:rPr>
        <w:t>se</w:t>
      </w:r>
      <w:r w:rsidRPr="009257E7">
        <w:rPr>
          <w:lang w:val="es-ES"/>
        </w:rPr>
        <w:t xml:space="preserve"> </w:t>
      </w:r>
      <w:r w:rsidR="009577DC" w:rsidRPr="009257E7">
        <w:rPr>
          <w:lang w:val="es-ES"/>
        </w:rPr>
        <w:t>remontan a</w:t>
      </w:r>
      <w:r w:rsidRPr="009257E7">
        <w:rPr>
          <w:lang w:val="es-ES"/>
        </w:rPr>
        <w:t xml:space="preserve"> </w:t>
      </w:r>
      <w:r w:rsidR="001E5EC7" w:rsidRPr="009257E7">
        <w:rPr>
          <w:lang w:val="es-ES"/>
        </w:rPr>
        <w:t xml:space="preserve">los </w:t>
      </w:r>
      <w:r w:rsidRPr="009257E7">
        <w:rPr>
          <w:lang w:val="es-ES"/>
        </w:rPr>
        <w:t xml:space="preserve">conflictos entre </w:t>
      </w:r>
      <w:r w:rsidR="009577DC" w:rsidRPr="009257E7">
        <w:rPr>
          <w:lang w:val="es-ES"/>
        </w:rPr>
        <w:t xml:space="preserve">las </w:t>
      </w:r>
      <w:r w:rsidRPr="009257E7">
        <w:rPr>
          <w:lang w:val="es-ES"/>
        </w:rPr>
        <w:t xml:space="preserve">élites europeas. Pero su desarrollo global se </w:t>
      </w:r>
      <w:r w:rsidR="001E5EC7" w:rsidRPr="009257E7">
        <w:rPr>
          <w:lang w:val="es-ES"/>
        </w:rPr>
        <w:t>originó</w:t>
      </w:r>
      <w:r w:rsidRPr="009257E7">
        <w:rPr>
          <w:lang w:val="es-ES"/>
        </w:rPr>
        <w:t xml:space="preserve"> </w:t>
      </w:r>
      <w:r w:rsidR="001E5EC7" w:rsidRPr="009257E7">
        <w:rPr>
          <w:lang w:val="es-ES"/>
        </w:rPr>
        <w:t>en</w:t>
      </w:r>
      <w:r w:rsidRPr="009257E7">
        <w:rPr>
          <w:lang w:val="es-ES"/>
        </w:rPr>
        <w:t xml:space="preserve"> la expansión del colonialismo europeo y</w:t>
      </w:r>
      <w:r w:rsidR="001E5EC7" w:rsidRPr="009257E7">
        <w:rPr>
          <w:lang w:val="es-ES"/>
        </w:rPr>
        <w:t xml:space="preserve"> en</w:t>
      </w:r>
      <w:r w:rsidRPr="009257E7">
        <w:rPr>
          <w:lang w:val="es-ES"/>
        </w:rPr>
        <w:t xml:space="preserve"> sus legados. Este sistema</w:t>
      </w:r>
      <w:r w:rsidR="001E5EC7" w:rsidRPr="009257E7">
        <w:rPr>
          <w:lang w:val="es-ES"/>
        </w:rPr>
        <w:t>,</w:t>
      </w:r>
      <w:r w:rsidRPr="009257E7">
        <w:rPr>
          <w:lang w:val="es-ES"/>
        </w:rPr>
        <w:t xml:space="preserve"> hoy globalizado, a menudo llamado “Estado de derecho”, es el foco principal de nuestros estudios. Los sistemas del Estado de derecho s</w:t>
      </w:r>
      <w:r w:rsidR="001E5EC7" w:rsidRPr="009257E7">
        <w:rPr>
          <w:lang w:val="es-ES"/>
        </w:rPr>
        <w:t>o</w:t>
      </w:r>
      <w:r w:rsidRPr="009257E7">
        <w:rPr>
          <w:lang w:val="es-ES"/>
        </w:rPr>
        <w:t>n conjuntos elásticos de nociones, prácticas e instituciones interrelacionadas, desarrollad</w:t>
      </w:r>
      <w:r w:rsidR="001E5EC7" w:rsidRPr="009257E7">
        <w:rPr>
          <w:lang w:val="es-ES"/>
        </w:rPr>
        <w:t>o</w:t>
      </w:r>
      <w:r w:rsidRPr="009257E7">
        <w:rPr>
          <w:lang w:val="es-ES"/>
        </w:rPr>
        <w:t>s para asegurar “equidad procesal, honestidad y consistencia”, en oposición al “gobierno de los hombres”, que “tiene la connotación de arbitrariedad, corrupción e inestabilidad”</w:t>
      </w:r>
      <w:r w:rsidR="00F920FD" w:rsidRPr="009257E7">
        <w:rPr>
          <w:rStyle w:val="FootnoteReference"/>
          <w:lang w:val="es-ES"/>
        </w:rPr>
        <w:footnoteReference w:id="2"/>
      </w:r>
      <w:r w:rsidRPr="009257E7">
        <w:rPr>
          <w:lang w:val="es-ES"/>
        </w:rPr>
        <w:t>. Los resultados del derecho deberían considerarse justos y legítimos y no parecer mandatos caprichosos o sesgados de quienes tienen poder. En resumen, se suponía que este sistema reemplazaría el gobierno caprichoso del poder por el gobierno del derecho, basado en principios y sujeto a rendición de cuentas.</w:t>
      </w:r>
    </w:p>
    <w:p w14:paraId="707D0147" w14:textId="6E47F122" w:rsidR="00D03636" w:rsidRPr="009257E7" w:rsidRDefault="00D03636" w:rsidP="00D03636">
      <w:pPr>
        <w:pStyle w:val="NormalWeb"/>
        <w:ind w:firstLine="720"/>
        <w:rPr>
          <w:lang w:val="es-ES"/>
        </w:rPr>
      </w:pPr>
      <w:r w:rsidRPr="009257E7">
        <w:rPr>
          <w:lang w:val="es-ES"/>
        </w:rPr>
        <w:t xml:space="preserve">En términos históricos, entonces, este giro hacia el derecho como sistema de justicia describe una respuesta colectivizada frente a </w:t>
      </w:r>
      <w:r w:rsidR="008A1252" w:rsidRPr="009257E7">
        <w:rPr>
          <w:lang w:val="es-ES"/>
        </w:rPr>
        <w:t xml:space="preserve">las </w:t>
      </w:r>
      <w:r w:rsidRPr="009257E7">
        <w:rPr>
          <w:lang w:val="es-ES"/>
        </w:rPr>
        <w:t>élites gobernantes sin principios, sin rendición de cuentas, tiránicas, movidas por intereses propios o de otras maneras</w:t>
      </w:r>
      <w:r w:rsidR="008A1252" w:rsidRPr="009257E7">
        <w:rPr>
          <w:lang w:val="es-ES"/>
        </w:rPr>
        <w:t xml:space="preserve"> injustas</w:t>
      </w:r>
      <w:r w:rsidRPr="009257E7">
        <w:rPr>
          <w:lang w:val="es-ES"/>
        </w:rPr>
        <w:t xml:space="preserve">. Estos orígenes explican el compromiso central con la justicia por encima del poder: se supone que el Estado de derecho garantiza la justicia igualitaria en la </w:t>
      </w:r>
      <w:r w:rsidR="008A1252" w:rsidRPr="009257E7">
        <w:rPr>
          <w:lang w:val="es-ES"/>
        </w:rPr>
        <w:t>re</w:t>
      </w:r>
      <w:r w:rsidRPr="009257E7">
        <w:rPr>
          <w:lang w:val="es-ES"/>
        </w:rPr>
        <w:t xml:space="preserve">solución de problemas, tanto mediante la formulación democrática de políticas como mediante la </w:t>
      </w:r>
      <w:r w:rsidR="008A1252" w:rsidRPr="009257E7">
        <w:rPr>
          <w:lang w:val="es-ES"/>
        </w:rPr>
        <w:t>resolu</w:t>
      </w:r>
      <w:r w:rsidRPr="009257E7">
        <w:rPr>
          <w:lang w:val="es-ES"/>
        </w:rPr>
        <w:t xml:space="preserve">ción de disputas. En términos sustantivos, este sistema se apoya en </w:t>
      </w:r>
      <w:r w:rsidR="008A1252" w:rsidRPr="009257E7">
        <w:rPr>
          <w:lang w:val="es-ES"/>
        </w:rPr>
        <w:t>un</w:t>
      </w:r>
      <w:r w:rsidRPr="009257E7">
        <w:rPr>
          <w:lang w:val="es-ES"/>
        </w:rPr>
        <w:t xml:space="preserve">a justificación </w:t>
      </w:r>
      <w:r w:rsidR="008A1252" w:rsidRPr="009257E7">
        <w:rPr>
          <w:lang w:val="es-ES"/>
        </w:rPr>
        <w:t>sóli</w:t>
      </w:r>
      <w:r w:rsidRPr="009257E7">
        <w:rPr>
          <w:lang w:val="es-ES"/>
        </w:rPr>
        <w:t xml:space="preserve">da </w:t>
      </w:r>
      <w:r w:rsidR="008A1252" w:rsidRPr="009257E7">
        <w:rPr>
          <w:lang w:val="es-ES"/>
        </w:rPr>
        <w:t>que</w:t>
      </w:r>
      <w:r w:rsidRPr="009257E7">
        <w:rPr>
          <w:lang w:val="es-ES"/>
        </w:rPr>
        <w:t xml:space="preserve"> legitima su existencia y su diseño. Les </w:t>
      </w:r>
      <w:proofErr w:type="spellStart"/>
      <w:r w:rsidRPr="009257E7">
        <w:rPr>
          <w:lang w:val="es-ES"/>
        </w:rPr>
        <w:t>académicxs</w:t>
      </w:r>
      <w:proofErr w:type="spellEnd"/>
      <w:r w:rsidRPr="009257E7">
        <w:rPr>
          <w:lang w:val="es-ES"/>
        </w:rPr>
        <w:t xml:space="preserve"> </w:t>
      </w:r>
      <w:proofErr w:type="spellStart"/>
      <w:r w:rsidRPr="009257E7">
        <w:rPr>
          <w:lang w:val="es-ES"/>
        </w:rPr>
        <w:t>críticxs</w:t>
      </w:r>
      <w:proofErr w:type="spellEnd"/>
      <w:r w:rsidRPr="009257E7">
        <w:rPr>
          <w:lang w:val="es-ES"/>
        </w:rPr>
        <w:t xml:space="preserve"> usan esa misma justificación para cuestionar su desempeño, como se refleja en sus resultados reales. En términos geográficos, los sistemas del Estado de derecho son ahora locales, nacionales, regionales e internacionales. Hoy, el derecho es un sistema singularmente crucial porque regula y gobierna muchos otros sistemas relacionados con el derecho: económicos, políticos y más.</w:t>
      </w:r>
    </w:p>
    <w:p w14:paraId="06A6E799" w14:textId="7DC04FC8" w:rsidR="00D03636" w:rsidRPr="009257E7" w:rsidRDefault="00D03636" w:rsidP="00EC6B2F">
      <w:pPr>
        <w:pStyle w:val="NormalWeb"/>
        <w:ind w:firstLine="720"/>
        <w:rPr>
          <w:lang w:val="es-ES"/>
        </w:rPr>
      </w:pPr>
      <w:r w:rsidRPr="009257E7">
        <w:rPr>
          <w:lang w:val="es-ES"/>
        </w:rPr>
        <w:t xml:space="preserve">En 2007, la American Bar </w:t>
      </w:r>
      <w:proofErr w:type="spellStart"/>
      <w:r w:rsidRPr="009257E7">
        <w:rPr>
          <w:lang w:val="es-ES"/>
        </w:rPr>
        <w:t>Association</w:t>
      </w:r>
      <w:proofErr w:type="spellEnd"/>
      <w:r w:rsidRPr="009257E7">
        <w:rPr>
          <w:lang w:val="es-ES"/>
        </w:rPr>
        <w:t xml:space="preserve"> estableció el World Justice Project, en parte para desarrollar una definición aceptada a nivel global del término amorfo y disputado —el “Estado de derecho”— que, a su vez, pudiera usarse como índice para medir la adhesión local a ese estándar. La definición </w:t>
      </w:r>
      <w:r w:rsidR="00AC3CFC" w:rsidRPr="009257E7">
        <w:rPr>
          <w:lang w:val="es-ES"/>
        </w:rPr>
        <w:t>desarrollada</w:t>
      </w:r>
      <w:r w:rsidRPr="009257E7">
        <w:rPr>
          <w:lang w:val="es-ES"/>
        </w:rPr>
        <w:t xml:space="preserve"> incluyó estos cuatro principios:</w:t>
      </w:r>
    </w:p>
    <w:p w14:paraId="4C0F9426" w14:textId="77777777" w:rsidR="00D03636" w:rsidRPr="009257E7" w:rsidRDefault="00D03636" w:rsidP="00AC3CFC">
      <w:pPr>
        <w:pStyle w:val="NormalWeb"/>
        <w:numPr>
          <w:ilvl w:val="0"/>
          <w:numId w:val="1"/>
        </w:numPr>
        <w:rPr>
          <w:lang w:val="es-ES"/>
        </w:rPr>
      </w:pPr>
      <w:r w:rsidRPr="009257E7">
        <w:rPr>
          <w:lang w:val="es-ES"/>
        </w:rPr>
        <w:t>Un sistema de autogobierno en el que todas las personas, incluido el gobierno, rinden cuentas bajo el derecho;</w:t>
      </w:r>
    </w:p>
    <w:p w14:paraId="0CB35F28" w14:textId="77777777" w:rsidR="00D03636" w:rsidRPr="009257E7" w:rsidRDefault="00D03636" w:rsidP="00AC3CFC">
      <w:pPr>
        <w:pStyle w:val="NormalWeb"/>
        <w:numPr>
          <w:ilvl w:val="0"/>
          <w:numId w:val="1"/>
        </w:numPr>
        <w:rPr>
          <w:lang w:val="es-ES"/>
        </w:rPr>
      </w:pPr>
      <w:r w:rsidRPr="009257E7">
        <w:rPr>
          <w:lang w:val="es-ES"/>
        </w:rPr>
        <w:t>Un sistema basado en leyes justas, publicadas, ampliamente comprendidas y estables;</w:t>
      </w:r>
    </w:p>
    <w:p w14:paraId="585643D7" w14:textId="77777777" w:rsidR="00D03636" w:rsidRPr="009257E7" w:rsidRDefault="00D03636" w:rsidP="00AC3CFC">
      <w:pPr>
        <w:pStyle w:val="NormalWeb"/>
        <w:numPr>
          <w:ilvl w:val="0"/>
          <w:numId w:val="1"/>
        </w:numPr>
        <w:rPr>
          <w:lang w:val="es-ES"/>
        </w:rPr>
      </w:pPr>
      <w:r w:rsidRPr="009257E7">
        <w:rPr>
          <w:lang w:val="es-ES"/>
        </w:rPr>
        <w:t>Un proceso jurídico justo, robusto y accesible, en el que los derechos y las responsabilidades basados en el derecho se aplican de manera uniforme; y</w:t>
      </w:r>
    </w:p>
    <w:p w14:paraId="007585CC" w14:textId="5F3BCEB8" w:rsidR="00D03636" w:rsidRPr="009257E7" w:rsidRDefault="00D03636" w:rsidP="00AC3CFC">
      <w:pPr>
        <w:pStyle w:val="NormalWeb"/>
        <w:numPr>
          <w:ilvl w:val="0"/>
          <w:numId w:val="1"/>
        </w:numPr>
        <w:rPr>
          <w:lang w:val="es-ES"/>
        </w:rPr>
      </w:pPr>
      <w:r w:rsidRPr="009257E7">
        <w:rPr>
          <w:lang w:val="es-ES"/>
        </w:rPr>
        <w:t>Abogades y jueces diverses, competentes e independientes.</w:t>
      </w:r>
      <w:r w:rsidR="00BE7E84" w:rsidRPr="009257E7">
        <w:rPr>
          <w:rStyle w:val="FootnoteReference"/>
          <w:lang w:val="es-ES"/>
        </w:rPr>
        <w:footnoteReference w:id="3"/>
      </w:r>
    </w:p>
    <w:p w14:paraId="379A8BCC" w14:textId="64E0961D" w:rsidR="00D03636" w:rsidRPr="009257E7" w:rsidRDefault="00D03636" w:rsidP="00F17978">
      <w:pPr>
        <w:pStyle w:val="NormalWeb"/>
        <w:ind w:firstLine="360"/>
        <w:rPr>
          <w:lang w:val="es-ES"/>
        </w:rPr>
      </w:pPr>
      <w:r w:rsidRPr="009257E7">
        <w:rPr>
          <w:lang w:val="es-ES"/>
        </w:rPr>
        <w:t xml:space="preserve">Estos se han convertido en los cuatro principios mediante los cuales los sistemas occidentales modernos del “Estado de derecho” nos invitan a evaluar sus promesas, </w:t>
      </w:r>
      <w:r w:rsidR="00F17978" w:rsidRPr="009257E7">
        <w:rPr>
          <w:lang w:val="es-ES"/>
        </w:rPr>
        <w:t xml:space="preserve">sus </w:t>
      </w:r>
      <w:r w:rsidRPr="009257E7">
        <w:rPr>
          <w:lang w:val="es-ES"/>
        </w:rPr>
        <w:t xml:space="preserve">diseños, </w:t>
      </w:r>
      <w:r w:rsidR="00F17978" w:rsidRPr="009257E7">
        <w:rPr>
          <w:lang w:val="es-ES"/>
        </w:rPr>
        <w:t xml:space="preserve">sus </w:t>
      </w:r>
      <w:r w:rsidRPr="009257E7">
        <w:rPr>
          <w:lang w:val="es-ES"/>
        </w:rPr>
        <w:t xml:space="preserve">procesos </w:t>
      </w:r>
      <w:r w:rsidRPr="009257E7">
        <w:rPr>
          <w:lang w:val="es-ES"/>
        </w:rPr>
        <w:lastRenderedPageBreak/>
        <w:t xml:space="preserve">y </w:t>
      </w:r>
      <w:r w:rsidR="00F17978" w:rsidRPr="009257E7">
        <w:rPr>
          <w:lang w:val="es-ES"/>
        </w:rPr>
        <w:t xml:space="preserve">sus </w:t>
      </w:r>
      <w:r w:rsidRPr="009257E7">
        <w:rPr>
          <w:lang w:val="es-ES"/>
        </w:rPr>
        <w:t xml:space="preserve">resultados. Después de siglos de operación, el derecho cuenta con siglos de resultados sistémicos que confirman su propósito. Como punta de lanza del colonialismo y de todo lo que ha seguido en su estela persistente, el derecho ha desempeñado un papel central y constitutivo. Esto incluye, como se detalla más adelante, producir, modificar, justificar y continuar </w:t>
      </w:r>
      <w:r w:rsidR="00AD504C" w:rsidRPr="009257E7">
        <w:rPr>
          <w:lang w:val="es-ES"/>
        </w:rPr>
        <w:t xml:space="preserve">con </w:t>
      </w:r>
      <w:r w:rsidR="00570721" w:rsidRPr="009257E7">
        <w:rPr>
          <w:lang w:val="es-ES"/>
        </w:rPr>
        <w:t xml:space="preserve">las </w:t>
      </w:r>
      <w:r w:rsidRPr="009257E7">
        <w:rPr>
          <w:lang w:val="es-ES"/>
        </w:rPr>
        <w:t>castas basadas en la identidad. Tomar nota de este hecho histórico exige desplazar la atención de las promesas en el papel a los resultados en la sociedad.</w:t>
      </w:r>
    </w:p>
    <w:p w14:paraId="6CE2EFFC" w14:textId="3487852F" w:rsidR="00A56A9E" w:rsidRPr="009257E7" w:rsidRDefault="00A56A9E" w:rsidP="00A56A9E">
      <w:pPr>
        <w:spacing w:before="100" w:beforeAutospacing="1" w:after="100" w:afterAutospacing="1" w:line="240" w:lineRule="auto"/>
        <w:outlineLvl w:val="1"/>
        <w:rPr>
          <w:rFonts w:ascii="Times New Roman" w:eastAsia="Times New Roman" w:hAnsi="Times New Roman" w:cs="Times New Roman"/>
          <w:b/>
          <w:bCs/>
          <w:kern w:val="0"/>
          <w:lang w:val="es-ES"/>
          <w14:ligatures w14:val="none"/>
        </w:rPr>
      </w:pPr>
      <w:r w:rsidRPr="009257E7">
        <w:rPr>
          <w:rFonts w:ascii="Times New Roman" w:eastAsia="Times New Roman" w:hAnsi="Times New Roman" w:cs="Times New Roman"/>
          <w:b/>
          <w:bCs/>
          <w:kern w:val="0"/>
          <w:lang w:val="es-ES"/>
          <w14:ligatures w14:val="none"/>
        </w:rPr>
        <w:t>1.1 Los sistemas se juzgan por sus resultados reales y sus efectos recurrentes</w:t>
      </w:r>
    </w:p>
    <w:p w14:paraId="591D837E" w14:textId="231244EB" w:rsidR="00A56A9E" w:rsidRPr="009257E7" w:rsidRDefault="00A56A9E" w:rsidP="00A56A9E">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 xml:space="preserve">Los paisajes sociales, culturales, políticos, económicos y jurídicos se diseñan mediante sistemas. Cada momento histórico refleja el estado de las luchas continuas entre el diseño desde arriba y la resistencia desde abajo. Los sistemas importan, tanto para las personas como para los grupos. Importan </w:t>
      </w:r>
      <w:r w:rsidR="000956EB" w:rsidRPr="009257E7">
        <w:rPr>
          <w:rFonts w:ascii="Times New Roman" w:eastAsia="Times New Roman" w:hAnsi="Times New Roman" w:cs="Times New Roman"/>
          <w:kern w:val="0"/>
          <w:lang w:val="es-ES"/>
          <w14:ligatures w14:val="none"/>
        </w:rPr>
        <w:t xml:space="preserve">tanto </w:t>
      </w:r>
      <w:r w:rsidRPr="009257E7">
        <w:rPr>
          <w:rFonts w:ascii="Times New Roman" w:eastAsia="Times New Roman" w:hAnsi="Times New Roman" w:cs="Times New Roman"/>
          <w:kern w:val="0"/>
          <w:lang w:val="es-ES"/>
          <w14:ligatures w14:val="none"/>
        </w:rPr>
        <w:t xml:space="preserve">en términos materiales </w:t>
      </w:r>
      <w:r w:rsidR="000956EB" w:rsidRPr="009257E7">
        <w:rPr>
          <w:rFonts w:ascii="Times New Roman" w:eastAsia="Times New Roman" w:hAnsi="Times New Roman" w:cs="Times New Roman"/>
          <w:kern w:val="0"/>
          <w:lang w:val="es-ES"/>
          <w14:ligatures w14:val="none"/>
        </w:rPr>
        <w:t>como</w:t>
      </w:r>
      <w:r w:rsidRPr="009257E7">
        <w:rPr>
          <w:rFonts w:ascii="Times New Roman" w:eastAsia="Times New Roman" w:hAnsi="Times New Roman" w:cs="Times New Roman"/>
          <w:kern w:val="0"/>
          <w:lang w:val="es-ES"/>
          <w14:ligatures w14:val="none"/>
        </w:rPr>
        <w:t xml:space="preserve"> </w:t>
      </w:r>
      <w:r w:rsidR="000956EB" w:rsidRPr="009257E7">
        <w:rPr>
          <w:rFonts w:ascii="Times New Roman" w:eastAsia="Times New Roman" w:hAnsi="Times New Roman" w:cs="Times New Roman"/>
          <w:kern w:val="0"/>
          <w:lang w:val="es-ES"/>
          <w14:ligatures w14:val="none"/>
        </w:rPr>
        <w:t xml:space="preserve">en </w:t>
      </w:r>
      <w:r w:rsidR="00487C34" w:rsidRPr="009257E7">
        <w:rPr>
          <w:rFonts w:ascii="Times New Roman" w:eastAsia="Times New Roman" w:hAnsi="Times New Roman" w:cs="Times New Roman"/>
          <w:kern w:val="0"/>
          <w:lang w:val="es-ES"/>
          <w14:ligatures w14:val="none"/>
        </w:rPr>
        <w:t xml:space="preserve">los </w:t>
      </w:r>
      <w:r w:rsidRPr="009257E7">
        <w:rPr>
          <w:rFonts w:ascii="Times New Roman" w:eastAsia="Times New Roman" w:hAnsi="Times New Roman" w:cs="Times New Roman"/>
          <w:kern w:val="0"/>
          <w:lang w:val="es-ES"/>
          <w14:ligatures w14:val="none"/>
        </w:rPr>
        <w:t xml:space="preserve">simbólicos. Los sistemas </w:t>
      </w:r>
      <w:r w:rsidR="00487C34" w:rsidRPr="009257E7">
        <w:rPr>
          <w:rFonts w:ascii="Times New Roman" w:eastAsia="Times New Roman" w:hAnsi="Times New Roman" w:cs="Times New Roman"/>
          <w:kern w:val="0"/>
          <w:lang w:val="es-ES"/>
          <w14:ligatures w14:val="none"/>
        </w:rPr>
        <w:t>codifican</w:t>
      </w:r>
      <w:r w:rsidRPr="009257E7">
        <w:rPr>
          <w:rFonts w:ascii="Times New Roman" w:eastAsia="Times New Roman" w:hAnsi="Times New Roman" w:cs="Times New Roman"/>
          <w:kern w:val="0"/>
          <w:lang w:val="es-ES"/>
          <w14:ligatures w14:val="none"/>
        </w:rPr>
        <w:t xml:space="preserve"> e incorporan las </w:t>
      </w:r>
      <w:proofErr w:type="spellStart"/>
      <w:r w:rsidR="00817844" w:rsidRPr="009257E7">
        <w:rPr>
          <w:rFonts w:ascii="Times New Roman" w:eastAsia="Times New Roman" w:hAnsi="Times New Roman" w:cs="Times New Roman"/>
          <w:kern w:val="0"/>
          <w:lang w:val="es-ES"/>
          <w14:ligatures w14:val="none"/>
        </w:rPr>
        <w:t>micro</w:t>
      </w:r>
      <w:r w:rsidRPr="009257E7">
        <w:rPr>
          <w:rFonts w:ascii="Times New Roman" w:eastAsia="Times New Roman" w:hAnsi="Times New Roman" w:cs="Times New Roman"/>
          <w:kern w:val="0"/>
          <w:lang w:val="es-ES"/>
          <w14:ligatures w14:val="none"/>
        </w:rPr>
        <w:t>relaciones</w:t>
      </w:r>
      <w:proofErr w:type="spellEnd"/>
      <w:r w:rsidRPr="009257E7">
        <w:rPr>
          <w:rFonts w:ascii="Times New Roman" w:eastAsia="Times New Roman" w:hAnsi="Times New Roman" w:cs="Times New Roman"/>
          <w:kern w:val="0"/>
          <w:lang w:val="es-ES"/>
          <w14:ligatures w14:val="none"/>
        </w:rPr>
        <w:t xml:space="preserve"> como parte de </w:t>
      </w:r>
      <w:r w:rsidR="00817844" w:rsidRPr="009257E7">
        <w:rPr>
          <w:rFonts w:ascii="Times New Roman" w:eastAsia="Times New Roman" w:hAnsi="Times New Roman" w:cs="Times New Roman"/>
          <w:kern w:val="0"/>
          <w:lang w:val="es-ES"/>
          <w14:ligatures w14:val="none"/>
        </w:rPr>
        <w:t xml:space="preserve">los </w:t>
      </w:r>
      <w:r w:rsidRPr="009257E7">
        <w:rPr>
          <w:rFonts w:ascii="Times New Roman" w:eastAsia="Times New Roman" w:hAnsi="Times New Roman" w:cs="Times New Roman"/>
          <w:kern w:val="0"/>
          <w:lang w:val="es-ES"/>
          <w14:ligatures w14:val="none"/>
        </w:rPr>
        <w:t xml:space="preserve">arreglos </w:t>
      </w:r>
      <w:r w:rsidR="00817844" w:rsidRPr="009257E7">
        <w:rPr>
          <w:rFonts w:ascii="Times New Roman" w:eastAsia="Times New Roman" w:hAnsi="Times New Roman" w:cs="Times New Roman"/>
          <w:kern w:val="0"/>
          <w:lang w:val="es-ES"/>
          <w14:ligatures w14:val="none"/>
        </w:rPr>
        <w:t xml:space="preserve">que conforman el </w:t>
      </w:r>
      <w:r w:rsidRPr="009257E7">
        <w:rPr>
          <w:rFonts w:ascii="Times New Roman" w:eastAsia="Times New Roman" w:hAnsi="Times New Roman" w:cs="Times New Roman"/>
          <w:kern w:val="0"/>
          <w:lang w:val="es-ES"/>
          <w14:ligatures w14:val="none"/>
        </w:rPr>
        <w:t>macro. A todes se les enseña a desempeñar su “papel” mediante el seguimiento de “las reglas”. El “Estado de derecho” es un sistema que, como todos los sistemas sociales, ha sido ideado y mantenido por sus creadores y controladores para propósitos que pueden ser explícitos o no.</w:t>
      </w:r>
      <w:r w:rsidR="000956EB" w:rsidRPr="009257E7">
        <w:rPr>
          <w:rFonts w:ascii="Times New Roman" w:eastAsia="Times New Roman" w:hAnsi="Times New Roman" w:cs="Times New Roman"/>
          <w:kern w:val="0"/>
          <w:lang w:val="es-ES"/>
          <w14:ligatures w14:val="none"/>
        </w:rPr>
        <w:t xml:space="preserve"> </w:t>
      </w:r>
    </w:p>
    <w:p w14:paraId="5C4A56A8" w14:textId="443E89C1" w:rsidR="00A56A9E" w:rsidRPr="009257E7" w:rsidRDefault="00A56A9E" w:rsidP="00EC3B81">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 xml:space="preserve">En términos generales, los sistemas son constelaciones flexibles e interrelacionadas de individuos, instituciones, ideas e intereses que afectan a las personas y a los grupos de </w:t>
      </w:r>
      <w:r w:rsidR="00EC3B81" w:rsidRPr="009257E7">
        <w:rPr>
          <w:rFonts w:ascii="Times New Roman" w:eastAsia="Times New Roman" w:hAnsi="Times New Roman" w:cs="Times New Roman"/>
          <w:kern w:val="0"/>
          <w:lang w:val="es-ES"/>
          <w14:ligatures w14:val="none"/>
        </w:rPr>
        <w:t>divers</w:t>
      </w:r>
      <w:r w:rsidRPr="009257E7">
        <w:rPr>
          <w:rFonts w:ascii="Times New Roman" w:eastAsia="Times New Roman" w:hAnsi="Times New Roman" w:cs="Times New Roman"/>
          <w:kern w:val="0"/>
          <w:lang w:val="es-ES"/>
          <w14:ligatures w14:val="none"/>
        </w:rPr>
        <w:t xml:space="preserve">as maneras. Esos efectos van desde lo cultural y </w:t>
      </w:r>
      <w:r w:rsidR="00EC3B81" w:rsidRPr="009257E7">
        <w:rPr>
          <w:rFonts w:ascii="Times New Roman" w:eastAsia="Times New Roman" w:hAnsi="Times New Roman" w:cs="Times New Roman"/>
          <w:kern w:val="0"/>
          <w:lang w:val="es-ES"/>
          <w14:ligatures w14:val="none"/>
        </w:rPr>
        <w:t xml:space="preserve">lo </w:t>
      </w:r>
      <w:r w:rsidRPr="009257E7">
        <w:rPr>
          <w:rFonts w:ascii="Times New Roman" w:eastAsia="Times New Roman" w:hAnsi="Times New Roman" w:cs="Times New Roman"/>
          <w:kern w:val="0"/>
          <w:lang w:val="es-ES"/>
          <w14:ligatures w14:val="none"/>
        </w:rPr>
        <w:t>simbólico hasta lo económico y</w:t>
      </w:r>
      <w:r w:rsidR="00EC3B81" w:rsidRPr="009257E7">
        <w:rPr>
          <w:rFonts w:ascii="Times New Roman" w:eastAsia="Times New Roman" w:hAnsi="Times New Roman" w:cs="Times New Roman"/>
          <w:kern w:val="0"/>
          <w:lang w:val="es-ES"/>
          <w14:ligatures w14:val="none"/>
        </w:rPr>
        <w:t xml:space="preserve"> lo</w:t>
      </w:r>
      <w:r w:rsidRPr="009257E7">
        <w:rPr>
          <w:rFonts w:ascii="Times New Roman" w:eastAsia="Times New Roman" w:hAnsi="Times New Roman" w:cs="Times New Roman"/>
          <w:kern w:val="0"/>
          <w:lang w:val="es-ES"/>
          <w14:ligatures w14:val="none"/>
        </w:rPr>
        <w:t xml:space="preserve"> material. Los sistemas sociales existen en todas las sociedades y todas las personas nacen dentro de ellos. El propósito de un sistema social se mide por sus resultados regulares, incluso si es</w:t>
      </w:r>
      <w:r w:rsidR="0043273C" w:rsidRPr="009257E7">
        <w:rPr>
          <w:rFonts w:ascii="Times New Roman" w:eastAsia="Times New Roman" w:hAnsi="Times New Roman" w:cs="Times New Roman"/>
          <w:kern w:val="0"/>
          <w:lang w:val="es-ES"/>
          <w14:ligatures w14:val="none"/>
        </w:rPr>
        <w:t>t</w:t>
      </w:r>
      <w:r w:rsidRPr="009257E7">
        <w:rPr>
          <w:rFonts w:ascii="Times New Roman" w:eastAsia="Times New Roman" w:hAnsi="Times New Roman" w:cs="Times New Roman"/>
          <w:kern w:val="0"/>
          <w:lang w:val="es-ES"/>
          <w14:ligatures w14:val="none"/>
        </w:rPr>
        <w:t xml:space="preserve">os difieren </w:t>
      </w:r>
      <w:proofErr w:type="gramStart"/>
      <w:r w:rsidRPr="009257E7">
        <w:rPr>
          <w:rFonts w:ascii="Times New Roman" w:eastAsia="Times New Roman" w:hAnsi="Times New Roman" w:cs="Times New Roman"/>
          <w:kern w:val="0"/>
          <w:lang w:val="es-ES"/>
          <w14:ligatures w14:val="none"/>
        </w:rPr>
        <w:t>parcial</w:t>
      </w:r>
      <w:r w:rsidR="0043273C" w:rsidRPr="009257E7">
        <w:rPr>
          <w:rFonts w:ascii="Times New Roman" w:eastAsia="Times New Roman" w:hAnsi="Times New Roman" w:cs="Times New Roman"/>
          <w:kern w:val="0"/>
          <w:lang w:val="es-ES"/>
          <w14:ligatures w14:val="none"/>
        </w:rPr>
        <w:t>mente</w:t>
      </w:r>
      <w:r w:rsidRPr="009257E7">
        <w:rPr>
          <w:rFonts w:ascii="Times New Roman" w:eastAsia="Times New Roman" w:hAnsi="Times New Roman" w:cs="Times New Roman"/>
          <w:kern w:val="0"/>
          <w:lang w:val="es-ES"/>
          <w14:ligatures w14:val="none"/>
        </w:rPr>
        <w:t xml:space="preserve"> o totalmente</w:t>
      </w:r>
      <w:proofErr w:type="gramEnd"/>
      <w:r w:rsidRPr="009257E7">
        <w:rPr>
          <w:rFonts w:ascii="Times New Roman" w:eastAsia="Times New Roman" w:hAnsi="Times New Roman" w:cs="Times New Roman"/>
          <w:kern w:val="0"/>
          <w:lang w:val="es-ES"/>
          <w14:ligatures w14:val="none"/>
        </w:rPr>
        <w:t xml:space="preserve"> de las metas declaradas del sistema. Al igual que los ecosistemas, los sistemas sociales son dinámicos </w:t>
      </w:r>
      <w:r w:rsidR="00365EBB" w:rsidRPr="009257E7">
        <w:rPr>
          <w:rFonts w:ascii="Times New Roman" w:eastAsia="Times New Roman" w:hAnsi="Times New Roman" w:cs="Times New Roman"/>
          <w:kern w:val="0"/>
          <w:lang w:val="es-ES"/>
          <w14:ligatures w14:val="none"/>
        </w:rPr>
        <w:t>y,</w:t>
      </w:r>
      <w:r w:rsidRPr="009257E7">
        <w:rPr>
          <w:rFonts w:ascii="Times New Roman" w:eastAsia="Times New Roman" w:hAnsi="Times New Roman" w:cs="Times New Roman"/>
          <w:kern w:val="0"/>
          <w:lang w:val="es-ES"/>
          <w14:ligatures w14:val="none"/>
        </w:rPr>
        <w:t xml:space="preserve"> </w:t>
      </w:r>
      <w:r w:rsidR="000004FC" w:rsidRPr="009257E7">
        <w:rPr>
          <w:rFonts w:ascii="Times New Roman" w:eastAsia="Times New Roman" w:hAnsi="Times New Roman" w:cs="Times New Roman"/>
          <w:kern w:val="0"/>
          <w:lang w:val="es-ES"/>
          <w14:ligatures w14:val="none"/>
        </w:rPr>
        <w:t>a la vez</w:t>
      </w:r>
      <w:r w:rsidR="00365EBB" w:rsidRPr="009257E7">
        <w:rPr>
          <w:rFonts w:ascii="Times New Roman" w:eastAsia="Times New Roman" w:hAnsi="Times New Roman" w:cs="Times New Roman"/>
          <w:kern w:val="0"/>
          <w:lang w:val="es-ES"/>
          <w14:ligatures w14:val="none"/>
        </w:rPr>
        <w:t>,</w:t>
      </w:r>
      <w:r w:rsidR="000004FC" w:rsidRPr="009257E7">
        <w:rPr>
          <w:rFonts w:ascii="Times New Roman" w:eastAsia="Times New Roman" w:hAnsi="Times New Roman" w:cs="Times New Roman"/>
          <w:kern w:val="0"/>
          <w:lang w:val="es-ES"/>
          <w14:ligatures w14:val="none"/>
        </w:rPr>
        <w:t xml:space="preserve"> </w:t>
      </w:r>
      <w:r w:rsidRPr="009257E7">
        <w:rPr>
          <w:rFonts w:ascii="Times New Roman" w:eastAsia="Times New Roman" w:hAnsi="Times New Roman" w:cs="Times New Roman"/>
          <w:kern w:val="0"/>
          <w:lang w:val="es-ES"/>
          <w14:ligatures w14:val="none"/>
        </w:rPr>
        <w:t>continuos.</w:t>
      </w:r>
    </w:p>
    <w:p w14:paraId="6C725601" w14:textId="3D5C7A6F" w:rsidR="00365EBB" w:rsidRPr="009257E7" w:rsidRDefault="00365EBB" w:rsidP="00B6293A">
      <w:pPr>
        <w:pStyle w:val="NormalWeb"/>
        <w:ind w:firstLine="720"/>
        <w:rPr>
          <w:lang w:val="es-ES"/>
        </w:rPr>
      </w:pPr>
      <w:r w:rsidRPr="009257E7">
        <w:rPr>
          <w:lang w:val="es-ES"/>
        </w:rPr>
        <w:t xml:space="preserve">Tanto en los sistemas naturales como en los sociales, como ha señalado Donella Meadows, científica ambiental y teórica de sistemas, los elementos conectados “están organizados de manera coherente de una forma que </w:t>
      </w:r>
      <w:r w:rsidR="00910A93" w:rsidRPr="009257E7">
        <w:rPr>
          <w:lang w:val="es-ES"/>
        </w:rPr>
        <w:t>permit</w:t>
      </w:r>
      <w:r w:rsidR="00B6293A" w:rsidRPr="009257E7">
        <w:rPr>
          <w:lang w:val="es-ES"/>
        </w:rPr>
        <w:t xml:space="preserve">e </w:t>
      </w:r>
      <w:r w:rsidRPr="009257E7">
        <w:rPr>
          <w:lang w:val="es-ES"/>
        </w:rPr>
        <w:t>logra</w:t>
      </w:r>
      <w:r w:rsidR="00910A93" w:rsidRPr="009257E7">
        <w:rPr>
          <w:lang w:val="es-ES"/>
        </w:rPr>
        <w:t>r</w:t>
      </w:r>
      <w:r w:rsidRPr="009257E7">
        <w:rPr>
          <w:lang w:val="es-ES"/>
        </w:rPr>
        <w:t xml:space="preserve"> algo”</w:t>
      </w:r>
      <w:r w:rsidR="00E90DAC" w:rsidRPr="009257E7">
        <w:rPr>
          <w:rStyle w:val="FootnoteReference"/>
          <w:lang w:val="es-ES"/>
        </w:rPr>
        <w:footnoteReference w:id="4"/>
      </w:r>
      <w:r w:rsidRPr="009257E7">
        <w:rPr>
          <w:lang w:val="es-ES"/>
        </w:rPr>
        <w:t>. Los sistemas enlazan un conjunto característico de comportamientos que define</w:t>
      </w:r>
      <w:r w:rsidR="00910A93" w:rsidRPr="009257E7">
        <w:rPr>
          <w:lang w:val="es-ES"/>
        </w:rPr>
        <w:t>n</w:t>
      </w:r>
      <w:r w:rsidRPr="009257E7">
        <w:rPr>
          <w:lang w:val="es-ES"/>
        </w:rPr>
        <w:t xml:space="preserve"> de </w:t>
      </w:r>
      <w:r w:rsidR="00910A93" w:rsidRPr="009257E7">
        <w:rPr>
          <w:lang w:val="es-ES"/>
        </w:rPr>
        <w:t>maner</w:t>
      </w:r>
      <w:r w:rsidRPr="009257E7">
        <w:rPr>
          <w:lang w:val="es-ES"/>
        </w:rPr>
        <w:t>a efectiva el propósito del sistema. También pueden entenderse como “un conjunto de cosas —personas, células, moléculas o lo que sea— interconectadas de tal manera que producen sus propios patrones de comportamiento a lo largo del tiempo”</w:t>
      </w:r>
      <w:r w:rsidR="00E90DAC" w:rsidRPr="009257E7">
        <w:rPr>
          <w:rStyle w:val="FootnoteReference"/>
          <w:lang w:val="es-ES"/>
        </w:rPr>
        <w:footnoteReference w:id="5"/>
      </w:r>
      <w:r w:rsidRPr="009257E7">
        <w:rPr>
          <w:lang w:val="es-ES"/>
        </w:rPr>
        <w:t>. Immanuel Wallerstein, quien desarrolló de manera célebre el análisis de sistemas-mundo, define de m</w:t>
      </w:r>
      <w:r w:rsidR="00910A93" w:rsidRPr="009257E7">
        <w:rPr>
          <w:lang w:val="es-ES"/>
        </w:rPr>
        <w:t>anera</w:t>
      </w:r>
      <w:r w:rsidRPr="009257E7">
        <w:rPr>
          <w:lang w:val="es-ES"/>
        </w:rPr>
        <w:t xml:space="preserve"> similar un sistema como “algún tipo de totalidad conectada, con reglas internas de organización y algún tipo de continuidad”</w:t>
      </w:r>
      <w:r w:rsidR="00BA147A" w:rsidRPr="009257E7">
        <w:rPr>
          <w:rStyle w:val="FootnoteReference"/>
          <w:lang w:val="es-ES"/>
        </w:rPr>
        <w:footnoteReference w:id="6"/>
      </w:r>
      <w:r w:rsidRPr="009257E7">
        <w:rPr>
          <w:lang w:val="es-ES"/>
        </w:rPr>
        <w:t>. Los sistemas pueden ser conceptuales —una constelación de ideas— y también concretos, manifestados en términos materiales, incluidas las instituciones y otras herramientas destinadas a cumplir los propósitos del sistema.</w:t>
      </w:r>
    </w:p>
    <w:p w14:paraId="795A47B7" w14:textId="2F57C7D1" w:rsidR="00365EBB" w:rsidRPr="009257E7" w:rsidRDefault="00365EBB" w:rsidP="00BA147A">
      <w:pPr>
        <w:pStyle w:val="NormalWeb"/>
        <w:ind w:firstLine="720"/>
        <w:rPr>
          <w:lang w:val="es-ES"/>
        </w:rPr>
      </w:pPr>
      <w:r w:rsidRPr="009257E7">
        <w:rPr>
          <w:lang w:val="es-ES"/>
        </w:rPr>
        <w:t xml:space="preserve">La ecología de los sistemas sociales, al igual que la de los sistemas naturales, tiende a ser compleja y fluida. Los sistemas sociales se superponen, interactúan y aprenden unos de otros de forma constante. Esto ocurre, por ejemplo, entre los sistemas económicos, jurídicos y políticos. Los sistemas también abarcan subsistemas y están constituidos por ellos. Esos subsistemas </w:t>
      </w:r>
      <w:r w:rsidRPr="009257E7">
        <w:rPr>
          <w:lang w:val="es-ES"/>
        </w:rPr>
        <w:lastRenderedPageBreak/>
        <w:t xml:space="preserve">comparten características con el sistema más amplio. Dentro de esta red de sistemas, los bordes o </w:t>
      </w:r>
      <w:r w:rsidR="00AF40C6" w:rsidRPr="009257E7">
        <w:rPr>
          <w:lang w:val="es-ES"/>
        </w:rPr>
        <w:t xml:space="preserve">los </w:t>
      </w:r>
      <w:r w:rsidRPr="009257E7">
        <w:rPr>
          <w:lang w:val="es-ES"/>
        </w:rPr>
        <w:t>márgenes de cualquier sistema particular pueden desplazarse, pero el sistema mismo continúa.</w:t>
      </w:r>
    </w:p>
    <w:p w14:paraId="177E3224" w14:textId="6505E723" w:rsidR="00365EBB" w:rsidRPr="009257E7" w:rsidRDefault="00365EBB" w:rsidP="00BE64F3">
      <w:pPr>
        <w:pStyle w:val="NormalWeb"/>
        <w:ind w:firstLine="720"/>
        <w:rPr>
          <w:lang w:val="es-ES"/>
        </w:rPr>
      </w:pPr>
      <w:r w:rsidRPr="009257E7">
        <w:rPr>
          <w:lang w:val="es-ES"/>
        </w:rPr>
        <w:t xml:space="preserve">En el análisis de sistemas, la clave para comprender un sistema social y su efectividad </w:t>
      </w:r>
      <w:r w:rsidR="006478C9" w:rsidRPr="009257E7">
        <w:rPr>
          <w:lang w:val="es-ES"/>
        </w:rPr>
        <w:t>radica en</w:t>
      </w:r>
      <w:r w:rsidRPr="009257E7">
        <w:rPr>
          <w:lang w:val="es-ES"/>
        </w:rPr>
        <w:t xml:space="preserve"> determinar su propósito. En vez de depender de metas declaradas o de </w:t>
      </w:r>
      <w:r w:rsidR="006478C9" w:rsidRPr="009257E7">
        <w:rPr>
          <w:lang w:val="es-ES"/>
        </w:rPr>
        <w:t xml:space="preserve">la </w:t>
      </w:r>
      <w:r w:rsidRPr="009257E7">
        <w:rPr>
          <w:lang w:val="es-ES"/>
        </w:rPr>
        <w:t>retórica, la teoría de sistemas determina el propósito y la eficacia sistémicos a partir del comportamiento sistémico: las decisiones y los efectos. Como Meadows recuerda a les abogades:</w:t>
      </w:r>
    </w:p>
    <w:p w14:paraId="5F564FE4" w14:textId="6EACB681" w:rsidR="00365EBB" w:rsidRPr="009257E7" w:rsidRDefault="00365EBB" w:rsidP="006478C9">
      <w:pPr>
        <w:pStyle w:val="NormalWeb"/>
        <w:ind w:left="720"/>
        <w:rPr>
          <w:lang w:val="es-ES"/>
        </w:rPr>
      </w:pPr>
      <w:r w:rsidRPr="009257E7">
        <w:rPr>
          <w:lang w:val="es-ES"/>
        </w:rPr>
        <w:t xml:space="preserve">Cuando une pensadore de sistemas encuentra un problema, lo primero que hace es buscar datos, gráficas temporales y la historia del sistema. Esto se debe a que el comportamiento </w:t>
      </w:r>
      <w:r w:rsidR="006478C9" w:rsidRPr="009257E7">
        <w:rPr>
          <w:lang w:val="es-ES"/>
        </w:rPr>
        <w:t>a</w:t>
      </w:r>
      <w:r w:rsidRPr="009257E7">
        <w:rPr>
          <w:lang w:val="es-ES"/>
        </w:rPr>
        <w:t xml:space="preserve"> largo plazo ofrece pistas sobre la estructura subyacente del sistema. Y la estructura es la clave para comprender no solo </w:t>
      </w:r>
      <w:r w:rsidRPr="009257E7">
        <w:rPr>
          <w:i/>
          <w:iCs/>
          <w:lang w:val="es-ES"/>
        </w:rPr>
        <w:t>qué</w:t>
      </w:r>
      <w:r w:rsidRPr="009257E7">
        <w:rPr>
          <w:lang w:val="es-ES"/>
        </w:rPr>
        <w:t xml:space="preserve"> ocurre, sino </w:t>
      </w:r>
      <w:r w:rsidR="006478C9" w:rsidRPr="009257E7">
        <w:rPr>
          <w:lang w:val="es-ES"/>
        </w:rPr>
        <w:t xml:space="preserve">también </w:t>
      </w:r>
      <w:r w:rsidRPr="009257E7">
        <w:rPr>
          <w:i/>
          <w:iCs/>
          <w:lang w:val="es-ES"/>
        </w:rPr>
        <w:t>por qué</w:t>
      </w:r>
      <w:r w:rsidRPr="009257E7">
        <w:rPr>
          <w:lang w:val="es-ES"/>
        </w:rPr>
        <w:t xml:space="preserve"> ocurre</w:t>
      </w:r>
      <w:r w:rsidR="001E1232" w:rsidRPr="009257E7">
        <w:rPr>
          <w:rStyle w:val="FootnoteReference"/>
          <w:lang w:val="es-ES"/>
        </w:rPr>
        <w:footnoteReference w:id="7"/>
      </w:r>
      <w:r w:rsidRPr="009257E7">
        <w:rPr>
          <w:lang w:val="es-ES"/>
        </w:rPr>
        <w:t>.</w:t>
      </w:r>
    </w:p>
    <w:p w14:paraId="0D43BC3E" w14:textId="2F8BE240" w:rsidR="00365EBB" w:rsidRPr="009257E7" w:rsidRDefault="00365EBB" w:rsidP="009F0657">
      <w:pPr>
        <w:pStyle w:val="NormalWeb"/>
        <w:ind w:firstLine="720"/>
        <w:rPr>
          <w:lang w:val="es-ES"/>
        </w:rPr>
      </w:pPr>
      <w:r w:rsidRPr="009257E7">
        <w:rPr>
          <w:lang w:val="es-ES"/>
        </w:rPr>
        <w:t>En vez de ver las condiciones sociales como resultado de meros acontecimientos, como los auges del mercado bursátil o la pobreza arraigada, el análisis de sistemas requiere una comprensión más profunda. Esa comprensión se obtiene al situar los acontecimientos en un contexto histórico y contemporáneo.</w:t>
      </w:r>
      <w:r w:rsidR="000E6A02" w:rsidRPr="009257E7">
        <w:rPr>
          <w:lang w:val="es-ES"/>
        </w:rPr>
        <w:t xml:space="preserve"> </w:t>
      </w:r>
    </w:p>
    <w:p w14:paraId="7A9944E7" w14:textId="53BCF294" w:rsidR="00365EBB" w:rsidRPr="009257E7" w:rsidRDefault="00D5262F" w:rsidP="000E6A02">
      <w:pPr>
        <w:pStyle w:val="NormalWeb"/>
        <w:ind w:firstLine="720"/>
        <w:rPr>
          <w:lang w:val="es-ES"/>
        </w:rPr>
      </w:pPr>
      <w:r w:rsidRPr="009257E7">
        <w:rPr>
          <w:lang w:val="es-ES"/>
        </w:rPr>
        <w:t>A menudo, cuando las personas crean sistemas, el proceso incluye la expresión de las preocupaciones y los objetivos que subyacen al sistema: sus propósitos. A veces las personas crean sistemas con propósitos mixtos: tanto evidentes como ocultos, directos e indirectos. Por lo tanto, todos los sistemas son complejos y lo son aún más con el paso del tiempo. La experta en sistemas y derecho, Lynn LoPucki explica</w:t>
      </w:r>
      <w:r w:rsidR="00365EBB" w:rsidRPr="009257E7">
        <w:rPr>
          <w:lang w:val="es-ES"/>
        </w:rPr>
        <w:t>: “El análisis de sistemas es una metodología dirigida específicamente a la gestión de la complejidad”</w:t>
      </w:r>
      <w:r w:rsidR="0074065A" w:rsidRPr="009257E7">
        <w:rPr>
          <w:rStyle w:val="FootnoteReference"/>
          <w:lang w:val="es-ES"/>
        </w:rPr>
        <w:footnoteReference w:id="8"/>
      </w:r>
      <w:r w:rsidR="00365EBB" w:rsidRPr="009257E7">
        <w:rPr>
          <w:lang w:val="es-ES"/>
        </w:rPr>
        <w:t>. La complejidad es inherente a la sociedad humana y, por lo tanto, también al derecho. Sin embargo, la complejidad en el derecho resulta, en parte, de la separación forzada entre el derecho y la justicia igualitaria, y de la necesidad de explicar o encubrir esa separación. Jueces, funcionaries electes y otros actores elitistas elaboran ficciones que hacen todavía más difícil comprender la complejidad ya existente. De esa manera, las manipulaciones elitistas del derecho densifican la complejidad, pero no equivalen a justicia igualitaria.</w:t>
      </w:r>
    </w:p>
    <w:p w14:paraId="3CB17ABE" w14:textId="66B28DAD" w:rsidR="00D471AA" w:rsidRPr="009257E7" w:rsidRDefault="00D471AA" w:rsidP="00D471AA">
      <w:pPr>
        <w:pStyle w:val="NormalWeb"/>
        <w:ind w:firstLine="720"/>
        <w:rPr>
          <w:lang w:val="es-ES"/>
        </w:rPr>
      </w:pPr>
      <w:r w:rsidRPr="009257E7">
        <w:rPr>
          <w:lang w:val="es-ES"/>
        </w:rPr>
        <w:t>El derecho también es complejo debido a la “indeterminación” general: “aquello que es incierto o no está designado de manera particular”</w:t>
      </w:r>
      <w:r w:rsidR="00BE110A" w:rsidRPr="009257E7">
        <w:rPr>
          <w:rStyle w:val="FootnoteReference"/>
          <w:lang w:val="es-ES"/>
        </w:rPr>
        <w:footnoteReference w:id="9"/>
      </w:r>
      <w:r w:rsidRPr="009257E7">
        <w:rPr>
          <w:lang w:val="es-ES"/>
        </w:rPr>
        <w:t xml:space="preserve"> en las interacciones entre el derecho y la sociedad. Las reglas y actividades jurídicas son inherentemente indeterminadas porque la variedad y la complejidad del mundo no pueden anticiparse por completo ni escribirse en un conjunto integral y determinado de reglas específicas. Las reglas jurídicas son necesariamente flexibles. A pesar de la inevitabilidad de la complejidad y la indeterminación, el análisis de sistemas juzga todos los sistemas, incluido el derecho, por sus resultados, no por sus promesas. Les abogades sistémiques mantienen la mirada en el objetivo: desmantelar los resultados sistémicos reales a </w:t>
      </w:r>
      <w:r w:rsidR="008F239E" w:rsidRPr="009257E7">
        <w:rPr>
          <w:lang w:val="es-ES"/>
        </w:rPr>
        <w:t xml:space="preserve">lo largo </w:t>
      </w:r>
      <w:r w:rsidRPr="009257E7">
        <w:rPr>
          <w:lang w:val="es-ES"/>
        </w:rPr>
        <w:t>del tiempo y en distintos lugares o circunstancias.</w:t>
      </w:r>
      <w:r w:rsidR="00970707" w:rsidRPr="009257E7">
        <w:rPr>
          <w:lang w:val="es-ES"/>
        </w:rPr>
        <w:t xml:space="preserve"> </w:t>
      </w:r>
    </w:p>
    <w:p w14:paraId="18E810AB" w14:textId="3ED7B07E" w:rsidR="005F7BD3" w:rsidRPr="009257E7" w:rsidRDefault="00F65EB8" w:rsidP="005F7BD3">
      <w:pPr>
        <w:pStyle w:val="NormalWeb"/>
        <w:ind w:firstLine="720"/>
        <w:rPr>
          <w:lang w:val="es-ES"/>
        </w:rPr>
      </w:pPr>
      <w:r w:rsidRPr="009257E7">
        <w:rPr>
          <w:lang w:val="es-ES"/>
        </w:rPr>
        <w:lastRenderedPageBreak/>
        <w:t xml:space="preserve">El análisis de sistemas examina principalmente los resultados sistémicos empíricos —y los patrones de resultados— para determinar los propósitos detrás de un sistema, a pesar de las incertidumbres de la complejidad. Les abogades identifican patrones de resultados desiguales en términos contemporáneos. A la vez, reconocen la historia del sistema, sus propósitos declarados de justicia y </w:t>
      </w:r>
      <w:r w:rsidR="00A46E7F" w:rsidRPr="009257E7">
        <w:rPr>
          <w:lang w:val="es-ES"/>
        </w:rPr>
        <w:t>el</w:t>
      </w:r>
      <w:r w:rsidRPr="009257E7">
        <w:rPr>
          <w:lang w:val="es-ES"/>
        </w:rPr>
        <w:t xml:space="preserve"> interés resultante en un parecer basado en principios y sujeto a rendición de cuentas. Desmontar las apariencias sistémicas falsas para poner de relieve las contradicciones de la justicia igualitaria presiona al sistema para que cambie o justifique sus resultados y su propia existencia. Con el tiempo, y mediante el uso estratégico del tiempo, este señalamiento continuo ayuda a educar al público en general sobre las realidades sistémicas frente a las apariencias. La conciencia del análisis sistémico y su uso afinan la abogacía sistémica para alcanzar soluciones sistémicas. El Estado de derecho es un ejemplo clave de un sistema: cómo llegó a existir, para qué está diseñado y cómo superar sus fallas o su corrupción.</w:t>
      </w:r>
      <w:r w:rsidR="005F7BD3" w:rsidRPr="009257E7">
        <w:rPr>
          <w:lang w:val="es-ES"/>
        </w:rPr>
        <w:br/>
      </w:r>
      <w:r w:rsidR="000F007C" w:rsidRPr="009257E7">
        <w:rPr>
          <w:lang w:val="es-ES"/>
        </w:rPr>
        <w:br/>
      </w:r>
      <w:r w:rsidR="000F007C" w:rsidRPr="009257E7">
        <w:rPr>
          <w:b/>
          <w:bCs/>
          <w:lang w:val="es-ES"/>
        </w:rPr>
        <w:t>1.2 El sistema del “Estado de derecho”: originado en Europa, trasplantado por medio del colonialismo y fallido por diseño</w:t>
      </w:r>
    </w:p>
    <w:p w14:paraId="7FE7B602" w14:textId="764C01CE" w:rsidR="00CA263B" w:rsidRPr="009257E7" w:rsidRDefault="00CA263B" w:rsidP="00CA263B">
      <w:pPr>
        <w:pStyle w:val="NormalWeb"/>
        <w:ind w:firstLine="720"/>
        <w:rPr>
          <w:lang w:val="es-ES"/>
        </w:rPr>
      </w:pPr>
      <w:r w:rsidRPr="009257E7">
        <w:rPr>
          <w:lang w:val="es-ES"/>
        </w:rPr>
        <w:t xml:space="preserve">El Estado de derecho ofrece un mito de origen que pretende explicar su propósito social. Según ese relato desde arriba, el sistema jurídico evolucionó a lo largo de los siglos para limitar el abuso: el poder sin principios </w:t>
      </w:r>
      <w:r w:rsidR="00C53B81" w:rsidRPr="009257E7">
        <w:rPr>
          <w:lang w:val="es-ES"/>
        </w:rPr>
        <w:t>ni</w:t>
      </w:r>
      <w:r w:rsidRPr="009257E7">
        <w:rPr>
          <w:lang w:val="es-ES"/>
        </w:rPr>
        <w:t xml:space="preserve"> rendición de cuentas, tal como lo ejercían entonces</w:t>
      </w:r>
      <w:r w:rsidR="00C53B81" w:rsidRPr="009257E7">
        <w:rPr>
          <w:lang w:val="es-ES"/>
        </w:rPr>
        <w:t xml:space="preserve"> los</w:t>
      </w:r>
      <w:r w:rsidRPr="009257E7">
        <w:rPr>
          <w:lang w:val="es-ES"/>
        </w:rPr>
        <w:t xml:space="preserve"> reyes, nobles y </w:t>
      </w:r>
      <w:r w:rsidR="00C53B81" w:rsidRPr="009257E7">
        <w:rPr>
          <w:lang w:val="es-ES"/>
        </w:rPr>
        <w:t>lo</w:t>
      </w:r>
      <w:r w:rsidRPr="009257E7">
        <w:rPr>
          <w:lang w:val="es-ES"/>
        </w:rPr>
        <w:t xml:space="preserve">res de la guerra europeos. Siglos después, la promesa del sistema es producir justicia igualitaria mediante una adjudicación basada en principios y una democracia sujeta a </w:t>
      </w:r>
      <w:r w:rsidR="001F3F68" w:rsidRPr="009257E7">
        <w:rPr>
          <w:lang w:val="es-ES"/>
        </w:rPr>
        <w:t xml:space="preserve">la </w:t>
      </w:r>
      <w:r w:rsidRPr="009257E7">
        <w:rPr>
          <w:lang w:val="es-ES"/>
        </w:rPr>
        <w:t>rendición de cuentas. Pero la tensión reside entre el relato y la realidad. El sistema del Estado de derecho se caracteriza por una “división trágica continua entre lo que es legal y lo que es justo”</w:t>
      </w:r>
      <w:r w:rsidR="009F57B2" w:rsidRPr="009257E7">
        <w:rPr>
          <w:rStyle w:val="FootnoteReference"/>
          <w:lang w:val="es-ES"/>
        </w:rPr>
        <w:footnoteReference w:id="10"/>
      </w:r>
      <w:r w:rsidRPr="009257E7">
        <w:rPr>
          <w:lang w:val="es-ES"/>
        </w:rPr>
        <w:t>.</w:t>
      </w:r>
      <w:r w:rsidR="00C53B81" w:rsidRPr="009257E7">
        <w:rPr>
          <w:lang w:val="es-ES"/>
        </w:rPr>
        <w:t xml:space="preserve"> </w:t>
      </w:r>
    </w:p>
    <w:p w14:paraId="773E556C" w14:textId="3AF4B652" w:rsidR="00CA263B" w:rsidRPr="009257E7" w:rsidRDefault="00CA263B" w:rsidP="009F57B2">
      <w:pPr>
        <w:pStyle w:val="NormalWeb"/>
        <w:ind w:firstLine="720"/>
        <w:rPr>
          <w:lang w:val="es-ES"/>
        </w:rPr>
      </w:pPr>
      <w:r w:rsidRPr="009257E7">
        <w:rPr>
          <w:lang w:val="es-ES"/>
        </w:rPr>
        <w:t xml:space="preserve">La versión moderna y occidental del Estado de derecho surgió y se expandió desde la Europa del siglo XVI. En Inglaterra, el Estado de derecho se asocia con la </w:t>
      </w:r>
      <w:r w:rsidRPr="009257E7">
        <w:rPr>
          <w:rStyle w:val="Emphasis"/>
          <w:lang w:val="es-ES"/>
        </w:rPr>
        <w:t>Magna Carta</w:t>
      </w:r>
      <w:r w:rsidRPr="009257E7">
        <w:rPr>
          <w:lang w:val="es-ES"/>
        </w:rPr>
        <w:t>. En Estados Unidos, se asocia con la Constitución original de 1789 y con la Constitución reconstruida de 1868. Más recientemente, a veces</w:t>
      </w:r>
      <w:r w:rsidR="009F57B2" w:rsidRPr="009257E7">
        <w:rPr>
          <w:lang w:val="es-ES"/>
        </w:rPr>
        <w:t xml:space="preserve"> se sostiene</w:t>
      </w:r>
      <w:r w:rsidRPr="009257E7">
        <w:rPr>
          <w:lang w:val="es-ES"/>
        </w:rPr>
        <w:t xml:space="preserve"> que la prohibición del genocidio grupal y la Declaración Universal de Derechos Humanos, tras la Segunda Guerra Mundial, establecen el Estado de derecho a nivel internacional. Durante los últimos dos siglos, aproximadamente, el Estado de derecho se ha convertido en el instrumento dominante para la solución de problemas en todo el mundo.</w:t>
      </w:r>
      <w:r w:rsidR="009F57B2" w:rsidRPr="009257E7">
        <w:rPr>
          <w:lang w:val="es-ES"/>
        </w:rPr>
        <w:t xml:space="preserve"> </w:t>
      </w:r>
    </w:p>
    <w:p w14:paraId="2D600340" w14:textId="760BE235" w:rsidR="00CA263B" w:rsidRPr="009257E7" w:rsidRDefault="00CA263B" w:rsidP="009F57B2">
      <w:pPr>
        <w:pStyle w:val="NormalWeb"/>
        <w:ind w:firstLine="720"/>
        <w:rPr>
          <w:lang w:val="es-ES"/>
        </w:rPr>
      </w:pPr>
      <w:r w:rsidRPr="009257E7">
        <w:rPr>
          <w:lang w:val="es-ES"/>
        </w:rPr>
        <w:t xml:space="preserve">Hoy existen muchas variaciones a nivel internacional. Estos sistemas interrelacionados del Estado de derecho comparten la noción de que el derecho debe derivar de una democracia sujeta a </w:t>
      </w:r>
      <w:r w:rsidR="005A630C" w:rsidRPr="009257E7">
        <w:rPr>
          <w:lang w:val="es-ES"/>
        </w:rPr>
        <w:t xml:space="preserve">la </w:t>
      </w:r>
      <w:r w:rsidRPr="009257E7">
        <w:rPr>
          <w:lang w:val="es-ES"/>
        </w:rPr>
        <w:t xml:space="preserve">rendición de cuentas —elecciones libres y justas— y de una judicatura independiente —adjudicación basada en principios—. En este esquema, la adjudicación, en forma de doctrina jurídica y de procesos relacionados </w:t>
      </w:r>
      <w:r w:rsidR="005A630C" w:rsidRPr="009257E7">
        <w:rPr>
          <w:lang w:val="es-ES"/>
        </w:rPr>
        <w:t>con la</w:t>
      </w:r>
      <w:r w:rsidRPr="009257E7">
        <w:rPr>
          <w:lang w:val="es-ES"/>
        </w:rPr>
        <w:t xml:space="preserve"> resolución de disputas, y la democracia, en forma de procesos políticos y de formulación de políticas, prometen en conjunto la justicia igualitaria bajo </w:t>
      </w:r>
      <w:r w:rsidRPr="009257E7">
        <w:rPr>
          <w:lang w:val="es-ES"/>
        </w:rPr>
        <w:lastRenderedPageBreak/>
        <w:t>el Estado de derecho</w:t>
      </w:r>
      <w:r w:rsidR="00F1632B" w:rsidRPr="009257E7">
        <w:rPr>
          <w:rStyle w:val="FootnoteReference"/>
          <w:lang w:val="es-ES"/>
        </w:rPr>
        <w:footnoteReference w:id="11"/>
      </w:r>
      <w:r w:rsidRPr="009257E7">
        <w:rPr>
          <w:lang w:val="es-ES"/>
        </w:rPr>
        <w:t>. Hoy se dice que estas dos características distinguen los sistemas jurídicos legítimos, que deben obedecerse, de aquellos que “el pueblo” podría derrocar por</w:t>
      </w:r>
      <w:r w:rsidR="000A4240" w:rsidRPr="009257E7">
        <w:rPr>
          <w:lang w:val="es-ES"/>
        </w:rPr>
        <w:t xml:space="preserve"> ser</w:t>
      </w:r>
      <w:r w:rsidRPr="009257E7">
        <w:rPr>
          <w:lang w:val="es-ES"/>
        </w:rPr>
        <w:t xml:space="preserve"> injustos.</w:t>
      </w:r>
    </w:p>
    <w:p w14:paraId="57698132" w14:textId="211E9BE9" w:rsidR="00CA263B" w:rsidRPr="009257E7" w:rsidRDefault="00CA263B" w:rsidP="008534E2">
      <w:pPr>
        <w:pStyle w:val="NormalWeb"/>
        <w:ind w:firstLine="720"/>
        <w:rPr>
          <w:lang w:val="es-ES"/>
        </w:rPr>
      </w:pPr>
      <w:r w:rsidRPr="009257E7">
        <w:rPr>
          <w:lang w:val="es-ES"/>
        </w:rPr>
        <w:t>Como se señaló antes, el Estado de derecho significa un conjunto elástico de nociones, prácticas e instituciones interrelacionadas, desarrolladas para asegurar una equidad procesal y una consistencia mayores que las producidas bajo el “gobierno de los hombres”, que “tiene la connotación de arbitrariedad, corrupción e inestabilidad”</w:t>
      </w:r>
      <w:r w:rsidR="00E4456B" w:rsidRPr="009257E7">
        <w:rPr>
          <w:rStyle w:val="FootnoteReference"/>
          <w:lang w:val="es-ES"/>
        </w:rPr>
        <w:footnoteReference w:id="12"/>
      </w:r>
      <w:r w:rsidRPr="009257E7">
        <w:rPr>
          <w:lang w:val="es-ES"/>
        </w:rPr>
        <w:t xml:space="preserve">. La promesa de justicia igualitaria es un motivador muy poderoso, tanto para el sistema como para quienes son oprimides por él. Cuando el sistema no logra explicar </w:t>
      </w:r>
      <w:r w:rsidR="00E4456B" w:rsidRPr="009257E7">
        <w:rPr>
          <w:lang w:val="es-ES"/>
        </w:rPr>
        <w:t>adecuadamente</w:t>
      </w:r>
      <w:r w:rsidRPr="009257E7">
        <w:rPr>
          <w:lang w:val="es-ES"/>
        </w:rPr>
        <w:t xml:space="preserve"> su fracaso persistente, pierde legitimidad. La promesa motiva al sistema a encubrir el fracaso por diseño; de lo contrario, tendría que admitir</w:t>
      </w:r>
      <w:r w:rsidR="0010623F" w:rsidRPr="009257E7">
        <w:rPr>
          <w:lang w:val="es-ES"/>
        </w:rPr>
        <w:t>l</w:t>
      </w:r>
      <w:r w:rsidRPr="009257E7">
        <w:rPr>
          <w:lang w:val="es-ES"/>
        </w:rPr>
        <w:t>o o corregirlo. Al mismo tiempo, la promesa motiva la lucha grupal para alcanzar</w:t>
      </w:r>
      <w:r w:rsidR="0010623F" w:rsidRPr="009257E7">
        <w:rPr>
          <w:lang w:val="es-ES"/>
        </w:rPr>
        <w:t>l</w:t>
      </w:r>
      <w:r w:rsidRPr="009257E7">
        <w:rPr>
          <w:lang w:val="es-ES"/>
        </w:rPr>
        <w:t xml:space="preserve">a. Con el tiempo, el malestar puede crecer </w:t>
      </w:r>
      <w:r w:rsidR="0010623F" w:rsidRPr="009257E7">
        <w:rPr>
          <w:lang w:val="es-ES"/>
        </w:rPr>
        <w:t>ante</w:t>
      </w:r>
      <w:r w:rsidRPr="009257E7">
        <w:rPr>
          <w:lang w:val="es-ES"/>
        </w:rPr>
        <w:t xml:space="preserve"> la injusticia persistente, a medida que más personas y grupos resisten, desobedecen, se retiran y luchan con una intensidad c</w:t>
      </w:r>
      <w:r w:rsidR="0010623F" w:rsidRPr="009257E7">
        <w:rPr>
          <w:lang w:val="es-ES"/>
        </w:rPr>
        <w:t>reciente</w:t>
      </w:r>
      <w:r w:rsidRPr="009257E7">
        <w:rPr>
          <w:lang w:val="es-ES"/>
        </w:rPr>
        <w:t xml:space="preserve">. Como sistema con resultados cuantificables, el Estado de derecho, aunque dominante, ha estado sujeto a la crítica y al escepticismo de muches. De hecho, el derecho desempeñó un papel clave en la creación de los imperios coloniales y fue moldeado, por diseño, para la búsqueda del poder colonial y </w:t>
      </w:r>
      <w:r w:rsidR="0010623F" w:rsidRPr="009257E7">
        <w:rPr>
          <w:lang w:val="es-ES"/>
        </w:rPr>
        <w:t xml:space="preserve">de </w:t>
      </w:r>
      <w:r w:rsidRPr="009257E7">
        <w:rPr>
          <w:lang w:val="es-ES"/>
        </w:rPr>
        <w:t xml:space="preserve">la ganancia imperial. La ganancia derivada del comercio fue una fuerza impulsora de la colonización tanto como cualquier otra. No es sino hasta mediados del siglo XX, después de la Segunda Guerra Mundial, </w:t>
      </w:r>
      <w:r w:rsidR="007F1E7F" w:rsidRPr="009257E7">
        <w:rPr>
          <w:lang w:val="es-ES"/>
        </w:rPr>
        <w:t>cuando</w:t>
      </w:r>
      <w:r w:rsidRPr="009257E7">
        <w:rPr>
          <w:lang w:val="es-ES"/>
        </w:rPr>
        <w:t xml:space="preserve"> se permite la entrada de los derechos humanos internacionales en este sistema.</w:t>
      </w:r>
      <w:r w:rsidR="00A615E9" w:rsidRPr="009257E7">
        <w:rPr>
          <w:lang w:val="es-ES"/>
        </w:rPr>
        <w:t xml:space="preserve"> </w:t>
      </w:r>
      <w:r w:rsidR="00C6168F" w:rsidRPr="009257E7">
        <w:rPr>
          <w:lang w:val="es-ES"/>
        </w:rPr>
        <w:t xml:space="preserve"> </w:t>
      </w:r>
    </w:p>
    <w:p w14:paraId="673E681E" w14:textId="12EECCED" w:rsidR="007D3E68" w:rsidRPr="009257E7" w:rsidRDefault="007D3E68" w:rsidP="00C6168F">
      <w:pPr>
        <w:pStyle w:val="NormalWeb"/>
        <w:ind w:firstLine="720"/>
        <w:rPr>
          <w:lang w:val="es-ES"/>
        </w:rPr>
      </w:pPr>
      <w:r w:rsidRPr="009257E7">
        <w:rPr>
          <w:lang w:val="es-ES"/>
        </w:rPr>
        <w:t xml:space="preserve">En consecuencia, para establecer y ayudar a administrar sus imperios transnacionales en competencia, las élites colonizadoras público-privadas otorgaron cartas de constitución a las primeras corporaciones multinacionales. Les concedieron monopolios y privilegios sobre vastos recursos, pueblos y territorios. Al mismo tiempo, restringieron el comercio de las colonias para que solo pudiera realizarse con ellas o </w:t>
      </w:r>
      <w:r w:rsidR="00C6168F" w:rsidRPr="009257E7">
        <w:rPr>
          <w:lang w:val="es-ES"/>
        </w:rPr>
        <w:t>a</w:t>
      </w:r>
      <w:r w:rsidRPr="009257E7">
        <w:rPr>
          <w:lang w:val="es-ES"/>
        </w:rPr>
        <w:t xml:space="preserve"> </w:t>
      </w:r>
      <w:r w:rsidR="00C6168F" w:rsidRPr="009257E7">
        <w:rPr>
          <w:lang w:val="es-ES"/>
        </w:rPr>
        <w:t>través</w:t>
      </w:r>
      <w:r w:rsidRPr="009257E7">
        <w:rPr>
          <w:lang w:val="es-ES"/>
        </w:rPr>
        <w:t xml:space="preserve"> de ellas. Este sistema unidireccional de mercantilismo colonial despojó a las zonas colonizadas de todo aquello considerado valioso en todo el mundo —desde </w:t>
      </w:r>
      <w:r w:rsidR="00C6168F" w:rsidRPr="009257E7">
        <w:rPr>
          <w:lang w:val="es-ES"/>
        </w:rPr>
        <w:t xml:space="preserve">la </w:t>
      </w:r>
      <w:r w:rsidRPr="009257E7">
        <w:rPr>
          <w:lang w:val="es-ES"/>
        </w:rPr>
        <w:t>India hasta Cuba— y luego lo envió todo a los “reyes mercantes” neerlandeses, españoles, británicos, franceses y de otros países europeos, o a sus coronas</w:t>
      </w:r>
      <w:r w:rsidR="00D5068D" w:rsidRPr="009257E7">
        <w:rPr>
          <w:rStyle w:val="FootnoteReference"/>
          <w:lang w:val="es-ES"/>
        </w:rPr>
        <w:footnoteReference w:id="13"/>
      </w:r>
      <w:r w:rsidRPr="009257E7">
        <w:rPr>
          <w:lang w:val="es-ES"/>
        </w:rPr>
        <w:t>. Por medio del derecho, este arreglo desposeyó a muchos pueblos y continentes durante siglos para acumular y concentrar la riqueza del mundo —y su poder— de forma perpetua entre poquísimas personas.</w:t>
      </w:r>
      <w:r w:rsidR="00542228" w:rsidRPr="009257E7">
        <w:rPr>
          <w:lang w:val="es-ES"/>
        </w:rPr>
        <w:t xml:space="preserve"> </w:t>
      </w:r>
    </w:p>
    <w:p w14:paraId="602D46A6" w14:textId="62A6F329" w:rsidR="007D3E68" w:rsidRPr="009257E7" w:rsidRDefault="007D3E68" w:rsidP="00D5068D">
      <w:pPr>
        <w:pStyle w:val="NormalWeb"/>
        <w:ind w:firstLine="720"/>
        <w:rPr>
          <w:lang w:val="es-ES"/>
        </w:rPr>
      </w:pPr>
      <w:r w:rsidRPr="009257E7">
        <w:rPr>
          <w:lang w:val="es-ES"/>
        </w:rPr>
        <w:t xml:space="preserve">Históricamente, quizás las más notables de estas colusiones público-privadas para la “acumulación mediante desposesión” hayan sido las compañías neerlandesa y británica de las Indias Orientales, así como la Compañía Neerlandesa de las Indias Occidentales. </w:t>
      </w:r>
      <w:r w:rsidR="00542228" w:rsidRPr="009257E7">
        <w:rPr>
          <w:lang w:val="es-ES"/>
        </w:rPr>
        <w:t>C</w:t>
      </w:r>
      <w:r w:rsidRPr="009257E7">
        <w:rPr>
          <w:lang w:val="es-ES"/>
        </w:rPr>
        <w:t xml:space="preserve">on el tiempo, las élites conectadas en redes también crearon otras entidades similares </w:t>
      </w:r>
      <w:r w:rsidR="0041679E" w:rsidRPr="009257E7">
        <w:rPr>
          <w:lang w:val="es-ES"/>
        </w:rPr>
        <w:t>en</w:t>
      </w:r>
      <w:r w:rsidRPr="009257E7">
        <w:rPr>
          <w:lang w:val="es-ES"/>
        </w:rPr>
        <w:t xml:space="preserve"> </w:t>
      </w:r>
      <w:r w:rsidR="0041679E" w:rsidRPr="009257E7">
        <w:rPr>
          <w:lang w:val="es-ES"/>
        </w:rPr>
        <w:t>to</w:t>
      </w:r>
      <w:r w:rsidRPr="009257E7">
        <w:rPr>
          <w:lang w:val="es-ES"/>
        </w:rPr>
        <w:t xml:space="preserve">do </w:t>
      </w:r>
      <w:r w:rsidR="0041679E" w:rsidRPr="009257E7">
        <w:rPr>
          <w:lang w:val="es-ES"/>
        </w:rPr>
        <w:t>el</w:t>
      </w:r>
      <w:r w:rsidRPr="009257E7">
        <w:rPr>
          <w:lang w:val="es-ES"/>
        </w:rPr>
        <w:t xml:space="preserve"> </w:t>
      </w:r>
      <w:r w:rsidR="0041679E" w:rsidRPr="009257E7">
        <w:rPr>
          <w:lang w:val="es-ES"/>
        </w:rPr>
        <w:t>mundo,</w:t>
      </w:r>
      <w:r w:rsidRPr="009257E7">
        <w:rPr>
          <w:lang w:val="es-ES"/>
        </w:rPr>
        <w:t xml:space="preserve"> </w:t>
      </w:r>
      <w:r w:rsidR="0041679E" w:rsidRPr="009257E7">
        <w:rPr>
          <w:lang w:val="es-ES"/>
        </w:rPr>
        <w:t>con</w:t>
      </w:r>
      <w:r w:rsidRPr="009257E7">
        <w:rPr>
          <w:lang w:val="es-ES"/>
        </w:rPr>
        <w:t xml:space="preserve"> </w:t>
      </w:r>
      <w:r w:rsidRPr="009257E7">
        <w:rPr>
          <w:lang w:val="es-ES"/>
        </w:rPr>
        <w:lastRenderedPageBreak/>
        <w:t xml:space="preserve">propósitos público-privados bastante específicos. Entre ellas se encuentran la Russian American Company, la Hudson Bay Company, la British South </w:t>
      </w:r>
      <w:proofErr w:type="spellStart"/>
      <w:r w:rsidRPr="009257E7">
        <w:rPr>
          <w:lang w:val="es-ES"/>
        </w:rPr>
        <w:t>Africa</w:t>
      </w:r>
      <w:proofErr w:type="spellEnd"/>
      <w:r w:rsidRPr="009257E7">
        <w:rPr>
          <w:lang w:val="es-ES"/>
        </w:rPr>
        <w:t xml:space="preserve"> Company y, especialmente en el hemisferio occidental, la </w:t>
      </w:r>
      <w:proofErr w:type="spellStart"/>
      <w:r w:rsidRPr="009257E7">
        <w:rPr>
          <w:lang w:val="es-ES"/>
        </w:rPr>
        <w:t>United</w:t>
      </w:r>
      <w:proofErr w:type="spellEnd"/>
      <w:r w:rsidRPr="009257E7">
        <w:rPr>
          <w:lang w:val="es-ES"/>
        </w:rPr>
        <w:t xml:space="preserve"> Fruit Company. Al usar el derecho y las corporaciones como herramientas clave de expansión y enriquecimiento continuos, las élites europeas —y luego estadounidenses—, es decir, las clases gobernantes a cargo tanto del gobierno como de las </w:t>
      </w:r>
      <w:proofErr w:type="gramStart"/>
      <w:r w:rsidRPr="009257E7">
        <w:rPr>
          <w:lang w:val="es-ES"/>
        </w:rPr>
        <w:t>corporaciones,</w:t>
      </w:r>
      <w:proofErr w:type="gramEnd"/>
      <w:r w:rsidRPr="009257E7">
        <w:rPr>
          <w:lang w:val="es-ES"/>
        </w:rPr>
        <w:t xml:space="preserve"> fusionaron directamente el poder público con la ganancia privada para su propio beneficio. Es decir, trasplantaron el Estado de derecho e inventaron el derecho internacional, principalmente para promover y proteger sus intereses personales y grupales por encima de todo lo demás.</w:t>
      </w:r>
    </w:p>
    <w:p w14:paraId="43FC42E5" w14:textId="7E5C7F05" w:rsidR="007D3E68" w:rsidRPr="009257E7" w:rsidRDefault="007D3E68" w:rsidP="0041679E">
      <w:pPr>
        <w:pStyle w:val="NormalWeb"/>
        <w:ind w:firstLine="720"/>
        <w:rPr>
          <w:lang w:val="es-ES"/>
        </w:rPr>
      </w:pPr>
      <w:r w:rsidRPr="009257E7">
        <w:rPr>
          <w:lang w:val="es-ES"/>
        </w:rPr>
        <w:t xml:space="preserve">El sistema jurídico exalta la justicia como propósito principal, pero muchos siglos de resultados sistémicos en </w:t>
      </w:r>
      <w:r w:rsidR="0041679E" w:rsidRPr="009257E7">
        <w:rPr>
          <w:lang w:val="es-ES"/>
        </w:rPr>
        <w:t>divers</w:t>
      </w:r>
      <w:r w:rsidRPr="009257E7">
        <w:rPr>
          <w:lang w:val="es-ES"/>
        </w:rPr>
        <w:t xml:space="preserve">os lugares han mostrado lo contrario, como Estados Unidos mismo admitió recientemente. En septiembre de 2020, Christopher Wray, director del FBI, describió la “supremacía blanca” como el mayor problema de terrorismo doméstico en Estados Unidos. Wray señaló que, dentro de todo el “extremismo de violencia doméstica”, el “grupo más grande” era el </w:t>
      </w:r>
      <w:r w:rsidR="000C6D56" w:rsidRPr="009257E7">
        <w:rPr>
          <w:lang w:val="es-ES"/>
        </w:rPr>
        <w:t>“</w:t>
      </w:r>
      <w:r w:rsidRPr="009257E7">
        <w:rPr>
          <w:lang w:val="es-ES"/>
        </w:rPr>
        <w:t>extremismo motivado por la raza”. También indicó que, entre todas las formas de extremismo motivado por la raza o la etnicidad, “la ideología supremacista blanca es, sin duda, la porción más grande”</w:t>
      </w:r>
      <w:r w:rsidR="00D44189" w:rsidRPr="009257E7">
        <w:rPr>
          <w:rStyle w:val="FootnoteReference"/>
          <w:lang w:val="es-ES"/>
        </w:rPr>
        <w:footnoteReference w:id="14"/>
      </w:r>
      <w:r w:rsidRPr="009257E7">
        <w:rPr>
          <w:lang w:val="es-ES"/>
        </w:rPr>
        <w:t>. La evaluación muy directa del FBI fue tanto un eco como un pronóstico.</w:t>
      </w:r>
    </w:p>
    <w:p w14:paraId="3F9F16F2" w14:textId="1961CF48" w:rsidR="007D3E68" w:rsidRPr="009257E7" w:rsidRDefault="007D3E68" w:rsidP="00D44189">
      <w:pPr>
        <w:pStyle w:val="NormalWeb"/>
        <w:ind w:firstLine="720"/>
        <w:rPr>
          <w:lang w:val="es-ES"/>
        </w:rPr>
      </w:pPr>
      <w:r w:rsidRPr="009257E7">
        <w:rPr>
          <w:lang w:val="es-ES"/>
        </w:rPr>
        <w:t>Decenas de investigaciones hicieron eco de esta evaluación tras el asalto al Capitolio de Estados Unidos el 6 de enero de 2021</w:t>
      </w:r>
      <w:r w:rsidR="00D44189" w:rsidRPr="009257E7">
        <w:rPr>
          <w:lang w:val="es-ES"/>
        </w:rPr>
        <w:t>, perpetrado</w:t>
      </w:r>
      <w:r w:rsidRPr="009257E7">
        <w:rPr>
          <w:lang w:val="es-ES"/>
        </w:rPr>
        <w:t xml:space="preserve"> por una turba cargada de emblemas, consignas, disfraces y pancartas supremacistas blancas. El 20 de enero de 2021, poco después de ese intento de insurrección, el presidente Joseph Biden pronunció por primera vez en un discurso de inauguración presidencial en Estados Unidos</w:t>
      </w:r>
      <w:r w:rsidR="00306169" w:rsidRPr="009257E7">
        <w:rPr>
          <w:lang w:val="es-ES"/>
        </w:rPr>
        <w:t xml:space="preserve"> las palabras “supremacía blanca”</w:t>
      </w:r>
      <w:r w:rsidRPr="009257E7">
        <w:rPr>
          <w:lang w:val="es-ES"/>
        </w:rPr>
        <w:t xml:space="preserve">. Con ello reconoció, finalmente, un punto fundamental: que “el aguijón del racismo sistémico” había convertido a Estados Unidos en una “tierra quebrada” durante los más de cinco siglos transcurridos desde que sus raíces coloniales fueron </w:t>
      </w:r>
      <w:r w:rsidR="00306169" w:rsidRPr="009257E7">
        <w:rPr>
          <w:lang w:val="es-ES"/>
        </w:rPr>
        <w:t>traz</w:t>
      </w:r>
      <w:r w:rsidRPr="009257E7">
        <w:rPr>
          <w:lang w:val="es-ES"/>
        </w:rPr>
        <w:t>adas y establecidas por colonos europeos</w:t>
      </w:r>
      <w:r w:rsidR="0015347E" w:rsidRPr="009257E7">
        <w:rPr>
          <w:rStyle w:val="FootnoteReference"/>
          <w:lang w:val="es-ES"/>
        </w:rPr>
        <w:footnoteReference w:id="15"/>
      </w:r>
      <w:r w:rsidRPr="009257E7">
        <w:rPr>
          <w:lang w:val="es-ES"/>
        </w:rPr>
        <w:t>.</w:t>
      </w:r>
    </w:p>
    <w:p w14:paraId="388BBF50" w14:textId="77777777" w:rsidR="003520CA" w:rsidRPr="009257E7" w:rsidRDefault="003520CA" w:rsidP="003520CA">
      <w:pPr>
        <w:pStyle w:val="NormalWeb"/>
        <w:ind w:firstLine="720"/>
        <w:rPr>
          <w:lang w:val="es-ES"/>
        </w:rPr>
      </w:pPr>
      <w:r w:rsidRPr="009257E7">
        <w:rPr>
          <w:lang w:val="es-ES"/>
        </w:rPr>
        <w:t>La académica del derecho Angela Mae Kupenda y otres han observado de manera similar —y crítica— lo siguiente:</w:t>
      </w:r>
    </w:p>
    <w:p w14:paraId="64373960" w14:textId="4236DA5F" w:rsidR="003520CA" w:rsidRPr="009257E7" w:rsidRDefault="003520CA" w:rsidP="0017065C">
      <w:pPr>
        <w:pStyle w:val="NormalWeb"/>
        <w:ind w:left="720"/>
        <w:rPr>
          <w:lang w:val="es-ES"/>
        </w:rPr>
      </w:pPr>
      <w:r w:rsidRPr="009257E7">
        <w:rPr>
          <w:lang w:val="es-ES"/>
        </w:rPr>
        <w:t>Nuestros libros de casos y textos históricos dicen mucho sobre los esfuerzos de quienes son ampliamente reconocidos como los padres fundadores para implementar y mantener una cultura blanca, y para disminuir todas las demás culturas ricas que existían antes de la llegada de las personas blancas a este continente, así como las culturas no blancas de quienes llegaron a este continente más tarde, incluso algunes por la fuerza [...] mediante la separación y la degra</w:t>
      </w:r>
      <w:r w:rsidR="001476AB" w:rsidRPr="009257E7">
        <w:rPr>
          <w:lang w:val="es-ES"/>
        </w:rPr>
        <w:t>da</w:t>
      </w:r>
      <w:r w:rsidRPr="009257E7">
        <w:rPr>
          <w:lang w:val="es-ES"/>
        </w:rPr>
        <w:t>ción y, en ocasiones, mediante la explotación económica</w:t>
      </w:r>
      <w:r w:rsidR="001476AB" w:rsidRPr="009257E7">
        <w:rPr>
          <w:rStyle w:val="FootnoteReference"/>
          <w:lang w:val="es-ES"/>
        </w:rPr>
        <w:footnoteReference w:id="16"/>
      </w:r>
      <w:r w:rsidRPr="009257E7">
        <w:rPr>
          <w:lang w:val="es-ES"/>
        </w:rPr>
        <w:t>.</w:t>
      </w:r>
    </w:p>
    <w:p w14:paraId="523F48D7" w14:textId="77777777" w:rsidR="008F235C" w:rsidRPr="009257E7" w:rsidRDefault="003520CA" w:rsidP="008F235C">
      <w:pPr>
        <w:pStyle w:val="NormalWeb"/>
        <w:ind w:firstLine="720"/>
        <w:rPr>
          <w:lang w:val="es-ES"/>
        </w:rPr>
      </w:pPr>
      <w:r w:rsidRPr="009257E7">
        <w:rPr>
          <w:lang w:val="es-ES"/>
        </w:rPr>
        <w:lastRenderedPageBreak/>
        <w:t xml:space="preserve">El Estado de derecho, un plano multifacético y multicapa para la formación social y el dominio grupal, </w:t>
      </w:r>
      <w:r w:rsidR="008F235C" w:rsidRPr="009257E7">
        <w:rPr>
          <w:lang w:val="es-ES"/>
        </w:rPr>
        <w:t>se</w:t>
      </w:r>
      <w:r w:rsidRPr="009257E7">
        <w:rPr>
          <w:lang w:val="es-ES"/>
        </w:rPr>
        <w:t xml:space="preserve"> </w:t>
      </w:r>
      <w:r w:rsidR="008F235C" w:rsidRPr="009257E7">
        <w:rPr>
          <w:lang w:val="es-ES"/>
        </w:rPr>
        <w:t>originó en</w:t>
      </w:r>
      <w:r w:rsidRPr="009257E7">
        <w:rPr>
          <w:lang w:val="es-ES"/>
        </w:rPr>
        <w:t xml:space="preserve"> Europa como sistema conceptual y concreto para </w:t>
      </w:r>
      <w:r w:rsidR="008F235C" w:rsidRPr="009257E7">
        <w:rPr>
          <w:lang w:val="es-ES"/>
        </w:rPr>
        <w:t>abarca</w:t>
      </w:r>
      <w:r w:rsidRPr="009257E7">
        <w:rPr>
          <w:lang w:val="es-ES"/>
        </w:rPr>
        <w:t xml:space="preserve">r al mundo entero. De manera inexorable, este proceso histórico continuo vincula los sistemas jurídicos nacionales con sistemas internacionales equivalentes. Por lo tanto, el derecho internacional también falla por diseño: los sistemas están diseñados para entrelazarse en la justificación y el arraigo de castas identitarias. Para promover la igualdad frente a este esquema de larga duración, les abogades usan comprensiones críticas del diseño, la historia y los resultados del sistema para superar el Desafío Crítico en contextos locales y globales. Al hacerlo, observan tanto las semejanzas como las diferencias, </w:t>
      </w:r>
      <w:r w:rsidR="008F235C" w:rsidRPr="009257E7">
        <w:rPr>
          <w:lang w:val="es-ES"/>
        </w:rPr>
        <w:t>lo cual</w:t>
      </w:r>
      <w:r w:rsidRPr="009257E7">
        <w:rPr>
          <w:lang w:val="es-ES"/>
        </w:rPr>
        <w:t xml:space="preserve"> ayuda a ilustrar el ejemplo del colonialismo.</w:t>
      </w:r>
      <w:r w:rsidR="008F235C" w:rsidRPr="009257E7">
        <w:rPr>
          <w:lang w:val="es-ES"/>
        </w:rPr>
        <w:br/>
      </w:r>
      <w:r w:rsidR="000F007C" w:rsidRPr="009257E7">
        <w:rPr>
          <w:lang w:val="es-ES"/>
        </w:rPr>
        <w:br/>
      </w:r>
      <w:r w:rsidR="000F007C" w:rsidRPr="009257E7">
        <w:rPr>
          <w:b/>
          <w:bCs/>
          <w:lang w:val="es-ES"/>
        </w:rPr>
        <w:t>1.3 Los colonos llegaron para conquistar, no como inmigrantes, y crearon castas identitarias para Estados raciales</w:t>
      </w:r>
    </w:p>
    <w:p w14:paraId="2E415BAE" w14:textId="5B2CBC8B" w:rsidR="00670D0E" w:rsidRPr="009257E7" w:rsidRDefault="00670D0E" w:rsidP="00670D0E">
      <w:pPr>
        <w:pStyle w:val="NormalWeb"/>
        <w:ind w:firstLine="720"/>
        <w:rPr>
          <w:lang w:val="es-ES"/>
        </w:rPr>
      </w:pPr>
      <w:r w:rsidRPr="009257E7">
        <w:rPr>
          <w:lang w:val="es-ES"/>
        </w:rPr>
        <w:t xml:space="preserve">El Estado de derecho se estableció como un sistema en todo el mundo mediante la conquista colonial. Esta misión de conquista contrasta de forma tajante con la inmigración, en la cual las personas se desplazan con la intención de integrarse en sociedades existentes, no de conquistarlas ni </w:t>
      </w:r>
      <w:r w:rsidR="00F56B24" w:rsidRPr="009257E7">
        <w:rPr>
          <w:lang w:val="es-ES"/>
        </w:rPr>
        <w:t xml:space="preserve">de </w:t>
      </w:r>
      <w:r w:rsidRPr="009257E7">
        <w:rPr>
          <w:lang w:val="es-ES"/>
        </w:rPr>
        <w:t xml:space="preserve">destruirlas. Los colonos llegaron para establecer comunidades supremacistas siguiendo modelos europeos, no para asimilarse a </w:t>
      </w:r>
      <w:r w:rsidR="00F56B24" w:rsidRPr="009257E7">
        <w:rPr>
          <w:lang w:val="es-ES"/>
        </w:rPr>
        <w:t xml:space="preserve">las </w:t>
      </w:r>
      <w:r w:rsidRPr="009257E7">
        <w:rPr>
          <w:lang w:val="es-ES"/>
        </w:rPr>
        <w:t xml:space="preserve">comunidades indígenas ni para vivir en coexistencia </w:t>
      </w:r>
      <w:r w:rsidR="00F56B24" w:rsidRPr="009257E7">
        <w:rPr>
          <w:lang w:val="es-ES"/>
        </w:rPr>
        <w:t>pacífic</w:t>
      </w:r>
      <w:r w:rsidRPr="009257E7">
        <w:rPr>
          <w:lang w:val="es-ES"/>
        </w:rPr>
        <w:t>a. El mito de que Estados Unidos es una “nación de inmigrantes” se creó para disfrazar esta historia y para suprimir o cooptar la lucha social. Roxanne Dunbar-Ortiz, historiadora y activista, señala:</w:t>
      </w:r>
    </w:p>
    <w:p w14:paraId="1C670079" w14:textId="5DF6D8AC" w:rsidR="00670D0E" w:rsidRPr="009257E7" w:rsidRDefault="00670D0E" w:rsidP="00F56B24">
      <w:pPr>
        <w:pStyle w:val="NormalWeb"/>
        <w:ind w:left="720"/>
        <w:rPr>
          <w:lang w:val="es-ES"/>
        </w:rPr>
      </w:pPr>
      <w:r w:rsidRPr="009257E7">
        <w:rPr>
          <w:lang w:val="es-ES"/>
        </w:rPr>
        <w:t xml:space="preserve">Una nación de inmigrantes: este es un mito conveniente desarrollado como respuesta a los movimientos de la década de 1960 contra el colonialismo, el neocolonialismo y la supremacía blanca. La clase gobernante y su aparato intelectual ofrecieron </w:t>
      </w:r>
      <w:r w:rsidR="00FA044D" w:rsidRPr="009257E7">
        <w:rPr>
          <w:lang w:val="es-ES"/>
        </w:rPr>
        <w:t>el multiculturalismo, la diversidad y la acción afirmativa como respuesta a las demandas de descolonización, justicia, reparaciones, igualdad social, el fin del imperialismo y la reescritura</w:t>
      </w:r>
      <w:r w:rsidRPr="009257E7">
        <w:rPr>
          <w:lang w:val="es-ES"/>
        </w:rPr>
        <w:t xml:space="preserve"> de la historia. No se trataba de ser “inclusives”, sino de ser precisos. Lo que surgió para reemplazar la idea liberal del crisol de razas y la interpretación nacionalista triunfal del “país más grande de la tierra y de la historia” fue el relato de la “nación de inmigrantes”</w:t>
      </w:r>
      <w:r w:rsidR="00D1494B" w:rsidRPr="009257E7">
        <w:rPr>
          <w:rStyle w:val="FootnoteReference"/>
          <w:lang w:val="es-ES"/>
        </w:rPr>
        <w:footnoteReference w:id="17"/>
      </w:r>
      <w:r w:rsidRPr="009257E7">
        <w:rPr>
          <w:lang w:val="es-ES"/>
        </w:rPr>
        <w:t>.</w:t>
      </w:r>
      <w:r w:rsidR="00E65144" w:rsidRPr="009257E7">
        <w:rPr>
          <w:lang w:val="es-ES"/>
        </w:rPr>
        <w:t xml:space="preserve"> </w:t>
      </w:r>
      <w:r w:rsidR="00D1494B" w:rsidRPr="009257E7">
        <w:rPr>
          <w:lang w:val="es-ES"/>
        </w:rPr>
        <w:t xml:space="preserve"> </w:t>
      </w:r>
    </w:p>
    <w:p w14:paraId="3689E8C4" w14:textId="4EF1AE35" w:rsidR="00670D0E" w:rsidRPr="009257E7" w:rsidRDefault="00670D0E" w:rsidP="00D1494B">
      <w:pPr>
        <w:pStyle w:val="NormalWeb"/>
        <w:ind w:firstLine="720"/>
        <w:rPr>
          <w:lang w:val="es-ES"/>
        </w:rPr>
      </w:pPr>
      <w:r w:rsidRPr="009257E7">
        <w:rPr>
          <w:lang w:val="es-ES"/>
        </w:rPr>
        <w:t xml:space="preserve">Los colonos europeos adaptaron o inventaron identidades sociales —como la “raza”— para afirmar diferencias fundamentales entre ellos mismos —los civilizados— y les demás —les paganes— como fundamento de sus sistemas sociales y jurídicos. Estas decisiones coloniales crearon la forma original de la “política identitaria”: el uso de las identidades para estructurar el derecho y la sociedad, </w:t>
      </w:r>
      <w:r w:rsidR="007B3733" w:rsidRPr="009257E7">
        <w:rPr>
          <w:lang w:val="es-ES"/>
        </w:rPr>
        <w:t>pese</w:t>
      </w:r>
      <w:r w:rsidRPr="009257E7">
        <w:rPr>
          <w:lang w:val="es-ES"/>
        </w:rPr>
        <w:t xml:space="preserve"> </w:t>
      </w:r>
      <w:r w:rsidR="007B3733" w:rsidRPr="009257E7">
        <w:rPr>
          <w:lang w:val="es-ES"/>
        </w:rPr>
        <w:t>a</w:t>
      </w:r>
      <w:r w:rsidRPr="009257E7">
        <w:rPr>
          <w:lang w:val="es-ES"/>
        </w:rPr>
        <w:t xml:space="preserve"> compromisos contrarios </w:t>
      </w:r>
      <w:r w:rsidR="007B3733" w:rsidRPr="009257E7">
        <w:rPr>
          <w:lang w:val="es-ES"/>
        </w:rPr>
        <w:t>a</w:t>
      </w:r>
      <w:r w:rsidRPr="009257E7">
        <w:rPr>
          <w:lang w:val="es-ES"/>
        </w:rPr>
        <w:t xml:space="preserve"> la justicia igualitaria. En el colonialismo europeo, la política identitaria desde arriba fue una práctica elitista destinada a establecer, justificar y arraigar castas específicas. Por diseño, el Estado de derecho impuso, mediante la violencia, nociones desde arriba sobre identidad, diferencia y casta y funcionó como la “punta de lanza” del colonialismo en términos sociales, políticos y materiales</w:t>
      </w:r>
      <w:r w:rsidR="00B05527" w:rsidRPr="009257E7">
        <w:rPr>
          <w:rStyle w:val="FootnoteReference"/>
          <w:lang w:val="es-ES"/>
        </w:rPr>
        <w:footnoteReference w:id="18"/>
      </w:r>
      <w:r w:rsidRPr="009257E7">
        <w:rPr>
          <w:lang w:val="es-ES"/>
        </w:rPr>
        <w:t>.</w:t>
      </w:r>
    </w:p>
    <w:p w14:paraId="1EBDE9C3" w14:textId="1AC05E46" w:rsidR="00666322" w:rsidRPr="009257E7" w:rsidRDefault="00666322" w:rsidP="00666322">
      <w:pPr>
        <w:pStyle w:val="NormalWeb"/>
        <w:ind w:firstLine="720"/>
        <w:rPr>
          <w:lang w:val="es-ES"/>
        </w:rPr>
      </w:pPr>
      <w:r w:rsidRPr="009257E7">
        <w:rPr>
          <w:lang w:val="es-ES"/>
        </w:rPr>
        <w:lastRenderedPageBreak/>
        <w:t>En Estados Unidos y en otros lugares, la Constitución colonial, tal como ha sido enmendada desde entonces, pretende ser el contrato social expreso de Estados Unidos. Formalmente, lo es. Pero el uso simultáneo de identidades sociales basadas en el entrecruzamiento de la propiedad, la raza y el sexo también creó un “contrato racial” que, en la práctica, prevalece sobre el texto aparentemente igualitario y neutral del contrato social</w:t>
      </w:r>
      <w:r w:rsidR="00CF0B95" w:rsidRPr="009257E7">
        <w:rPr>
          <w:rStyle w:val="FootnoteReference"/>
          <w:lang w:val="es-ES"/>
        </w:rPr>
        <w:footnoteReference w:id="19"/>
      </w:r>
      <w:r w:rsidRPr="009257E7">
        <w:rPr>
          <w:lang w:val="es-ES"/>
        </w:rPr>
        <w:t xml:space="preserve">. El periodista Adam Brewer describió con acierto este arreglo sistémico continuo en un informe sobre el impacto desproporcionado de la pandemia de COVID-19 en grupos específicos de Estados Unidos que siguen las castas identitarias coloniales: trabajadores manuales, personas empobrecidas y comunidades negras y </w:t>
      </w:r>
      <w:proofErr w:type="spellStart"/>
      <w:r w:rsidRPr="009257E7">
        <w:rPr>
          <w:lang w:val="es-ES"/>
        </w:rPr>
        <w:t>latinx</w:t>
      </w:r>
      <w:proofErr w:type="spellEnd"/>
      <w:r w:rsidRPr="009257E7">
        <w:rPr>
          <w:lang w:val="es-ES"/>
        </w:rPr>
        <w:t>:</w:t>
      </w:r>
    </w:p>
    <w:p w14:paraId="76BD9ECD" w14:textId="37AA0EC5" w:rsidR="00666322" w:rsidRPr="009257E7" w:rsidRDefault="00666322" w:rsidP="00CF0B95">
      <w:pPr>
        <w:pStyle w:val="NormalWeb"/>
        <w:ind w:left="720"/>
        <w:rPr>
          <w:lang w:val="es-ES"/>
        </w:rPr>
      </w:pPr>
      <w:r w:rsidRPr="009257E7">
        <w:rPr>
          <w:lang w:val="es-ES"/>
        </w:rPr>
        <w:t xml:space="preserve">Si el contrato social es el acuerdo implícito entre </w:t>
      </w:r>
      <w:r w:rsidR="00CF0B95" w:rsidRPr="009257E7">
        <w:rPr>
          <w:lang w:val="es-ES"/>
        </w:rPr>
        <w:t xml:space="preserve">los </w:t>
      </w:r>
      <w:r w:rsidRPr="009257E7">
        <w:rPr>
          <w:lang w:val="es-ES"/>
        </w:rPr>
        <w:t xml:space="preserve">integrantes de una sociedad para seguir las reglas —por ejemplo, actuar conforme a la ley, aceptar los resultados de las elecciones y disputar las reglas acordadas por medios no violentos—, entonces el contrato racial es un codicilo escrito con tinta invisible. Ese codicilo establece que las reglas, tal como están escritas, no se aplican a las personas no blancas de la misma manera. La Declaración de Independencia afirma que todos los hombres son creados iguales; el contrato racial limita esa afirmación a los hombres blancos </w:t>
      </w:r>
      <w:r w:rsidR="00604240" w:rsidRPr="009257E7">
        <w:rPr>
          <w:lang w:val="es-ES"/>
        </w:rPr>
        <w:t>propietarios</w:t>
      </w:r>
      <w:r w:rsidRPr="009257E7">
        <w:rPr>
          <w:lang w:val="es-ES"/>
        </w:rPr>
        <w:t xml:space="preserve">. La ley establece que el asesinato es ilegal; el contrato racial dice que está bien que las personas blancas persigan y asesinen a </w:t>
      </w:r>
      <w:r w:rsidR="00604240" w:rsidRPr="009257E7">
        <w:rPr>
          <w:lang w:val="es-ES"/>
        </w:rPr>
        <w:t xml:space="preserve">las </w:t>
      </w:r>
      <w:r w:rsidRPr="009257E7">
        <w:rPr>
          <w:lang w:val="es-ES"/>
        </w:rPr>
        <w:t>personas negras si han decidido que esas personas negras les dan miedo.</w:t>
      </w:r>
    </w:p>
    <w:p w14:paraId="63820AD1" w14:textId="067E6B1D" w:rsidR="00666322" w:rsidRPr="009257E7" w:rsidRDefault="00666322" w:rsidP="00CF0B95">
      <w:pPr>
        <w:pStyle w:val="NormalWeb"/>
        <w:ind w:left="720"/>
        <w:rPr>
          <w:lang w:val="es-ES"/>
        </w:rPr>
      </w:pPr>
      <w:r w:rsidRPr="009257E7">
        <w:rPr>
          <w:lang w:val="es-ES"/>
        </w:rPr>
        <w:t xml:space="preserve">[...] Mientras permanezca invisible, les integrantes de una sociedad pueden proceder como si las disposiciones del contrato social se aplicaran por igual a todo el mundo. Pero cuando una injusticia empuja el contrato racial a la superficie, obliga a las personas a escoger </w:t>
      </w:r>
      <w:r w:rsidR="00487312" w:rsidRPr="009257E7">
        <w:rPr>
          <w:lang w:val="es-ES"/>
        </w:rPr>
        <w:t>entre</w:t>
      </w:r>
      <w:r w:rsidRPr="009257E7">
        <w:rPr>
          <w:lang w:val="es-ES"/>
        </w:rPr>
        <w:t xml:space="preserve"> aceptar, disputar o negar su existencia. La evidencia en video de tiroteos injustificados contra personas negras resulta tan estremecedora, en parte, porque expone los términos del contrato racial con gran viveza. Pero [...] el contrato racial opera con mayor frecuencia sin ser notado, pues depende de personas estadounidenses que tienen una comprensión implícita de quién está obligado por las reglas y quién está exento de ellas</w:t>
      </w:r>
      <w:r w:rsidR="000C5D6A" w:rsidRPr="009257E7">
        <w:rPr>
          <w:rStyle w:val="FootnoteReference"/>
          <w:lang w:val="es-ES"/>
        </w:rPr>
        <w:footnoteReference w:id="20"/>
      </w:r>
      <w:r w:rsidRPr="009257E7">
        <w:rPr>
          <w:lang w:val="es-ES"/>
        </w:rPr>
        <w:t>.</w:t>
      </w:r>
    </w:p>
    <w:p w14:paraId="0EE5E6CB" w14:textId="1DABAAEA" w:rsidR="00666322" w:rsidRPr="009257E7" w:rsidRDefault="00666322" w:rsidP="000C5D6A">
      <w:pPr>
        <w:pStyle w:val="NormalWeb"/>
        <w:ind w:firstLine="720"/>
        <w:rPr>
          <w:lang w:val="es-ES"/>
        </w:rPr>
      </w:pPr>
      <w:r w:rsidRPr="009257E7">
        <w:rPr>
          <w:lang w:val="es-ES"/>
        </w:rPr>
        <w:t xml:space="preserve">Así, el colonialismo inició el proceso de arraigo de Estados raciales gobernados mediante contratos raciales —y otros contratos identitarios— que, por diseño, contravienen las reglas, normas y valores que dicen defender. Más tarde, el imperialismo y la globalización continuaron este proceso de arraigo colonial, </w:t>
      </w:r>
      <w:r w:rsidR="00DE19BF" w:rsidRPr="009257E7">
        <w:rPr>
          <w:lang w:val="es-ES"/>
        </w:rPr>
        <w:t xml:space="preserve">de </w:t>
      </w:r>
      <w:r w:rsidRPr="009257E7">
        <w:rPr>
          <w:lang w:val="es-ES"/>
        </w:rPr>
        <w:t>enriquecimiento elitista y</w:t>
      </w:r>
      <w:r w:rsidR="00DE19BF" w:rsidRPr="009257E7">
        <w:rPr>
          <w:lang w:val="es-ES"/>
        </w:rPr>
        <w:t xml:space="preserve"> de</w:t>
      </w:r>
      <w:r w:rsidRPr="009257E7">
        <w:rPr>
          <w:lang w:val="es-ES"/>
        </w:rPr>
        <w:t xml:space="preserve"> normalización de la injusticia. El uso del contrato racial y de sus castas supremacistas</w:t>
      </w:r>
      <w:r w:rsidR="00DE19BF" w:rsidRPr="009257E7">
        <w:rPr>
          <w:lang w:val="es-ES"/>
        </w:rPr>
        <w:t>,</w:t>
      </w:r>
      <w:r w:rsidRPr="009257E7">
        <w:rPr>
          <w:lang w:val="es-ES"/>
        </w:rPr>
        <w:t xml:space="preserve"> para violar las garantías de justicia igualitaria para todes del contrato social</w:t>
      </w:r>
      <w:r w:rsidR="00DE19BF" w:rsidRPr="009257E7">
        <w:rPr>
          <w:lang w:val="es-ES"/>
        </w:rPr>
        <w:t>,</w:t>
      </w:r>
      <w:r w:rsidRPr="009257E7">
        <w:rPr>
          <w:lang w:val="es-ES"/>
        </w:rPr>
        <w:t xml:space="preserve"> ha resultado en un “fracaso por diseño” sistémico. Este fracaso reproduce los males sociales que, en conjunto, constituyen el Desafío Crítico continuo de usar el derecho para la justicia.</w:t>
      </w:r>
    </w:p>
    <w:p w14:paraId="24D3BEAF" w14:textId="1505AF11" w:rsidR="00666322" w:rsidRPr="009257E7" w:rsidRDefault="00666322" w:rsidP="00DE19BF">
      <w:pPr>
        <w:pStyle w:val="NormalWeb"/>
        <w:ind w:firstLine="720"/>
        <w:rPr>
          <w:lang w:val="es-ES"/>
        </w:rPr>
      </w:pPr>
      <w:r w:rsidRPr="009257E7">
        <w:rPr>
          <w:lang w:val="es-ES"/>
        </w:rPr>
        <w:t xml:space="preserve">Dicho de forma simple, los “males sociales” son los “ismos” relacionados con la identidad, como el racismo, el sexismo, el antisemitismo, el clasismo, entre otros, y las “fobias”, como la homofobia, la islamofobia, la xenofobia y la transfobia. Estos ismos y fobias son males </w:t>
      </w:r>
      <w:r w:rsidRPr="009257E7">
        <w:rPr>
          <w:lang w:val="es-ES"/>
        </w:rPr>
        <w:lastRenderedPageBreak/>
        <w:t>colectivos porque difunden ideologías que generan problemas sociales. Estos ismos y fobias no solo alimentan la injusticia sistémica, sino que también obst</w:t>
      </w:r>
      <w:r w:rsidR="00FF1FEE" w:rsidRPr="009257E7">
        <w:rPr>
          <w:lang w:val="es-ES"/>
        </w:rPr>
        <w:t>aculiza</w:t>
      </w:r>
      <w:r w:rsidRPr="009257E7">
        <w:rPr>
          <w:lang w:val="es-ES"/>
        </w:rPr>
        <w:t xml:space="preserve">n las soluciones porque moldean la conciencia y la cultura. Así conectan las realidades micro-macro </w:t>
      </w:r>
      <w:r w:rsidR="00234CA3" w:rsidRPr="009257E7">
        <w:rPr>
          <w:lang w:val="es-ES"/>
        </w:rPr>
        <w:t>y</w:t>
      </w:r>
      <w:r w:rsidRPr="009257E7">
        <w:rPr>
          <w:lang w:val="es-ES"/>
        </w:rPr>
        <w:t xml:space="preserve"> las realidades culturales-materiales, tanto para los grupos subordinados desde abajo como para las cúspides privilegiadas. En el nivel micro, por ejemplo, los ismos y las fobias aparecen, a menudo sin cuestionamiento, en las conversaciones:</w:t>
      </w:r>
    </w:p>
    <w:p w14:paraId="3C9BF83B" w14:textId="56D11893" w:rsidR="00234CA3" w:rsidRPr="009257E7" w:rsidRDefault="00234CA3" w:rsidP="00AB68E8">
      <w:pPr>
        <w:pStyle w:val="NormalWeb"/>
        <w:ind w:left="720"/>
        <w:rPr>
          <w:lang w:val="es-ES"/>
        </w:rPr>
      </w:pPr>
      <w:r w:rsidRPr="009257E7">
        <w:rPr>
          <w:lang w:val="es-ES"/>
        </w:rPr>
        <w:t xml:space="preserve">Las jerarquías de poder racializadas y </w:t>
      </w:r>
      <w:proofErr w:type="spellStart"/>
      <w:r w:rsidRPr="009257E7">
        <w:rPr>
          <w:lang w:val="es-ES"/>
        </w:rPr>
        <w:t>generizadas</w:t>
      </w:r>
      <w:proofErr w:type="spellEnd"/>
      <w:r w:rsidRPr="009257E7">
        <w:rPr>
          <w:lang w:val="es-ES"/>
        </w:rPr>
        <w:t xml:space="preserve"> se construyen y refuerzan mediante prácticas cotidianas normalizadoras, como los chistes, los relatos, las generalizaciones o incluso los llamados cumplidos. Por sí mismas, estas prácticas pueden presentarse como “inocentes”, “insignificantes” o “solo por diversión”. Sin embargo, cuando se reiteran de forma continua, se normalizan culturalmente y terminan por </w:t>
      </w:r>
      <w:r w:rsidR="00B751A1" w:rsidRPr="009257E7">
        <w:rPr>
          <w:lang w:val="es-ES"/>
        </w:rPr>
        <w:t>constituir</w:t>
      </w:r>
      <w:r w:rsidRPr="009257E7">
        <w:rPr>
          <w:lang w:val="es-ES"/>
        </w:rPr>
        <w:t xml:space="preserve"> </w:t>
      </w:r>
      <w:r w:rsidR="00B751A1" w:rsidRPr="009257E7">
        <w:rPr>
          <w:lang w:val="es-ES"/>
        </w:rPr>
        <w:t xml:space="preserve">una </w:t>
      </w:r>
      <w:r w:rsidRPr="009257E7">
        <w:rPr>
          <w:lang w:val="es-ES"/>
        </w:rPr>
        <w:t>discriminación sistemática contra</w:t>
      </w:r>
      <w:r w:rsidR="00B751A1" w:rsidRPr="009257E7">
        <w:rPr>
          <w:lang w:val="es-ES"/>
        </w:rPr>
        <w:t xml:space="preserve"> las</w:t>
      </w:r>
      <w:r w:rsidRPr="009257E7">
        <w:rPr>
          <w:lang w:val="es-ES"/>
        </w:rPr>
        <w:t xml:space="preserve"> minorías, lo </w:t>
      </w:r>
      <w:r w:rsidR="00B751A1" w:rsidRPr="009257E7">
        <w:rPr>
          <w:lang w:val="es-ES"/>
        </w:rPr>
        <w:t>que</w:t>
      </w:r>
      <w:r w:rsidRPr="009257E7">
        <w:rPr>
          <w:lang w:val="es-ES"/>
        </w:rPr>
        <w:t xml:space="preserve"> refuerza el privilegio mayoritario</w:t>
      </w:r>
      <w:r w:rsidR="00373662" w:rsidRPr="009257E7">
        <w:rPr>
          <w:rStyle w:val="FootnoteReference"/>
          <w:lang w:val="es-ES"/>
        </w:rPr>
        <w:footnoteReference w:id="21"/>
      </w:r>
      <w:r w:rsidRPr="009257E7">
        <w:rPr>
          <w:lang w:val="es-ES"/>
        </w:rPr>
        <w:t>.</w:t>
      </w:r>
    </w:p>
    <w:p w14:paraId="468ED08A" w14:textId="1D168AF5" w:rsidR="00234CA3" w:rsidRPr="009257E7" w:rsidRDefault="00234CA3" w:rsidP="00373662">
      <w:pPr>
        <w:pStyle w:val="NormalWeb"/>
        <w:ind w:firstLine="720"/>
        <w:rPr>
          <w:lang w:val="es-ES"/>
        </w:rPr>
      </w:pPr>
      <w:r w:rsidRPr="009257E7">
        <w:rPr>
          <w:lang w:val="es-ES"/>
        </w:rPr>
        <w:t>Así, usar el derecho para “arreglar” problemas —la falta de vivienda asequible, la contaminación, la epidemia de opioides, la violencia doméstica, el robo salarial— debe t</w:t>
      </w:r>
      <w:r w:rsidR="00373662" w:rsidRPr="009257E7">
        <w:rPr>
          <w:lang w:val="es-ES"/>
        </w:rPr>
        <w:t>ene</w:t>
      </w:r>
      <w:r w:rsidRPr="009257E7">
        <w:rPr>
          <w:lang w:val="es-ES"/>
        </w:rPr>
        <w:t>r en cuenta las formas complejas, múltiples y poco evidentes en que los males sociales moldean</w:t>
      </w:r>
      <w:r w:rsidR="00373662" w:rsidRPr="009257E7">
        <w:rPr>
          <w:lang w:val="es-ES"/>
        </w:rPr>
        <w:t xml:space="preserve"> siempre</w:t>
      </w:r>
      <w:r w:rsidRPr="009257E7">
        <w:rPr>
          <w:lang w:val="es-ES"/>
        </w:rPr>
        <w:t xml:space="preserve"> los problemas sociales. Estas conexiones ideológicas orientan a les abogades que buscan soluciones efectivas hacia las metas de </w:t>
      </w:r>
      <w:r w:rsidR="00373662" w:rsidRPr="009257E7">
        <w:rPr>
          <w:lang w:val="es-ES"/>
        </w:rPr>
        <w:t xml:space="preserve">las </w:t>
      </w:r>
      <w:r w:rsidRPr="009257E7">
        <w:rPr>
          <w:lang w:val="es-ES"/>
        </w:rPr>
        <w:t>tres capas de la abogacía sistémica, discutidas en el Capítulo 6. Identificar los ismos, las fobias y otros males sociales basados en la identidad</w:t>
      </w:r>
      <w:r w:rsidR="00373662" w:rsidRPr="009257E7">
        <w:rPr>
          <w:lang w:val="es-ES"/>
        </w:rPr>
        <w:t>,</w:t>
      </w:r>
      <w:r w:rsidRPr="009257E7">
        <w:rPr>
          <w:lang w:val="es-ES"/>
        </w:rPr>
        <w:t xml:space="preserve"> en relación con los problemas sociales</w:t>
      </w:r>
      <w:r w:rsidR="00373662" w:rsidRPr="009257E7">
        <w:rPr>
          <w:lang w:val="es-ES"/>
        </w:rPr>
        <w:t>,</w:t>
      </w:r>
      <w:r w:rsidRPr="009257E7">
        <w:rPr>
          <w:lang w:val="es-ES"/>
        </w:rPr>
        <w:t xml:space="preserve"> es </w:t>
      </w:r>
      <w:r w:rsidR="00373662" w:rsidRPr="009257E7">
        <w:rPr>
          <w:lang w:val="es-ES"/>
        </w:rPr>
        <w:t xml:space="preserve">una </w:t>
      </w:r>
      <w:r w:rsidRPr="009257E7">
        <w:rPr>
          <w:lang w:val="es-ES"/>
        </w:rPr>
        <w:t xml:space="preserve">parte integral del diseño de </w:t>
      </w:r>
      <w:r w:rsidR="00373662" w:rsidRPr="009257E7">
        <w:rPr>
          <w:lang w:val="es-ES"/>
        </w:rPr>
        <w:t xml:space="preserve">los </w:t>
      </w:r>
      <w:r w:rsidRPr="009257E7">
        <w:rPr>
          <w:lang w:val="es-ES"/>
        </w:rPr>
        <w:t>proyectos de abogacía sistémica en cualquier contexto.</w:t>
      </w:r>
    </w:p>
    <w:p w14:paraId="6FE3278E" w14:textId="50627B57" w:rsidR="00234CA3" w:rsidRPr="009257E7" w:rsidRDefault="00234CA3" w:rsidP="00373662">
      <w:pPr>
        <w:pStyle w:val="NormalWeb"/>
        <w:ind w:firstLine="720"/>
        <w:rPr>
          <w:lang w:val="es-ES"/>
        </w:rPr>
      </w:pPr>
      <w:r w:rsidRPr="009257E7">
        <w:rPr>
          <w:lang w:val="es-ES"/>
        </w:rPr>
        <w:t>Si tiene éxito pleno, el derecho como ideología es una herramienta en la lucha desde arriba por la hegemonía: el cumplimiento voluntario e incuestionado de los sistemas elitistas y sus castas identitarias. Las hegemonías s</w:t>
      </w:r>
      <w:r w:rsidR="003C3484" w:rsidRPr="009257E7">
        <w:rPr>
          <w:lang w:val="es-ES"/>
        </w:rPr>
        <w:t>e</w:t>
      </w:r>
      <w:r w:rsidRPr="009257E7">
        <w:rPr>
          <w:lang w:val="es-ES"/>
        </w:rPr>
        <w:t xml:space="preserve"> constru</w:t>
      </w:r>
      <w:r w:rsidR="003C3484" w:rsidRPr="009257E7">
        <w:rPr>
          <w:lang w:val="es-ES"/>
        </w:rPr>
        <w:t>yen</w:t>
      </w:r>
      <w:r w:rsidRPr="009257E7">
        <w:rPr>
          <w:lang w:val="es-ES"/>
        </w:rPr>
        <w:t xml:space="preserve"> de manera incremental por las élites gobernantes para dominar a otros grupos sociales, no solo en términos materiales, sino también mediante creencias —ideologías y sesgos—</w:t>
      </w:r>
      <w:r w:rsidR="003C3484" w:rsidRPr="009257E7">
        <w:rPr>
          <w:lang w:val="es-ES"/>
        </w:rPr>
        <w:t>,</w:t>
      </w:r>
      <w:r w:rsidRPr="009257E7">
        <w:rPr>
          <w:lang w:val="es-ES"/>
        </w:rPr>
        <w:t xml:space="preserve"> a perpetuidad. Las creencias incrustadas en las ideologías identitarias supremacistas son aceptadas culturalmente como sentido común, incluso por muchas personas dentro de grupos subordinados, especialmente cuando han sido encarnadas e impuestas durante siglos como derecho. Para las élites, la hegemonía significa lograr </w:t>
      </w:r>
      <w:r w:rsidR="003C3484" w:rsidRPr="009257E7">
        <w:rPr>
          <w:lang w:val="es-ES"/>
        </w:rPr>
        <w:t xml:space="preserve">la </w:t>
      </w:r>
      <w:r w:rsidRPr="009257E7">
        <w:rPr>
          <w:lang w:val="es-ES"/>
        </w:rPr>
        <w:t xml:space="preserve">lealtad cognitiva, material y emocional de quienes ya gobiernan. Las élites aspiran a volverse hegemónicas para </w:t>
      </w:r>
      <w:r w:rsidR="003C3484" w:rsidRPr="009257E7">
        <w:rPr>
          <w:lang w:val="es-ES"/>
        </w:rPr>
        <w:t>situ</w:t>
      </w:r>
      <w:r w:rsidRPr="009257E7">
        <w:rPr>
          <w:lang w:val="es-ES"/>
        </w:rPr>
        <w:t xml:space="preserve">ar su dominio colectivo fuera de cualquier desafío serio, en gran medida mediante el reclutamiento de las personas subordinadas para </w:t>
      </w:r>
      <w:r w:rsidR="003C3484" w:rsidRPr="009257E7">
        <w:rPr>
          <w:lang w:val="es-ES"/>
        </w:rPr>
        <w:t>que participen</w:t>
      </w:r>
      <w:r w:rsidRPr="009257E7">
        <w:rPr>
          <w:lang w:val="es-ES"/>
        </w:rPr>
        <w:t xml:space="preserve"> en su propia subordinación.</w:t>
      </w:r>
      <w:r w:rsidR="003C3484" w:rsidRPr="009257E7">
        <w:rPr>
          <w:lang w:val="es-ES"/>
        </w:rPr>
        <w:t xml:space="preserve"> </w:t>
      </w:r>
    </w:p>
    <w:p w14:paraId="7871623A" w14:textId="0772C5B8" w:rsidR="00234CA3" w:rsidRPr="009257E7" w:rsidRDefault="00234CA3" w:rsidP="003C3484">
      <w:pPr>
        <w:pStyle w:val="NormalWeb"/>
        <w:rPr>
          <w:lang w:val="es-ES"/>
        </w:rPr>
      </w:pPr>
      <w:r w:rsidRPr="009257E7">
        <w:rPr>
          <w:lang w:val="es-ES"/>
        </w:rPr>
        <w:t xml:space="preserve">Así, la ideología y la hegemonía trabajan de la mano: la ideología apoya los impulsos elitistas hacia la hegemonía. La hegemonía depende </w:t>
      </w:r>
      <w:r w:rsidR="003C3484" w:rsidRPr="009257E7">
        <w:rPr>
          <w:lang w:val="es-ES"/>
        </w:rPr>
        <w:t xml:space="preserve">tanto </w:t>
      </w:r>
      <w:r w:rsidRPr="009257E7">
        <w:rPr>
          <w:lang w:val="es-ES"/>
        </w:rPr>
        <w:t xml:space="preserve">de la ideología como de la violencia. En consecuencia, el trabajo contrahegemónico con grupos está necesariamente diseñado para deconstruir los mitos dominantes y crear una conciencia crítica nueva y recursos culturales nuevos. Les abogades y </w:t>
      </w:r>
      <w:r w:rsidR="002E6A4E" w:rsidRPr="009257E7">
        <w:rPr>
          <w:lang w:val="es-ES"/>
        </w:rPr>
        <w:t xml:space="preserve">les </w:t>
      </w:r>
      <w:r w:rsidRPr="009257E7">
        <w:rPr>
          <w:lang w:val="es-ES"/>
        </w:rPr>
        <w:t xml:space="preserve">activistas construyen de manera intencional conversaciones, investigaciones y análisis críticos y autocríticos que cultivan conciencia y conocimiento sobre historias, sistemas y contextos. Luego, prueban y afinan esa conciencia y ese conocimiento mediante equipos y acciones colaborativas. Los métodos relevantes incluyen el encuadre de </w:t>
      </w:r>
      <w:r w:rsidRPr="009257E7">
        <w:rPr>
          <w:lang w:val="es-ES"/>
        </w:rPr>
        <w:lastRenderedPageBreak/>
        <w:t>asuntos, la organización colectiva, las acciones directas y los mensajes que incluyen tanto a quienes son afectades por los problemas sociales y participan en la lucha social como a quienes poseen pericia jurídica, económica u otra. Al establecer una base sólida para les abogades, la académica del derecho Fran Ansley muestra cómo ayudar a impulsar desafíos locales frente a desigualdades globalizadas:</w:t>
      </w:r>
    </w:p>
    <w:p w14:paraId="30D23DA3" w14:textId="59E753B1" w:rsidR="00234CA3" w:rsidRPr="009257E7" w:rsidRDefault="00234CA3" w:rsidP="00E10E9F">
      <w:pPr>
        <w:pStyle w:val="NormalWeb"/>
        <w:ind w:left="720"/>
        <w:rPr>
          <w:lang w:val="es-ES"/>
        </w:rPr>
      </w:pPr>
      <w:r w:rsidRPr="009257E7">
        <w:rPr>
          <w:lang w:val="es-ES"/>
        </w:rPr>
        <w:t xml:space="preserve">Podría decirse que todos los actores interesados en obtener o mantener poder político —desde retadores democráticos externos hasta gobernantes autoritarios bien defendidos— pueden aumentar su poder si logran articular un marco ideológico que dé sentido a sus acciones, justifique sus políticas y legitime sus reclamos de autoridad. Sin embargo, en el caso de los movimientos sociales, el éxito en el encuadre de los asuntos es especialmente crucial porque deben movilizar a las personas de forma voluntaria hacia acciones a veces riesgosas y, por lo general, deben reclutar a esas personas voluntarias sin recurrir a las estructuras, incentivos y dinámicas generales disponibles para quienes tienen acceso a los canales políticos existentes. Por lo tanto, los movimientos sociales no tienen </w:t>
      </w:r>
      <w:r w:rsidR="005E578F" w:rsidRPr="009257E7">
        <w:rPr>
          <w:lang w:val="es-ES"/>
        </w:rPr>
        <w:t xml:space="preserve">otra </w:t>
      </w:r>
      <w:r w:rsidRPr="009257E7">
        <w:rPr>
          <w:lang w:val="es-ES"/>
        </w:rPr>
        <w:t xml:space="preserve">alternativa </w:t>
      </w:r>
      <w:r w:rsidR="005E578F" w:rsidRPr="009257E7">
        <w:rPr>
          <w:lang w:val="es-ES"/>
        </w:rPr>
        <w:t>que</w:t>
      </w:r>
      <w:r w:rsidRPr="009257E7">
        <w:rPr>
          <w:lang w:val="es-ES"/>
        </w:rPr>
        <w:t xml:space="preserve"> desarrollar marcos convincentes que atraigan y energicen a sus integrantes. [...]</w:t>
      </w:r>
    </w:p>
    <w:p w14:paraId="0C9365B8" w14:textId="5616B760" w:rsidR="00234CA3" w:rsidRPr="009257E7" w:rsidRDefault="00234CA3" w:rsidP="00430B85">
      <w:pPr>
        <w:pStyle w:val="NormalWeb"/>
        <w:ind w:left="720"/>
        <w:rPr>
          <w:lang w:val="es-ES"/>
        </w:rPr>
      </w:pPr>
      <w:r w:rsidRPr="009257E7">
        <w:rPr>
          <w:lang w:val="es-ES"/>
        </w:rPr>
        <w:t xml:space="preserve">[...] [Les abogades y activistas] deben dedicar tiempo y recursos sustanciales </w:t>
      </w:r>
      <w:r w:rsidR="005E578F" w:rsidRPr="009257E7">
        <w:rPr>
          <w:lang w:val="es-ES"/>
        </w:rPr>
        <w:t>par</w:t>
      </w:r>
      <w:r w:rsidRPr="009257E7">
        <w:rPr>
          <w:lang w:val="es-ES"/>
        </w:rPr>
        <w:t xml:space="preserve">a permitir y apoyar la interacción horizontal, de persona a persona, entre integrantes comunes de sus movimientos y personas ubicadas en otros lugares físicos o sociales dentro de la economía global. Tales interacciones [...] funcionarán como una incubadora importante para las imágenes, </w:t>
      </w:r>
      <w:r w:rsidR="005E578F" w:rsidRPr="009257E7">
        <w:rPr>
          <w:lang w:val="es-ES"/>
        </w:rPr>
        <w:t xml:space="preserve">las </w:t>
      </w:r>
      <w:r w:rsidRPr="009257E7">
        <w:rPr>
          <w:lang w:val="es-ES"/>
        </w:rPr>
        <w:t xml:space="preserve">metáforas y </w:t>
      </w:r>
      <w:r w:rsidR="005E578F" w:rsidRPr="009257E7">
        <w:rPr>
          <w:lang w:val="es-ES"/>
        </w:rPr>
        <w:t xml:space="preserve">las </w:t>
      </w:r>
      <w:r w:rsidRPr="009257E7">
        <w:rPr>
          <w:lang w:val="es-ES"/>
        </w:rPr>
        <w:t>comprensiones compartidas nuevas que [les abogades y activistas] necesitarán si quieren ayudar a construir marcos más inclusivos y con mayor conciencia global que resuenen con públicos más amplios</w:t>
      </w:r>
      <w:r w:rsidR="00556859" w:rsidRPr="009257E7">
        <w:rPr>
          <w:rStyle w:val="FootnoteReference"/>
          <w:lang w:val="es-ES"/>
        </w:rPr>
        <w:footnoteReference w:id="22"/>
      </w:r>
      <w:r w:rsidRPr="009257E7">
        <w:rPr>
          <w:lang w:val="es-ES"/>
        </w:rPr>
        <w:t>.</w:t>
      </w:r>
    </w:p>
    <w:p w14:paraId="2B725FD7" w14:textId="00010D4C" w:rsidR="00A81465" w:rsidRPr="009257E7" w:rsidRDefault="00234CA3" w:rsidP="00A81465">
      <w:pPr>
        <w:pStyle w:val="NormalWeb"/>
        <w:ind w:firstLine="720"/>
        <w:rPr>
          <w:lang w:val="es-ES"/>
        </w:rPr>
      </w:pPr>
      <w:r w:rsidRPr="009257E7">
        <w:rPr>
          <w:lang w:val="es-ES"/>
        </w:rPr>
        <w:t xml:space="preserve">El enfoque ampliado de la abogacía sistémica en la construcción de poder desde abajo está vinculado </w:t>
      </w:r>
      <w:r w:rsidR="00556859" w:rsidRPr="009257E7">
        <w:rPr>
          <w:lang w:val="es-ES"/>
        </w:rPr>
        <w:t>a</w:t>
      </w:r>
      <w:r w:rsidRPr="009257E7">
        <w:rPr>
          <w:lang w:val="es-ES"/>
        </w:rPr>
        <w:t xml:space="preserve"> la meta de transformar la conciencia de activistas y abogades, así como la de </w:t>
      </w:r>
      <w:r w:rsidR="00556859" w:rsidRPr="009257E7">
        <w:rPr>
          <w:lang w:val="es-ES"/>
        </w:rPr>
        <w:t xml:space="preserve">las </w:t>
      </w:r>
      <w:r w:rsidRPr="009257E7">
        <w:rPr>
          <w:lang w:val="es-ES"/>
        </w:rPr>
        <w:t>culturas y</w:t>
      </w:r>
      <w:r w:rsidR="00556859" w:rsidRPr="009257E7">
        <w:rPr>
          <w:lang w:val="es-ES"/>
        </w:rPr>
        <w:t xml:space="preserve"> los</w:t>
      </w:r>
      <w:r w:rsidRPr="009257E7">
        <w:rPr>
          <w:lang w:val="es-ES"/>
        </w:rPr>
        <w:t xml:space="preserve"> grupos dominantes. Este trabajo implica —y </w:t>
      </w:r>
      <w:r w:rsidR="00556859" w:rsidRPr="009257E7">
        <w:rPr>
          <w:lang w:val="es-ES"/>
        </w:rPr>
        <w:t>requiere</w:t>
      </w:r>
      <w:r w:rsidRPr="009257E7">
        <w:rPr>
          <w:lang w:val="es-ES"/>
        </w:rPr>
        <w:t xml:space="preserve">— tiempo, planificación y organización. Así como las élites han usado el tiempo para perseguir la hegemonía, les abogades usan el tiempo y la creatividad para contrarrestar ese legado. La transformación social exige dar prioridad al desarrollo de herramientas, capacidades y recursos que sirvan a los grupos subordinados que participan en luchas organizadas </w:t>
      </w:r>
      <w:r w:rsidR="00556859" w:rsidRPr="009257E7">
        <w:rPr>
          <w:lang w:val="es-ES"/>
        </w:rPr>
        <w:t>a</w:t>
      </w:r>
      <w:r w:rsidRPr="009257E7">
        <w:rPr>
          <w:lang w:val="es-ES"/>
        </w:rPr>
        <w:t xml:space="preserve"> largo plazo. Les abogades apoyan a grupos organizados para ayudar a detonar y nutrir luchas colectivas continuas desde abajo, de modo que las élites permanezcan frustradas en sus ambiciones de hegemonía completa: el control internalizado e incuestionado del derecho y</w:t>
      </w:r>
      <w:r w:rsidR="00556859" w:rsidRPr="009257E7">
        <w:rPr>
          <w:lang w:val="es-ES"/>
        </w:rPr>
        <w:t xml:space="preserve"> de</w:t>
      </w:r>
      <w:r w:rsidRPr="009257E7">
        <w:rPr>
          <w:lang w:val="es-ES"/>
        </w:rPr>
        <w:t xml:space="preserve"> la sociedad. Esta contestación incluye el colonialismo, el imperialismo y la globalización.</w:t>
      </w:r>
      <w:r w:rsidR="00596E93" w:rsidRPr="009257E7">
        <w:rPr>
          <w:lang w:val="es-ES"/>
        </w:rPr>
        <w:br/>
      </w:r>
      <w:r w:rsidR="000F007C" w:rsidRPr="009257E7">
        <w:rPr>
          <w:lang w:val="es-ES"/>
        </w:rPr>
        <w:br/>
      </w:r>
      <w:r w:rsidR="000F007C" w:rsidRPr="009257E7">
        <w:rPr>
          <w:b/>
          <w:bCs/>
          <w:lang w:val="es-ES"/>
        </w:rPr>
        <w:t>1.4 El imperialismo y la globalización arraigaron y expandieron por medio de la fuerza y el derecho la supremacía blanca y las ideologías identitarias relacionadas</w:t>
      </w:r>
    </w:p>
    <w:p w14:paraId="13395F2C" w14:textId="78FAEE60" w:rsidR="00A81465" w:rsidRPr="009257E7" w:rsidRDefault="00A81465" w:rsidP="00A81465">
      <w:pPr>
        <w:pStyle w:val="NormalWeb"/>
        <w:ind w:firstLine="720"/>
        <w:rPr>
          <w:lang w:val="es-ES"/>
        </w:rPr>
      </w:pPr>
      <w:r w:rsidRPr="009257E7">
        <w:rPr>
          <w:lang w:val="es-ES"/>
        </w:rPr>
        <w:t xml:space="preserve">El colonialismo estableció los contornos básicos del Estado de derecho como sistema en Estados Unidos y en otras colonias de todo el mundo. Estableció conceptos fundacionales nuevos y reglas básicas. Ese sistema prometió un cambio frente al “gobierno de la fuerza” y, a la vez, </w:t>
      </w:r>
      <w:r w:rsidRPr="009257E7">
        <w:rPr>
          <w:lang w:val="es-ES"/>
        </w:rPr>
        <w:lastRenderedPageBreak/>
        <w:t xml:space="preserve">estableció —aunque también ocultó y justificó— castas grupales basadas en contratos raciales impuestos por Estados raciales. Las eras posteriores del imperialismo y </w:t>
      </w:r>
      <w:r w:rsidR="00AA3082" w:rsidRPr="009257E7">
        <w:rPr>
          <w:lang w:val="es-ES"/>
        </w:rPr>
        <w:t xml:space="preserve">de </w:t>
      </w:r>
      <w:r w:rsidRPr="009257E7">
        <w:rPr>
          <w:lang w:val="es-ES"/>
        </w:rPr>
        <w:t>la globalización preservaron este diseño básico.</w:t>
      </w:r>
    </w:p>
    <w:p w14:paraId="1B04D9DA" w14:textId="24A7E1BD" w:rsidR="00A81465" w:rsidRPr="009257E7" w:rsidRDefault="00DF5861" w:rsidP="00DF5861">
      <w:pPr>
        <w:pStyle w:val="NormalWeb"/>
        <w:ind w:firstLine="720"/>
        <w:rPr>
          <w:lang w:val="es-ES"/>
        </w:rPr>
      </w:pPr>
      <w:r w:rsidRPr="009257E7">
        <w:rPr>
          <w:lang w:val="es-ES"/>
        </w:rPr>
        <w:t xml:space="preserve">Mientras las naciones colonizadoras europeas enviaban colonos al extranjero y traían riquezas de vuelta, las élites feudales terratenientes se transformaron en élites industriales y capitalistas. Al mismo tiempo, los “hombres destacados” de la era colonial, que acababan de adquirir propiedades, consolidaron su control sobre las colonias de todo el mundo. </w:t>
      </w:r>
      <w:r w:rsidR="00A81465" w:rsidRPr="009257E7">
        <w:rPr>
          <w:lang w:val="es-ES"/>
        </w:rPr>
        <w:t xml:space="preserve">Formaron redes e instituciones locales, regionales y transnacionales diseñadas para arraigarlos </w:t>
      </w:r>
      <w:r w:rsidR="001D3939" w:rsidRPr="009257E7">
        <w:rPr>
          <w:lang w:val="es-ES"/>
        </w:rPr>
        <w:t xml:space="preserve">colectivamente como élites globales, </w:t>
      </w:r>
      <w:r w:rsidR="00A81465" w:rsidRPr="009257E7">
        <w:rPr>
          <w:lang w:val="es-ES"/>
        </w:rPr>
        <w:t>a ellos y a sus sucesores. Tanto las élites europeas antiguas como las nuevas continuaron dominando las sociedades a través de eras posteriores y superpuestas: el imperialismo y la globalización. Sin embargo, ninguna de las desigualdades de la colonización, el imperialismo o la globalización se estableció ni se impuso sin resistencia continua desde abajo.</w:t>
      </w:r>
    </w:p>
    <w:p w14:paraId="242642E2" w14:textId="54B8276C" w:rsidR="00A81465" w:rsidRPr="009257E7" w:rsidRDefault="00A81465" w:rsidP="001D3939">
      <w:pPr>
        <w:pStyle w:val="NormalWeb"/>
        <w:ind w:firstLine="720"/>
        <w:rPr>
          <w:lang w:val="es-ES"/>
        </w:rPr>
      </w:pPr>
      <w:r w:rsidRPr="009257E7">
        <w:rPr>
          <w:lang w:val="es-ES"/>
        </w:rPr>
        <w:t xml:space="preserve">En este esquema histórico, el imperialismo se refiere, por lo general, a la adaptación y extensión del colonialismo. El imperialismo logra el control no tanto mediante el asentamiento, sino mediante el control directo o indirecto del territorio, </w:t>
      </w:r>
      <w:r w:rsidR="00DD7E35" w:rsidRPr="009257E7">
        <w:rPr>
          <w:lang w:val="es-ES"/>
        </w:rPr>
        <w:t xml:space="preserve">de </w:t>
      </w:r>
      <w:r w:rsidRPr="009257E7">
        <w:rPr>
          <w:lang w:val="es-ES"/>
        </w:rPr>
        <w:t>los recursos y</w:t>
      </w:r>
      <w:r w:rsidR="00DD7E35" w:rsidRPr="009257E7">
        <w:rPr>
          <w:lang w:val="es-ES"/>
        </w:rPr>
        <w:t xml:space="preserve"> de</w:t>
      </w:r>
      <w:r w:rsidRPr="009257E7">
        <w:rPr>
          <w:lang w:val="es-ES"/>
        </w:rPr>
        <w:t xml:space="preserve"> los pueblos. El imperialismo convierte la extracción de riqueza en su </w:t>
      </w:r>
      <w:r w:rsidR="00DD7E35" w:rsidRPr="009257E7">
        <w:rPr>
          <w:lang w:val="es-ES"/>
        </w:rPr>
        <w:t>máxim</w:t>
      </w:r>
      <w:r w:rsidRPr="009257E7">
        <w:rPr>
          <w:lang w:val="es-ES"/>
        </w:rPr>
        <w:t xml:space="preserve">a prioridad, </w:t>
      </w:r>
      <w:r w:rsidR="006D2A31" w:rsidRPr="009257E7">
        <w:rPr>
          <w:lang w:val="es-ES"/>
        </w:rPr>
        <w:t>por</w:t>
      </w:r>
      <w:r w:rsidRPr="009257E7">
        <w:rPr>
          <w:lang w:val="es-ES"/>
        </w:rPr>
        <w:t xml:space="preserve"> </w:t>
      </w:r>
      <w:r w:rsidR="006D2A31" w:rsidRPr="009257E7">
        <w:rPr>
          <w:lang w:val="es-ES"/>
        </w:rPr>
        <w:t>encima d</w:t>
      </w:r>
      <w:r w:rsidRPr="009257E7">
        <w:rPr>
          <w:lang w:val="es-ES"/>
        </w:rPr>
        <w:t>e la ocupación del territorio. La conquista imperial a veces i</w:t>
      </w:r>
      <w:r w:rsidR="006D2A31" w:rsidRPr="009257E7">
        <w:rPr>
          <w:lang w:val="es-ES"/>
        </w:rPr>
        <w:t>mplic</w:t>
      </w:r>
      <w:r w:rsidRPr="009257E7">
        <w:rPr>
          <w:lang w:val="es-ES"/>
        </w:rPr>
        <w:t xml:space="preserve">a regímenes “títeres”. Durante la conquista imperial, las élites decididas al enriquecimiento ejercieron </w:t>
      </w:r>
      <w:r w:rsidR="006D2A31" w:rsidRPr="009257E7">
        <w:rPr>
          <w:lang w:val="es-ES"/>
        </w:rPr>
        <w:t xml:space="preserve">la </w:t>
      </w:r>
      <w:r w:rsidRPr="009257E7">
        <w:rPr>
          <w:lang w:val="es-ES"/>
        </w:rPr>
        <w:t>fuerza bruta y usaron el derecho formal para adquirir</w:t>
      </w:r>
      <w:r w:rsidR="006D2A31" w:rsidRPr="009257E7">
        <w:rPr>
          <w:lang w:val="es-ES"/>
        </w:rPr>
        <w:t xml:space="preserve"> el</w:t>
      </w:r>
      <w:r w:rsidRPr="009257E7">
        <w:rPr>
          <w:lang w:val="es-ES"/>
        </w:rPr>
        <w:t xml:space="preserve"> control directo sobre una tierra y su pueblo. De forma alternativa, las élites imperiales usaron </w:t>
      </w:r>
      <w:r w:rsidR="006D2A31" w:rsidRPr="009257E7">
        <w:rPr>
          <w:lang w:val="es-ES"/>
        </w:rPr>
        <w:t>su</w:t>
      </w:r>
      <w:r w:rsidRPr="009257E7">
        <w:rPr>
          <w:lang w:val="es-ES"/>
        </w:rPr>
        <w:t xml:space="preserve"> influencia política y económica para lograr el control efectivo de otras tierras, pueblos y recursos en territorios que no adquirieron ni ocuparon formalmente. Así, el imperialismo es tanto una extensión como un refinamiento del colonialismo.</w:t>
      </w:r>
    </w:p>
    <w:p w14:paraId="6AE0A4E7" w14:textId="000BBE80" w:rsidR="00A81465" w:rsidRPr="009257E7" w:rsidRDefault="00A81465" w:rsidP="006D2A31">
      <w:pPr>
        <w:pStyle w:val="NormalWeb"/>
        <w:ind w:firstLine="720"/>
        <w:rPr>
          <w:lang w:val="es-ES"/>
        </w:rPr>
      </w:pPr>
      <w:r w:rsidRPr="009257E7">
        <w:rPr>
          <w:lang w:val="es-ES"/>
        </w:rPr>
        <w:t>La primera expresión formal del imperialismo como política estadounidense puede ser la Doctrina Monroe de 1823. Esta doctrina declaró una “esfera de influencia” especial para Estados Unidos en todo el hemisferio, pero no contemplaba una ocupación hemisférica. El presidente estadounidense James Monroe declaró todo este hemisferio fuera del alcance de la intromisión europea y proclamó que las Américas, “de ahora en adelante, no debían considerarse como objetos de colonización futura por ninguna potencia europea”</w:t>
      </w:r>
      <w:r w:rsidR="00947DF5" w:rsidRPr="009257E7">
        <w:rPr>
          <w:rStyle w:val="FootnoteReference"/>
          <w:lang w:val="es-ES"/>
        </w:rPr>
        <w:footnoteReference w:id="23"/>
      </w:r>
      <w:r w:rsidRPr="009257E7">
        <w:rPr>
          <w:lang w:val="es-ES"/>
        </w:rPr>
        <w:t xml:space="preserve">. Esta proclamación fue la expresión política de la protección judicial del “imperio americano” por parte de John Marshall, presidente de la Corte Suprema de </w:t>
      </w:r>
      <w:r w:rsidR="00593E63" w:rsidRPr="009257E7">
        <w:rPr>
          <w:lang w:val="es-ES"/>
        </w:rPr>
        <w:t xml:space="preserve">los </w:t>
      </w:r>
      <w:r w:rsidRPr="009257E7">
        <w:rPr>
          <w:lang w:val="es-ES"/>
        </w:rPr>
        <w:t>Estados Unidos. Mediante proclamación y doctrina, las élites colon</w:t>
      </w:r>
      <w:r w:rsidR="00593E63" w:rsidRPr="009257E7">
        <w:rPr>
          <w:lang w:val="es-ES"/>
        </w:rPr>
        <w:t>iale</w:t>
      </w:r>
      <w:r w:rsidRPr="009257E7">
        <w:rPr>
          <w:lang w:val="es-ES"/>
        </w:rPr>
        <w:t>s arraigadas en Estados Unidos —que era</w:t>
      </w:r>
      <w:r w:rsidR="00593E63" w:rsidRPr="009257E7">
        <w:rPr>
          <w:lang w:val="es-ES"/>
        </w:rPr>
        <w:t>,</w:t>
      </w:r>
      <w:r w:rsidRPr="009257E7">
        <w:rPr>
          <w:lang w:val="es-ES"/>
        </w:rPr>
        <w:t xml:space="preserve"> en sí mismo</w:t>
      </w:r>
      <w:r w:rsidR="00593E63" w:rsidRPr="009257E7">
        <w:rPr>
          <w:lang w:val="es-ES"/>
        </w:rPr>
        <w:t>,</w:t>
      </w:r>
      <w:r w:rsidRPr="009257E7">
        <w:rPr>
          <w:lang w:val="es-ES"/>
        </w:rPr>
        <w:t xml:space="preserve"> una antigua colonia europea— reclamaron para sí las prerrogativas coloniales de las élites europeas.</w:t>
      </w:r>
    </w:p>
    <w:p w14:paraId="49D7C685" w14:textId="6D9751BB" w:rsidR="00DA7B04" w:rsidRPr="009257E7" w:rsidRDefault="00C170D8" w:rsidP="00C170D8">
      <w:pPr>
        <w:pStyle w:val="NormalWeb"/>
        <w:ind w:firstLine="720"/>
        <w:rPr>
          <w:lang w:val="es-ES"/>
        </w:rPr>
      </w:pPr>
      <w:r w:rsidRPr="009257E7">
        <w:rPr>
          <w:lang w:val="es-ES"/>
        </w:rPr>
        <w:t>I</w:t>
      </w:r>
      <w:r w:rsidR="00DA7B04" w:rsidRPr="009257E7">
        <w:rPr>
          <w:lang w:val="es-ES"/>
        </w:rPr>
        <w:t>ncluso antes de la Doctrina Monroe, el expansionismo estadounidense había conquistado naciones tribales, ya fuera mediante el exterminio de pueblos indígenas o mediante su confinamiento en “reservas” seleccionadas por Estados Unidos, ubicadas en lugares desconocidos, indeseables, improductivos y remotos. Así, el alcance hemisférico de la doctrina de Monroe también sirvió para reforzar la afirmación conc</w:t>
      </w:r>
      <w:r w:rsidRPr="009257E7">
        <w:rPr>
          <w:lang w:val="es-ES"/>
        </w:rPr>
        <w:t>omita</w:t>
      </w:r>
      <w:r w:rsidR="00DA7B04" w:rsidRPr="009257E7">
        <w:rPr>
          <w:lang w:val="es-ES"/>
        </w:rPr>
        <w:t>nte del Destino Manifiesto, con el fin de legitimar la conquista estadounidense de otras tierras y</w:t>
      </w:r>
      <w:r w:rsidRPr="009257E7">
        <w:rPr>
          <w:lang w:val="es-ES"/>
        </w:rPr>
        <w:t xml:space="preserve"> de</w:t>
      </w:r>
      <w:r w:rsidR="00DA7B04" w:rsidRPr="009257E7">
        <w:rPr>
          <w:lang w:val="es-ES"/>
        </w:rPr>
        <w:t xml:space="preserve"> otros pueblos continentales para su explotación. Esto ocurrió principalmente en las regiones del suroeste de lo que hoy </w:t>
      </w:r>
      <w:r w:rsidR="00593E63" w:rsidRPr="009257E7">
        <w:rPr>
          <w:lang w:val="es-ES"/>
        </w:rPr>
        <w:t>son</w:t>
      </w:r>
      <w:r w:rsidR="00DA7B04" w:rsidRPr="009257E7">
        <w:rPr>
          <w:lang w:val="es-ES"/>
        </w:rPr>
        <w:t xml:space="preserve"> </w:t>
      </w:r>
      <w:r w:rsidR="000C685D" w:rsidRPr="009257E7">
        <w:rPr>
          <w:lang w:val="es-ES"/>
        </w:rPr>
        <w:t xml:space="preserve">los </w:t>
      </w:r>
      <w:r w:rsidR="00DA7B04" w:rsidRPr="009257E7">
        <w:rPr>
          <w:lang w:val="es-ES"/>
        </w:rPr>
        <w:t xml:space="preserve">Estados Unidos, incluidas Texas, California, Nuevo México y Arizona. En términos </w:t>
      </w:r>
      <w:r w:rsidR="00DA7B04" w:rsidRPr="009257E7">
        <w:rPr>
          <w:lang w:val="es-ES"/>
        </w:rPr>
        <w:lastRenderedPageBreak/>
        <w:t>generales, este período de conquista se intensificó entre mediados y finales del siglo XIX, con guerras estadounidenses no provocadas no solo contra México en 1846, sino también contra España en 1898. En ambas aventuras imperiales, las ambiciones estadounidenses consistían en anexar, controlar y explotar tierras que abarca</w:t>
      </w:r>
      <w:r w:rsidR="000C685D" w:rsidRPr="009257E7">
        <w:rPr>
          <w:lang w:val="es-ES"/>
        </w:rPr>
        <w:t>ro</w:t>
      </w:r>
      <w:r w:rsidR="00DA7B04" w:rsidRPr="009257E7">
        <w:rPr>
          <w:lang w:val="es-ES"/>
        </w:rPr>
        <w:t>n el globo. Como explica el académico del derecho Steven Bender con respecto al inicio de la guerra entre Estados Unidos y México en 1846, en lo que hoy es Texas, ese conflicto fue fabricado por élites colon</w:t>
      </w:r>
      <w:r w:rsidR="000C685D" w:rsidRPr="009257E7">
        <w:rPr>
          <w:lang w:val="es-ES"/>
        </w:rPr>
        <w:t>iales</w:t>
      </w:r>
      <w:r w:rsidR="00DA7B04" w:rsidRPr="009257E7">
        <w:rPr>
          <w:lang w:val="es-ES"/>
        </w:rPr>
        <w:t xml:space="preserve"> invasoras para preservar —y expandir— el Estado racial estadounidense y su economía esclavista:</w:t>
      </w:r>
    </w:p>
    <w:p w14:paraId="75E7AEA9" w14:textId="1B365C27" w:rsidR="00DA7B04" w:rsidRPr="009257E7" w:rsidRDefault="00DA7B04" w:rsidP="000C685D">
      <w:pPr>
        <w:pStyle w:val="NormalWeb"/>
        <w:ind w:left="720"/>
        <w:rPr>
          <w:lang w:val="es-ES"/>
        </w:rPr>
      </w:pPr>
      <w:r w:rsidRPr="009257E7">
        <w:rPr>
          <w:lang w:val="es-ES"/>
        </w:rPr>
        <w:t xml:space="preserve">La protección de la economía y la cultura esclavistas, y [...] el desprecio por la propiedad y el control mexicanos </w:t>
      </w:r>
      <w:r w:rsidR="000C685D" w:rsidRPr="009257E7">
        <w:rPr>
          <w:lang w:val="es-ES"/>
        </w:rPr>
        <w:t>sobr</w:t>
      </w:r>
      <w:r w:rsidRPr="009257E7">
        <w:rPr>
          <w:lang w:val="es-ES"/>
        </w:rPr>
        <w:t xml:space="preserve">e los recursos naturales del área, [...] explican mejor nuestras adquisiciones territoriales </w:t>
      </w:r>
      <w:r w:rsidR="000C685D" w:rsidRPr="009257E7">
        <w:rPr>
          <w:lang w:val="es-ES"/>
        </w:rPr>
        <w:t>en</w:t>
      </w:r>
      <w:r w:rsidRPr="009257E7">
        <w:rPr>
          <w:lang w:val="es-ES"/>
        </w:rPr>
        <w:t xml:space="preserve"> México mediante la fuerza. En resumen, la esclavitud figuró en los tres acontecimientos principales que transfirieron el control de la región de Tejas/Texas a Estados Unidos: la decisión de inmigrantes anglos dueños de personas esclavizadas —como élites colonas— de separarse por la fuerza de México y formar la República independiente de Texas; el acuerdo de Estados Unidos para anexar la República como el estado número 28; y el imperativo estadounidense de fijar la frontera de Texas en el Río Grande mediante la fuerza militar. [...]</w:t>
      </w:r>
    </w:p>
    <w:p w14:paraId="54247B23" w14:textId="4C2C16FA" w:rsidR="00DA7B04" w:rsidRPr="009257E7" w:rsidRDefault="00DA7B04" w:rsidP="000C685D">
      <w:pPr>
        <w:pStyle w:val="NormalWeb"/>
        <w:ind w:left="720"/>
        <w:rPr>
          <w:lang w:val="es-ES"/>
        </w:rPr>
      </w:pPr>
      <w:r w:rsidRPr="009257E7">
        <w:rPr>
          <w:lang w:val="es-ES"/>
        </w:rPr>
        <w:t>[...] Estas mismas visiones impulsaron el Destino Manifiesto de expansión territorial y económica estadounidense —a través del resto de las tierras del suroeste</w:t>
      </w:r>
      <w:r w:rsidR="00852384" w:rsidRPr="009257E7">
        <w:rPr>
          <w:lang w:val="es-ES"/>
        </w:rPr>
        <w:t>,</w:t>
      </w:r>
      <w:r w:rsidRPr="009257E7">
        <w:rPr>
          <w:lang w:val="es-ES"/>
        </w:rPr>
        <w:t xml:space="preserve"> bajo control mexicano</w:t>
      </w:r>
      <w:r w:rsidR="00852384" w:rsidRPr="009257E7">
        <w:rPr>
          <w:lang w:val="es-ES"/>
        </w:rPr>
        <w:t>,</w:t>
      </w:r>
      <w:r w:rsidRPr="009257E7">
        <w:rPr>
          <w:lang w:val="es-ES"/>
        </w:rPr>
        <w:t xml:space="preserve"> hasta llegar al océano Pacífico—. [...] Al referirse al terreno de California, [un periódico estadounidense] comentó que, bajo control mexicano, la tierra estaba “condenada a la desolación y a un páramo estéril, en lugar de ser el jardín del mundo [...] dedicado a los usos para los cuales la naturaleza y el Dios de la naturaleza la diseñaron”.</w:t>
      </w:r>
      <w:r w:rsidR="00764AD8" w:rsidRPr="009257E7">
        <w:rPr>
          <w:rStyle w:val="FootnoteReference"/>
          <w:lang w:val="es-ES"/>
        </w:rPr>
        <w:footnoteReference w:id="24"/>
      </w:r>
      <w:r w:rsidR="00790AFE" w:rsidRPr="009257E7">
        <w:rPr>
          <w:lang w:val="es-ES"/>
        </w:rPr>
        <w:t xml:space="preserve"> </w:t>
      </w:r>
    </w:p>
    <w:p w14:paraId="1694BD37" w14:textId="67620454" w:rsidR="00DA7B04" w:rsidRPr="009257E7" w:rsidRDefault="00DA7B04" w:rsidP="006F13A1">
      <w:pPr>
        <w:pStyle w:val="NormalWeb"/>
        <w:ind w:firstLine="720"/>
        <w:rPr>
          <w:lang w:val="es-ES"/>
        </w:rPr>
      </w:pPr>
      <w:r w:rsidRPr="009257E7">
        <w:rPr>
          <w:lang w:val="es-ES"/>
        </w:rPr>
        <w:t xml:space="preserve">Esta adquisición territorial requirió todas las herramientas disponibles en el repertorio de las élites. Estas incluyeron la fuerza militar, la acción gubernamental formal para anexar territorio y conferir la estadidad, la violencia privada organizada —como en la secesión forzosa promovida por </w:t>
      </w:r>
      <w:r w:rsidR="00467B07" w:rsidRPr="009257E7">
        <w:rPr>
          <w:lang w:val="es-ES"/>
        </w:rPr>
        <w:t xml:space="preserve">los </w:t>
      </w:r>
      <w:r w:rsidRPr="009257E7">
        <w:rPr>
          <w:lang w:val="es-ES"/>
        </w:rPr>
        <w:t xml:space="preserve">colonos dueños de personas esclavizadas—, la violencia individual —como cuando </w:t>
      </w:r>
      <w:r w:rsidR="00467B07" w:rsidRPr="009257E7">
        <w:rPr>
          <w:lang w:val="es-ES"/>
        </w:rPr>
        <w:t xml:space="preserve">los </w:t>
      </w:r>
      <w:r w:rsidRPr="009257E7">
        <w:rPr>
          <w:lang w:val="es-ES"/>
        </w:rPr>
        <w:t xml:space="preserve">pioneros de la fiebre del oro que inundaban California ocuparon por la fuerza tierras que todavía pertenecían a personas mexicanas y que, en apariencia, estaban protegidas por el Tratado de Guadalupe Hidalgo, que puso fin a la guerra entre Estados Unidos y México en 1848—, y la violencia de turbas —mediante linchamientos e intimidación para imponer la toma de tierras por ocupantes—. </w:t>
      </w:r>
      <w:r w:rsidR="00877D5C" w:rsidRPr="009257E7">
        <w:rPr>
          <w:lang w:val="es-ES"/>
        </w:rPr>
        <w:t xml:space="preserve">La fuerza militar </w:t>
      </w:r>
      <w:r w:rsidR="002C7D06" w:rsidRPr="009257E7">
        <w:rPr>
          <w:lang w:val="es-ES"/>
        </w:rPr>
        <w:t>logró</w:t>
      </w:r>
      <w:r w:rsidR="00877D5C" w:rsidRPr="009257E7">
        <w:rPr>
          <w:lang w:val="es-ES"/>
        </w:rPr>
        <w:t xml:space="preserve"> </w:t>
      </w:r>
      <w:r w:rsidR="002C7D06" w:rsidRPr="009257E7">
        <w:rPr>
          <w:lang w:val="es-ES"/>
        </w:rPr>
        <w:t>e</w:t>
      </w:r>
      <w:r w:rsidR="00877D5C" w:rsidRPr="009257E7">
        <w:rPr>
          <w:lang w:val="es-ES"/>
        </w:rPr>
        <w:t xml:space="preserve">l control de Estados Unidos sobre la región, pero fueron el Congreso y los tribunales </w:t>
      </w:r>
      <w:r w:rsidR="006F13A1" w:rsidRPr="009257E7">
        <w:rPr>
          <w:lang w:val="es-ES"/>
        </w:rPr>
        <w:t>quienes</w:t>
      </w:r>
      <w:r w:rsidR="00877D5C" w:rsidRPr="009257E7">
        <w:rPr>
          <w:lang w:val="es-ES"/>
        </w:rPr>
        <w:t xml:space="preserve"> expulsaron a los terratenientes mexicanos, uno a uno y en su conjunto, de las parcelas más codiciadas</w:t>
      </w:r>
      <w:r w:rsidR="006F13A1" w:rsidRPr="009257E7">
        <w:rPr>
          <w:lang w:val="es-ES"/>
        </w:rPr>
        <w:t xml:space="preserve">. </w:t>
      </w:r>
      <w:r w:rsidRPr="009257E7">
        <w:rPr>
          <w:lang w:val="es-ES"/>
        </w:rPr>
        <w:t xml:space="preserve">Esto se logró al exigirles que “probaran” sus títulos de propiedad, ahora “extranjeros”, </w:t>
      </w:r>
      <w:r w:rsidR="006F13A1" w:rsidRPr="009257E7">
        <w:rPr>
          <w:lang w:val="es-ES"/>
        </w:rPr>
        <w:t>ante</w:t>
      </w:r>
      <w:r w:rsidRPr="009257E7">
        <w:rPr>
          <w:lang w:val="es-ES"/>
        </w:rPr>
        <w:t xml:space="preserve"> el sistema judicial estadounidense. Los procesos judiciales se llevaron a cabo en inglés y estuvieron sujetos a estándares que, por diseño, hicieron fracasar la mayoría de las reclamaciones de les propietaries. Aunque eran ricas en tierras, muchas personas mexicanas propietarias carecían de efectivo. Por eso, se vieron obligadas a depender de abogades angloparlantes, quienes, si lograban confirmar el título, tomaban una parte considerable de la tierra como pago. A veces, los tribunales ordenaban una venta judicial por partición de toda la parcela, en la cual el abogade con reservas de efectivo </w:t>
      </w:r>
      <w:r w:rsidRPr="009257E7">
        <w:rPr>
          <w:lang w:val="es-ES"/>
        </w:rPr>
        <w:lastRenderedPageBreak/>
        <w:t>podía terminar como dueñe</w:t>
      </w:r>
      <w:r w:rsidR="009D746D" w:rsidRPr="009257E7">
        <w:rPr>
          <w:rStyle w:val="FootnoteReference"/>
          <w:lang w:val="es-ES"/>
        </w:rPr>
        <w:footnoteReference w:id="25"/>
      </w:r>
      <w:r w:rsidRPr="009257E7">
        <w:rPr>
          <w:lang w:val="es-ES"/>
        </w:rPr>
        <w:t xml:space="preserve">. El resultado fue que las personas mexicanas fueron “prácticamente eliminadas como clase propietaria de tierras en el suroeste de Estados Unidos [...] [lo que preparó] el escenario para un capítulo </w:t>
      </w:r>
      <w:r w:rsidR="009D746D" w:rsidRPr="009257E7">
        <w:rPr>
          <w:lang w:val="es-ES"/>
        </w:rPr>
        <w:t xml:space="preserve">nuevo </w:t>
      </w:r>
      <w:r w:rsidRPr="009257E7">
        <w:rPr>
          <w:lang w:val="es-ES"/>
        </w:rPr>
        <w:t>en las relaciones entre Estados Unidos y México: la explotación de la mano de obra mexicana y mexicano-estadounidense migratoria y de bajo salario”</w:t>
      </w:r>
      <w:r w:rsidR="00024186" w:rsidRPr="009257E7">
        <w:rPr>
          <w:rStyle w:val="FootnoteReference"/>
          <w:lang w:val="es-ES"/>
        </w:rPr>
        <w:footnoteReference w:id="26"/>
      </w:r>
      <w:r w:rsidRPr="009257E7">
        <w:rPr>
          <w:lang w:val="es-ES"/>
        </w:rPr>
        <w:t>.</w:t>
      </w:r>
    </w:p>
    <w:p w14:paraId="632BB61A" w14:textId="3A6656CD" w:rsidR="00DA7B04" w:rsidRPr="009257E7" w:rsidRDefault="00DA7B04" w:rsidP="00024186">
      <w:pPr>
        <w:pStyle w:val="NormalWeb"/>
        <w:ind w:firstLine="720"/>
        <w:rPr>
          <w:lang w:val="es-ES"/>
        </w:rPr>
      </w:pPr>
      <w:r w:rsidRPr="009257E7">
        <w:rPr>
          <w:lang w:val="es-ES"/>
        </w:rPr>
        <w:t xml:space="preserve">Después de que </w:t>
      </w:r>
      <w:r w:rsidR="008C6916" w:rsidRPr="009257E7">
        <w:rPr>
          <w:lang w:val="es-ES"/>
        </w:rPr>
        <w:t xml:space="preserve">los </w:t>
      </w:r>
      <w:r w:rsidRPr="009257E7">
        <w:rPr>
          <w:lang w:val="es-ES"/>
        </w:rPr>
        <w:t>Estados Unidos expandi</w:t>
      </w:r>
      <w:r w:rsidR="00953DE6" w:rsidRPr="009257E7">
        <w:rPr>
          <w:lang w:val="es-ES"/>
        </w:rPr>
        <w:t>eron</w:t>
      </w:r>
      <w:r w:rsidRPr="009257E7">
        <w:rPr>
          <w:lang w:val="es-ES"/>
        </w:rPr>
        <w:t xml:space="preserve"> su alcance de “mar a mar resplandeciente”, la Doctrina Monroe </w:t>
      </w:r>
      <w:r w:rsidR="00663D32" w:rsidRPr="009257E7">
        <w:rPr>
          <w:lang w:val="es-ES"/>
        </w:rPr>
        <w:t>estableci</w:t>
      </w:r>
      <w:r w:rsidRPr="009257E7">
        <w:rPr>
          <w:lang w:val="es-ES"/>
        </w:rPr>
        <w:t xml:space="preserve">ó prerrogativas imperiales a nivel hemisférico. El imperialismo creó literalmente un imperio estadounidense global </w:t>
      </w:r>
      <w:r w:rsidR="00CA1E11" w:rsidRPr="009257E7">
        <w:rPr>
          <w:lang w:val="es-ES"/>
        </w:rPr>
        <w:t xml:space="preserve">nuevo </w:t>
      </w:r>
      <w:r w:rsidR="00663D32" w:rsidRPr="009257E7">
        <w:rPr>
          <w:lang w:val="es-ES"/>
        </w:rPr>
        <w:t>al</w:t>
      </w:r>
      <w:r w:rsidRPr="009257E7">
        <w:rPr>
          <w:lang w:val="es-ES"/>
        </w:rPr>
        <w:t xml:space="preserve"> tomar las antiguas colonias de España —como Puerto Rico y </w:t>
      </w:r>
      <w:r w:rsidR="00663D32" w:rsidRPr="009257E7">
        <w:rPr>
          <w:lang w:val="es-ES"/>
        </w:rPr>
        <w:t xml:space="preserve">las </w:t>
      </w:r>
      <w:r w:rsidRPr="009257E7">
        <w:rPr>
          <w:lang w:val="es-ES"/>
        </w:rPr>
        <w:t xml:space="preserve">Filipinas— como botín de guerra. Este imperio descansaba sobre la fuerza bruta, pero se revestía de ficciones jurídicas. Estas doctrinas o proclamaciones fueron ampliadas por afirmaciones posteriores similares </w:t>
      </w:r>
      <w:r w:rsidR="00CA1E11" w:rsidRPr="009257E7">
        <w:rPr>
          <w:lang w:val="es-ES"/>
        </w:rPr>
        <w:t>sobr</w:t>
      </w:r>
      <w:r w:rsidRPr="009257E7">
        <w:rPr>
          <w:lang w:val="es-ES"/>
        </w:rPr>
        <w:t>e la prerrogativa de dominar, incluida</w:t>
      </w:r>
      <w:r w:rsidR="00CA1E11" w:rsidRPr="009257E7">
        <w:rPr>
          <w:lang w:val="es-ES"/>
        </w:rPr>
        <w:t>s</w:t>
      </w:r>
      <w:r w:rsidRPr="009257E7">
        <w:rPr>
          <w:lang w:val="es-ES"/>
        </w:rPr>
        <w:t xml:space="preserve"> la política de Puertas Abiertas —contra China—, la política del Gran Garrote —en todo el hemisferio— y la Diplomacia del </w:t>
      </w:r>
      <w:proofErr w:type="gramStart"/>
      <w:r w:rsidRPr="009257E7">
        <w:rPr>
          <w:lang w:val="es-ES"/>
        </w:rPr>
        <w:t>Dólar</w:t>
      </w:r>
      <w:proofErr w:type="gramEnd"/>
      <w:r w:rsidRPr="009257E7">
        <w:rPr>
          <w:lang w:val="es-ES"/>
        </w:rPr>
        <w:t xml:space="preserve"> —a nivel global—. En su mensaje anual de 1904, el presidente estadounidense Theodore Roosevelt declaró: “La mala conducta crónica, o una impotencia que resulte en un aflojamiento general de los vínculos de la sociedad civilizada, puede, en América como en otros lugares, requerir finalmente la intervención de alguna nación civilizada, y en el hemisferio occidental [...] la Doctrina Monroe puede obligar a Estados Unidos [...] al ejercicio de un poder policial internacional”</w:t>
      </w:r>
      <w:r w:rsidR="00C35C83" w:rsidRPr="009257E7">
        <w:rPr>
          <w:rStyle w:val="FootnoteReference"/>
          <w:lang w:val="es-ES"/>
        </w:rPr>
        <w:footnoteReference w:id="27"/>
      </w:r>
      <w:r w:rsidRPr="009257E7">
        <w:rPr>
          <w:lang w:val="es-ES"/>
        </w:rPr>
        <w:t>. Este “poder policial internacional” dependía del “gran garrote” de Roosevelt: el poder crudo, usualmente militar.</w:t>
      </w:r>
    </w:p>
    <w:p w14:paraId="1D6B02C1" w14:textId="36C20E03" w:rsidR="00B202C1" w:rsidRPr="009257E7" w:rsidRDefault="00B202C1" w:rsidP="00652913">
      <w:pPr>
        <w:pStyle w:val="NormalWeb"/>
        <w:ind w:firstLine="720"/>
        <w:rPr>
          <w:lang w:val="es-ES"/>
        </w:rPr>
      </w:pPr>
      <w:r w:rsidRPr="009257E7">
        <w:rPr>
          <w:lang w:val="es-ES"/>
        </w:rPr>
        <w:t>Durante este período de expansión y extracción imperial, las élites estadounidenses tuvieron un éxito espectacular. En unas pocas décadas —y especialmente entre 1898 y el comienzo de la Primera Guerra Mundial—, las aventuras imperiales de Estados Unidos se extendieron desde Haw</w:t>
      </w:r>
      <w:r w:rsidR="00652913" w:rsidRPr="009257E7">
        <w:rPr>
          <w:lang w:val="es-ES"/>
        </w:rPr>
        <w:t>á</w:t>
      </w:r>
      <w:r w:rsidRPr="009257E7">
        <w:rPr>
          <w:lang w:val="es-ES"/>
        </w:rPr>
        <w:t xml:space="preserve">i, Guam, Samoa, China y </w:t>
      </w:r>
      <w:r w:rsidR="00652913" w:rsidRPr="009257E7">
        <w:rPr>
          <w:lang w:val="es-ES"/>
        </w:rPr>
        <w:t xml:space="preserve">las </w:t>
      </w:r>
      <w:r w:rsidRPr="009257E7">
        <w:rPr>
          <w:lang w:val="es-ES"/>
        </w:rPr>
        <w:t xml:space="preserve">Filipinas hasta Colombia-Panamá, Cuba, Haití, </w:t>
      </w:r>
      <w:r w:rsidR="00652913" w:rsidRPr="009257E7">
        <w:rPr>
          <w:lang w:val="es-ES"/>
        </w:rPr>
        <w:t xml:space="preserve">la </w:t>
      </w:r>
      <w:r w:rsidRPr="009257E7">
        <w:rPr>
          <w:lang w:val="es-ES"/>
        </w:rPr>
        <w:t>República Dominicana, Honduras, Nicaragua y Puerto Rico, entre otros lugares. Las élites estadounidenses a veces anexaron territorios —como Haw</w:t>
      </w:r>
      <w:r w:rsidR="00652913" w:rsidRPr="009257E7">
        <w:rPr>
          <w:lang w:val="es-ES"/>
        </w:rPr>
        <w:t>á</w:t>
      </w:r>
      <w:r w:rsidRPr="009257E7">
        <w:rPr>
          <w:lang w:val="es-ES"/>
        </w:rPr>
        <w:t xml:space="preserve">i—, otras veces crearon colonias formales —como </w:t>
      </w:r>
      <w:r w:rsidR="00652913" w:rsidRPr="009257E7">
        <w:rPr>
          <w:lang w:val="es-ES"/>
        </w:rPr>
        <w:t xml:space="preserve">las </w:t>
      </w:r>
      <w:r w:rsidRPr="009257E7">
        <w:rPr>
          <w:lang w:val="es-ES"/>
        </w:rPr>
        <w:t>Filipinas y Puerto Rico—, y en otras ocasiones crearon protectorados —como en Cuba—.</w:t>
      </w:r>
      <w:r w:rsidR="00652913" w:rsidRPr="009257E7">
        <w:rPr>
          <w:lang w:val="es-ES"/>
        </w:rPr>
        <w:t xml:space="preserve">  </w:t>
      </w:r>
    </w:p>
    <w:p w14:paraId="2D556A99" w14:textId="1BB95E4E" w:rsidR="00B202C1" w:rsidRPr="009257E7" w:rsidRDefault="00B202C1" w:rsidP="00652913">
      <w:pPr>
        <w:pStyle w:val="NormalWeb"/>
        <w:ind w:firstLine="720"/>
        <w:rPr>
          <w:lang w:val="es-ES"/>
        </w:rPr>
      </w:pPr>
      <w:r w:rsidRPr="009257E7">
        <w:rPr>
          <w:lang w:val="es-ES"/>
        </w:rPr>
        <w:t>El politólogo Charles Venator Santiago describe cómo la historia jurídica de Puerto Rico</w:t>
      </w:r>
      <w:r w:rsidR="00652913" w:rsidRPr="009257E7">
        <w:rPr>
          <w:lang w:val="es-ES"/>
        </w:rPr>
        <w:t>,</w:t>
      </w:r>
      <w:r w:rsidRPr="009257E7">
        <w:rPr>
          <w:lang w:val="es-ES"/>
        </w:rPr>
        <w:t xml:space="preserve"> desde 1899</w:t>
      </w:r>
      <w:r w:rsidR="00652913" w:rsidRPr="009257E7">
        <w:rPr>
          <w:lang w:val="es-ES"/>
        </w:rPr>
        <w:t xml:space="preserve">, </w:t>
      </w:r>
      <w:r w:rsidRPr="009257E7">
        <w:rPr>
          <w:lang w:val="es-ES"/>
        </w:rPr>
        <w:t>ejemplifica el papel del derecho en facilitar la explotación y la extracción económica imperialista mediante una “dinámica de diferencia” arraigada en castas identitarias coloniales:</w:t>
      </w:r>
    </w:p>
    <w:p w14:paraId="40E74A2C" w14:textId="2678A1A2" w:rsidR="00B202C1" w:rsidRPr="009257E7" w:rsidRDefault="00B202C1" w:rsidP="002311BA">
      <w:pPr>
        <w:pStyle w:val="NormalWeb"/>
        <w:ind w:left="720"/>
        <w:rPr>
          <w:lang w:val="es-ES"/>
        </w:rPr>
      </w:pPr>
      <w:r w:rsidRPr="009257E7">
        <w:rPr>
          <w:lang w:val="es-ES"/>
        </w:rPr>
        <w:t xml:space="preserve">[L]a [...] posesión territorial fue adquirida como botín de guerra, luego gobernada </w:t>
      </w:r>
      <w:r w:rsidR="002311BA" w:rsidRPr="009257E7">
        <w:rPr>
          <w:lang w:val="es-ES"/>
        </w:rPr>
        <w:t>por</w:t>
      </w:r>
      <w:r w:rsidRPr="009257E7">
        <w:rPr>
          <w:lang w:val="es-ES"/>
        </w:rPr>
        <w:t xml:space="preserve"> un gobierno civil que normalizó una ideología marcial, y desde entonces ha permanecido en un estado perpetuo de excepción jurídica y política. [...]</w:t>
      </w:r>
    </w:p>
    <w:p w14:paraId="0415449E" w14:textId="571F85CA" w:rsidR="00B202C1" w:rsidRPr="009257E7" w:rsidRDefault="00B202C1" w:rsidP="002311BA">
      <w:pPr>
        <w:pStyle w:val="NormalWeb"/>
        <w:ind w:left="720"/>
        <w:rPr>
          <w:lang w:val="es-ES"/>
        </w:rPr>
      </w:pPr>
      <w:r w:rsidRPr="009257E7">
        <w:rPr>
          <w:lang w:val="es-ES"/>
        </w:rPr>
        <w:lastRenderedPageBreak/>
        <w:t xml:space="preserve">[...] [L]a Corte Suprema comenzaría a institucionalizar las anomalías creadas por las leyes y decretos [tempranos] [...] </w:t>
      </w:r>
      <w:r w:rsidR="00AE4969" w:rsidRPr="009257E7">
        <w:rPr>
          <w:lang w:val="es-ES"/>
        </w:rPr>
        <w:t>mediante</w:t>
      </w:r>
      <w:r w:rsidRPr="009257E7">
        <w:rPr>
          <w:lang w:val="es-ES"/>
        </w:rPr>
        <w:t xml:space="preserve"> una serie de decisiones conocidas generalmente como los </w:t>
      </w:r>
      <w:r w:rsidR="002311BA" w:rsidRPr="009257E7">
        <w:rPr>
          <w:rStyle w:val="Emphasis"/>
          <w:lang w:val="es-ES"/>
        </w:rPr>
        <w:t>Casos insulares</w:t>
      </w:r>
      <w:r w:rsidRPr="009257E7">
        <w:rPr>
          <w:lang w:val="es-ES"/>
        </w:rPr>
        <w:t xml:space="preserve"> [...] que </w:t>
      </w:r>
      <w:r w:rsidR="00AE4969" w:rsidRPr="009257E7">
        <w:rPr>
          <w:lang w:val="es-ES"/>
        </w:rPr>
        <w:t>abarcan el período</w:t>
      </w:r>
      <w:r w:rsidRPr="009257E7">
        <w:rPr>
          <w:lang w:val="es-ES"/>
        </w:rPr>
        <w:t xml:space="preserve"> de 1901 a 1922.</w:t>
      </w:r>
    </w:p>
    <w:p w14:paraId="3EF61194" w14:textId="6585C678" w:rsidR="00B202C1" w:rsidRPr="009257E7" w:rsidRDefault="00B202C1" w:rsidP="002311BA">
      <w:pPr>
        <w:pStyle w:val="NormalWeb"/>
        <w:ind w:left="720"/>
        <w:rPr>
          <w:lang w:val="es-ES"/>
        </w:rPr>
      </w:pPr>
      <w:r w:rsidRPr="009257E7">
        <w:rPr>
          <w:lang w:val="es-ES"/>
        </w:rPr>
        <w:t xml:space="preserve">[Según la Corte en </w:t>
      </w:r>
      <w:r w:rsidRPr="009257E7">
        <w:rPr>
          <w:rStyle w:val="Emphasis"/>
          <w:lang w:val="es-ES"/>
        </w:rPr>
        <w:t>Downes v. Bidwell</w:t>
      </w:r>
      <w:r w:rsidRPr="009257E7">
        <w:rPr>
          <w:lang w:val="es-ES"/>
        </w:rPr>
        <w:t xml:space="preserve">, 1901,] Puerto Rico podía ser tratado como país extranjero para propósitos constitucionales, mientras permanecía simultáneamente bajo el poder soberano de [Estados Unidos]. Este argumento, a su vez, afirmaría la lógica jurídica establecida por el Congreso, que permitió tratar a Puerto Rico como un estado de excepción en el </w:t>
      </w:r>
      <w:r w:rsidR="00AE4969" w:rsidRPr="009257E7">
        <w:rPr>
          <w:lang w:val="es-ES"/>
        </w:rPr>
        <w:t>que</w:t>
      </w:r>
      <w:r w:rsidRPr="009257E7">
        <w:rPr>
          <w:lang w:val="es-ES"/>
        </w:rPr>
        <w:t xml:space="preserve"> ciertas partes de la Constitución no </w:t>
      </w:r>
      <w:r w:rsidR="00AE4969" w:rsidRPr="009257E7">
        <w:rPr>
          <w:lang w:val="es-ES"/>
        </w:rPr>
        <w:t>s</w:t>
      </w:r>
      <w:r w:rsidRPr="009257E7">
        <w:rPr>
          <w:lang w:val="es-ES"/>
        </w:rPr>
        <w:t>e aplica</w:t>
      </w:r>
      <w:r w:rsidR="00AE4969" w:rsidRPr="009257E7">
        <w:rPr>
          <w:lang w:val="es-ES"/>
        </w:rPr>
        <w:t>n</w:t>
      </w:r>
      <w:r w:rsidRPr="009257E7">
        <w:rPr>
          <w:lang w:val="es-ES"/>
        </w:rPr>
        <w:t>. [...]</w:t>
      </w:r>
    </w:p>
    <w:p w14:paraId="010D2CBE" w14:textId="4E090711" w:rsidR="00B202C1" w:rsidRPr="009257E7" w:rsidRDefault="00B202C1" w:rsidP="002311BA">
      <w:pPr>
        <w:pStyle w:val="NormalWeb"/>
        <w:ind w:left="720"/>
        <w:rPr>
          <w:lang w:val="es-ES"/>
        </w:rPr>
      </w:pPr>
      <w:r w:rsidRPr="009257E7">
        <w:rPr>
          <w:lang w:val="es-ES"/>
        </w:rPr>
        <w:t xml:space="preserve">[...] Esta lógica ha permitido al Soberano extender o suspender la extensión de derechos y </w:t>
      </w:r>
      <w:r w:rsidR="00AE4969" w:rsidRPr="009257E7">
        <w:rPr>
          <w:lang w:val="es-ES"/>
        </w:rPr>
        <w:t xml:space="preserve">de </w:t>
      </w:r>
      <w:r w:rsidRPr="009257E7">
        <w:rPr>
          <w:lang w:val="es-ES"/>
        </w:rPr>
        <w:t xml:space="preserve">protecciones constitucionales a Puerto Rico y a les ciudadanes estadounidenses que residen en la isla. De ello se desprende que Puerto Rico puede volverse extranjero para propósitos constitucionales, pero doméstico para intereses políticos siempre que le resulte conveniente al </w:t>
      </w:r>
      <w:proofErr w:type="gramStart"/>
      <w:r w:rsidRPr="009257E7">
        <w:rPr>
          <w:lang w:val="es-ES"/>
        </w:rPr>
        <w:t>Soberano[</w:t>
      </w:r>
      <w:proofErr w:type="gramEnd"/>
      <w:r w:rsidRPr="009257E7">
        <w:rPr>
          <w:lang w:val="es-ES"/>
        </w:rPr>
        <w:t>,] [...] [lo que crea una] forma distinta de imperialismo que no depende de una narrativa colon</w:t>
      </w:r>
      <w:r w:rsidR="00C933A9" w:rsidRPr="009257E7">
        <w:rPr>
          <w:lang w:val="es-ES"/>
        </w:rPr>
        <w:t>ial</w:t>
      </w:r>
      <w:r w:rsidRPr="009257E7">
        <w:rPr>
          <w:lang w:val="es-ES"/>
        </w:rPr>
        <w:t>. [...]</w:t>
      </w:r>
    </w:p>
    <w:p w14:paraId="717A1D8F" w14:textId="59E85721" w:rsidR="00B202C1" w:rsidRPr="009257E7" w:rsidRDefault="00B202C1" w:rsidP="002311BA">
      <w:pPr>
        <w:pStyle w:val="NormalWeb"/>
        <w:ind w:left="720"/>
        <w:rPr>
          <w:lang w:val="es-ES"/>
        </w:rPr>
      </w:pPr>
      <w:r w:rsidRPr="009257E7">
        <w:rPr>
          <w:lang w:val="es-ES"/>
        </w:rPr>
        <w:t>[...] Más importante aún, [entonces,] el caso de Puerto Rico ofrece un ejemplo claro de las políticas y prácticas antidemocráticas que continúan definiendo los contornos de la política estadounidense hoy.</w:t>
      </w:r>
      <w:r w:rsidR="00AF5450" w:rsidRPr="009257E7">
        <w:rPr>
          <w:rStyle w:val="FootnoteReference"/>
          <w:lang w:val="es-ES"/>
        </w:rPr>
        <w:footnoteReference w:id="28"/>
      </w:r>
    </w:p>
    <w:p w14:paraId="74CCDB0D" w14:textId="0D027472" w:rsidR="00B202C1" w:rsidRPr="009257E7" w:rsidRDefault="00B202C1" w:rsidP="00DA066D">
      <w:pPr>
        <w:pStyle w:val="NormalWeb"/>
        <w:ind w:firstLine="720"/>
        <w:rPr>
          <w:lang w:val="es-ES"/>
        </w:rPr>
      </w:pPr>
      <w:r w:rsidRPr="009257E7">
        <w:rPr>
          <w:lang w:val="es-ES"/>
        </w:rPr>
        <w:t>Venator Santiago muestra cómo el imperialismo u</w:t>
      </w:r>
      <w:r w:rsidR="00DA066D" w:rsidRPr="009257E7">
        <w:rPr>
          <w:lang w:val="es-ES"/>
        </w:rPr>
        <w:t>tiliz</w:t>
      </w:r>
      <w:r w:rsidRPr="009257E7">
        <w:rPr>
          <w:lang w:val="es-ES"/>
        </w:rPr>
        <w:t xml:space="preserve">ó y adaptó la arquitectura doctrinal diseñada por élites anteriores para el colonialismo. Mediante el imperialismo, las élites consolidaron y </w:t>
      </w:r>
      <w:r w:rsidR="00DA066D" w:rsidRPr="009257E7">
        <w:rPr>
          <w:lang w:val="es-ES"/>
        </w:rPr>
        <w:t>amplia</w:t>
      </w:r>
      <w:r w:rsidRPr="009257E7">
        <w:rPr>
          <w:lang w:val="es-ES"/>
        </w:rPr>
        <w:t xml:space="preserve">ron su alcance, </w:t>
      </w:r>
      <w:r w:rsidR="00DA066D" w:rsidRPr="009257E7">
        <w:rPr>
          <w:lang w:val="es-ES"/>
        </w:rPr>
        <w:t xml:space="preserve">su </w:t>
      </w:r>
      <w:r w:rsidRPr="009257E7">
        <w:rPr>
          <w:lang w:val="es-ES"/>
        </w:rPr>
        <w:t>poder y</w:t>
      </w:r>
      <w:r w:rsidR="00DA066D" w:rsidRPr="009257E7">
        <w:rPr>
          <w:lang w:val="es-ES"/>
        </w:rPr>
        <w:t xml:space="preserve"> su</w:t>
      </w:r>
      <w:r w:rsidRPr="009257E7">
        <w:rPr>
          <w:lang w:val="es-ES"/>
        </w:rPr>
        <w:t xml:space="preserve"> dominio. Aunque no son idénticos, el colonialismo y el imperialismo sirvieron a los mismos propósitos sistémicos colectivizados, tanto materiales como simbólicos.</w:t>
      </w:r>
    </w:p>
    <w:p w14:paraId="72B605CC" w14:textId="08093B62" w:rsidR="00A978ED" w:rsidRPr="009257E7" w:rsidRDefault="00A978ED" w:rsidP="00DA066D">
      <w:pPr>
        <w:pStyle w:val="NormalWeb"/>
        <w:ind w:firstLine="720"/>
        <w:rPr>
          <w:lang w:val="es-ES"/>
        </w:rPr>
      </w:pPr>
      <w:r w:rsidRPr="009257E7">
        <w:rPr>
          <w:lang w:val="es-ES"/>
        </w:rPr>
        <w:t xml:space="preserve">Durante este mismo período, las élites </w:t>
      </w:r>
      <w:r w:rsidR="006D173C" w:rsidRPr="009257E7">
        <w:rPr>
          <w:lang w:val="es-ES"/>
        </w:rPr>
        <w:t>blancas estadounidenses, tanto del norte como del sur, promovían una nueva reconciliación posterior a la Guerra Civil, orientada a desatar la revolución industrial y a desarrollar</w:t>
      </w:r>
      <w:r w:rsidRPr="009257E7">
        <w:rPr>
          <w:lang w:val="es-ES"/>
        </w:rPr>
        <w:t xml:space="preserve"> una economía nacionalizada con la llegada de los ferrocarriles. Este período se superpone </w:t>
      </w:r>
      <w:r w:rsidR="006D173C" w:rsidRPr="009257E7">
        <w:rPr>
          <w:lang w:val="es-ES"/>
        </w:rPr>
        <w:t>a</w:t>
      </w:r>
      <w:r w:rsidRPr="009257E7">
        <w:rPr>
          <w:lang w:val="es-ES"/>
        </w:rPr>
        <w:t xml:space="preserve">l fin de la Reconstrucción después de la Guerra Civil estadounidense y fue posible gracias a ese fin. A finales del siglo XIX, los avances de </w:t>
      </w:r>
      <w:r w:rsidR="007B50BC" w:rsidRPr="009257E7">
        <w:rPr>
          <w:lang w:val="es-ES"/>
        </w:rPr>
        <w:t xml:space="preserve">la </w:t>
      </w:r>
      <w:r w:rsidRPr="009257E7">
        <w:rPr>
          <w:lang w:val="es-ES"/>
        </w:rPr>
        <w:t xml:space="preserve">posguerra para las personas negras antes esclavizadas no solo fueron frenados, sino </w:t>
      </w:r>
      <w:r w:rsidR="004E5C65" w:rsidRPr="009257E7">
        <w:rPr>
          <w:lang w:val="es-ES"/>
        </w:rPr>
        <w:t xml:space="preserve">que también fueron </w:t>
      </w:r>
      <w:r w:rsidRPr="009257E7">
        <w:rPr>
          <w:lang w:val="es-ES"/>
        </w:rPr>
        <w:t xml:space="preserve">revertidos por decisiones judiciales como </w:t>
      </w:r>
      <w:proofErr w:type="spellStart"/>
      <w:r w:rsidRPr="009257E7">
        <w:rPr>
          <w:rStyle w:val="Emphasis"/>
          <w:lang w:val="es-ES"/>
        </w:rPr>
        <w:t>Plessy</w:t>
      </w:r>
      <w:proofErr w:type="spellEnd"/>
      <w:r w:rsidRPr="009257E7">
        <w:rPr>
          <w:rStyle w:val="Emphasis"/>
          <w:lang w:val="es-ES"/>
        </w:rPr>
        <w:t xml:space="preserve"> v. Ferguson</w:t>
      </w:r>
      <w:r w:rsidRPr="009257E7">
        <w:rPr>
          <w:lang w:val="es-ES"/>
        </w:rPr>
        <w:t xml:space="preserve"> —que sostuvo la segregación racial en instalaciones públicas— a finales del siglo XIX:</w:t>
      </w:r>
    </w:p>
    <w:p w14:paraId="4C094557" w14:textId="1354BF22" w:rsidR="00A978ED" w:rsidRPr="009257E7" w:rsidRDefault="00A978ED" w:rsidP="004E5C65">
      <w:pPr>
        <w:pStyle w:val="NormalWeb"/>
        <w:ind w:left="720"/>
        <w:rPr>
          <w:lang w:val="es-ES"/>
        </w:rPr>
      </w:pPr>
      <w:r w:rsidRPr="009257E7">
        <w:rPr>
          <w:lang w:val="es-ES"/>
        </w:rPr>
        <w:t xml:space="preserve">El resultado de la elección de 1876 fue un compromiso entre los capitalistas industriales del norte [estadounidense] y los líderes del sur [estadounidense]. El norte adoptó una actitud de “no intervención” </w:t>
      </w:r>
      <w:r w:rsidR="004E5C65" w:rsidRPr="009257E7">
        <w:rPr>
          <w:lang w:val="es-ES"/>
        </w:rPr>
        <w:t>respecto</w:t>
      </w:r>
      <w:r w:rsidRPr="009257E7">
        <w:rPr>
          <w:lang w:val="es-ES"/>
        </w:rPr>
        <w:t xml:space="preserve"> </w:t>
      </w:r>
      <w:r w:rsidR="004E5C65" w:rsidRPr="009257E7">
        <w:rPr>
          <w:lang w:val="es-ES"/>
        </w:rPr>
        <w:t>de</w:t>
      </w:r>
      <w:r w:rsidRPr="009257E7">
        <w:rPr>
          <w:lang w:val="es-ES"/>
        </w:rPr>
        <w:t xml:space="preserve">l trato del sur hacia la población negra. A cambio, el sur brindó estímulo y protección local y </w:t>
      </w:r>
      <w:proofErr w:type="spellStart"/>
      <w:r w:rsidRPr="009257E7">
        <w:rPr>
          <w:lang w:val="es-ES"/>
        </w:rPr>
        <w:t>congresional</w:t>
      </w:r>
      <w:proofErr w:type="spellEnd"/>
      <w:r w:rsidRPr="009257E7">
        <w:rPr>
          <w:lang w:val="es-ES"/>
        </w:rPr>
        <w:t xml:space="preserve"> a las inversiones del norte [...] [y] el Congreso no redujo la representación de los estados que privaban a </w:t>
      </w:r>
      <w:r w:rsidRPr="009257E7">
        <w:rPr>
          <w:lang w:val="es-ES"/>
        </w:rPr>
        <w:lastRenderedPageBreak/>
        <w:t xml:space="preserve">grandes números de ciudadanes negres del [derecho al voto]. Fue en esta atmósfera de unidad nacional [entre </w:t>
      </w:r>
      <w:r w:rsidR="00155EFD" w:rsidRPr="009257E7">
        <w:rPr>
          <w:lang w:val="es-ES"/>
        </w:rPr>
        <w:t xml:space="preserve">las </w:t>
      </w:r>
      <w:r w:rsidRPr="009257E7">
        <w:rPr>
          <w:lang w:val="es-ES"/>
        </w:rPr>
        <w:t>élites blancas] que nació el imperialismo.</w:t>
      </w:r>
      <w:r w:rsidR="00155EFD" w:rsidRPr="009257E7">
        <w:rPr>
          <w:rStyle w:val="FootnoteReference"/>
          <w:lang w:val="es-ES"/>
        </w:rPr>
        <w:footnoteReference w:id="29"/>
      </w:r>
    </w:p>
    <w:p w14:paraId="1AB5F98B" w14:textId="568274B5" w:rsidR="00A978ED" w:rsidRPr="009257E7" w:rsidRDefault="00A978ED" w:rsidP="00155EFD">
      <w:pPr>
        <w:pStyle w:val="NormalWeb"/>
        <w:ind w:firstLine="720"/>
        <w:rPr>
          <w:lang w:val="es-ES"/>
        </w:rPr>
      </w:pPr>
      <w:r w:rsidRPr="009257E7">
        <w:rPr>
          <w:lang w:val="es-ES"/>
        </w:rPr>
        <w:t xml:space="preserve">Esta “unidad nacional” excluyente </w:t>
      </w:r>
      <w:r w:rsidR="00155EFD" w:rsidRPr="009257E7">
        <w:rPr>
          <w:lang w:val="es-ES"/>
        </w:rPr>
        <w:t>se mantuvo</w:t>
      </w:r>
      <w:r w:rsidRPr="009257E7">
        <w:rPr>
          <w:lang w:val="es-ES"/>
        </w:rPr>
        <w:t xml:space="preserve"> en el siglo XX. Las élites estadounidenses </w:t>
      </w:r>
      <w:r w:rsidR="00B339B1" w:rsidRPr="009257E7">
        <w:rPr>
          <w:lang w:val="es-ES"/>
        </w:rPr>
        <w:t>recurrieron</w:t>
      </w:r>
      <w:r w:rsidRPr="009257E7">
        <w:rPr>
          <w:lang w:val="es-ES"/>
        </w:rPr>
        <w:t xml:space="preserve"> a </w:t>
      </w:r>
      <w:r w:rsidR="00B339B1" w:rsidRPr="009257E7">
        <w:rPr>
          <w:lang w:val="es-ES"/>
        </w:rPr>
        <w:t>argumentos</w:t>
      </w:r>
      <w:r w:rsidRPr="009257E7">
        <w:rPr>
          <w:lang w:val="es-ES"/>
        </w:rPr>
        <w:t xml:space="preserve"> raci</w:t>
      </w:r>
      <w:r w:rsidR="00B339B1" w:rsidRPr="009257E7">
        <w:rPr>
          <w:lang w:val="es-ES"/>
        </w:rPr>
        <w:t>stas</w:t>
      </w:r>
      <w:r w:rsidRPr="009257E7">
        <w:rPr>
          <w:lang w:val="es-ES"/>
        </w:rPr>
        <w:t xml:space="preserve"> para reforzar sus posiciones a favor o en contra de aventuras imperiales específicas. Durante estas décadas, las leyes de “Jim Crow” en el sur fueron promulgadas para imponer la segregación racial y permitir el industrialismo estadounidense y la expansión imperialista. A lo largo de todo este proceso, las identidades sociales, los grupos, los intereses y el poder estuvieron en el centro de </w:t>
      </w:r>
      <w:r w:rsidR="00B339B1" w:rsidRPr="009257E7">
        <w:rPr>
          <w:lang w:val="es-ES"/>
        </w:rPr>
        <w:t>l</w:t>
      </w:r>
      <w:r w:rsidRPr="009257E7">
        <w:rPr>
          <w:lang w:val="es-ES"/>
        </w:rPr>
        <w:t>os procesos históricos.</w:t>
      </w:r>
    </w:p>
    <w:p w14:paraId="5233024A" w14:textId="50695342" w:rsidR="00A978ED" w:rsidRPr="009257E7" w:rsidRDefault="00A978ED" w:rsidP="00B339B1">
      <w:pPr>
        <w:pStyle w:val="NormalWeb"/>
        <w:ind w:firstLine="720"/>
        <w:rPr>
          <w:lang w:val="es-ES"/>
        </w:rPr>
      </w:pPr>
      <w:r w:rsidRPr="009257E7">
        <w:rPr>
          <w:lang w:val="es-ES"/>
        </w:rPr>
        <w:t>A medida que avanz</w:t>
      </w:r>
      <w:r w:rsidR="00B339B1" w:rsidRPr="009257E7">
        <w:rPr>
          <w:lang w:val="es-ES"/>
        </w:rPr>
        <w:t>aba</w:t>
      </w:r>
      <w:r w:rsidRPr="009257E7">
        <w:rPr>
          <w:lang w:val="es-ES"/>
        </w:rPr>
        <w:t xml:space="preserve"> la industrialización, el petróleo se convirtió en un factor importante en los cálculos imperiales de las élites occidentales de Europa y</w:t>
      </w:r>
      <w:r w:rsidR="00B339B1" w:rsidRPr="009257E7">
        <w:rPr>
          <w:lang w:val="es-ES"/>
        </w:rPr>
        <w:t xml:space="preserve"> de</w:t>
      </w:r>
      <w:r w:rsidRPr="009257E7">
        <w:rPr>
          <w:lang w:val="es-ES"/>
        </w:rPr>
        <w:t xml:space="preserve"> Estados Unidos. Las maquinarias militares-industriales de Europa y Estados Unidos exigían combustible —y reservas— de México y de otras partes del hemisferio y del Medio Oriente. La escalada hacia la Primera Guerra Mundial durante este mismo período ayudó a impulsar las ambiciones imperiales globalizadas en Europa y Estados Unidos:</w:t>
      </w:r>
    </w:p>
    <w:p w14:paraId="09EBC4F3" w14:textId="55C0C1F8" w:rsidR="00A978ED" w:rsidRPr="009257E7" w:rsidRDefault="00A978ED" w:rsidP="005D097A">
      <w:pPr>
        <w:pStyle w:val="NormalWeb"/>
        <w:ind w:left="720"/>
        <w:rPr>
          <w:lang w:val="es-ES"/>
        </w:rPr>
      </w:pPr>
      <w:r w:rsidRPr="009257E7">
        <w:rPr>
          <w:lang w:val="es-ES"/>
        </w:rPr>
        <w:t xml:space="preserve">Para 1914, el interés económico había </w:t>
      </w:r>
      <w:r w:rsidR="005D097A" w:rsidRPr="009257E7">
        <w:rPr>
          <w:lang w:val="es-ES"/>
        </w:rPr>
        <w:t>llev</w:t>
      </w:r>
      <w:r w:rsidRPr="009257E7">
        <w:rPr>
          <w:lang w:val="es-ES"/>
        </w:rPr>
        <w:t xml:space="preserve">ado a los grupos empresariales </w:t>
      </w:r>
      <w:r w:rsidR="005D097A" w:rsidRPr="009257E7">
        <w:rPr>
          <w:lang w:val="es-ES"/>
        </w:rPr>
        <w:t xml:space="preserve">principales </w:t>
      </w:r>
      <w:r w:rsidRPr="009257E7">
        <w:rPr>
          <w:lang w:val="es-ES"/>
        </w:rPr>
        <w:t xml:space="preserve">de Europa a establecer grandes posesiones extranjeras en [...] África, Asia, Australia y las Américas. A partir del dictamen de que “la bandera sigue al inversionista” [...], estas grandes naciones industriales organizaron una maquinaria militar y naval lo suficientemente </w:t>
      </w:r>
      <w:r w:rsidR="005D097A" w:rsidRPr="009257E7">
        <w:rPr>
          <w:lang w:val="es-ES"/>
        </w:rPr>
        <w:t>amplia</w:t>
      </w:r>
      <w:r w:rsidRPr="009257E7">
        <w:rPr>
          <w:lang w:val="es-ES"/>
        </w:rPr>
        <w:t xml:space="preserve"> como para proteger los intereses extranjeros de sus comerciantes e inversionistas. Entre 1870 y el comienzo de la </w:t>
      </w:r>
      <w:r w:rsidR="005D097A" w:rsidRPr="009257E7">
        <w:rPr>
          <w:lang w:val="es-ES"/>
        </w:rPr>
        <w:t xml:space="preserve">Primera </w:t>
      </w:r>
      <w:r w:rsidRPr="009257E7">
        <w:rPr>
          <w:lang w:val="es-ES"/>
        </w:rPr>
        <w:t xml:space="preserve">Guerra Mundial [en 1914], la construcción de esta maquinaria militar constituyó la partida </w:t>
      </w:r>
      <w:r w:rsidR="005D097A" w:rsidRPr="009257E7">
        <w:rPr>
          <w:lang w:val="es-ES"/>
        </w:rPr>
        <w:t>presupuestaria</w:t>
      </w:r>
      <w:r w:rsidRPr="009257E7">
        <w:rPr>
          <w:lang w:val="es-ES"/>
        </w:rPr>
        <w:t xml:space="preserve"> más grande en l</w:t>
      </w:r>
      <w:r w:rsidR="005D097A" w:rsidRPr="009257E7">
        <w:rPr>
          <w:lang w:val="es-ES"/>
        </w:rPr>
        <w:t>os</w:t>
      </w:r>
      <w:r w:rsidRPr="009257E7">
        <w:rPr>
          <w:lang w:val="es-ES"/>
        </w:rPr>
        <w:t xml:space="preserve"> presupuesto</w:t>
      </w:r>
      <w:r w:rsidR="005D097A" w:rsidRPr="009257E7">
        <w:rPr>
          <w:lang w:val="es-ES"/>
        </w:rPr>
        <w:t>s</w:t>
      </w:r>
      <w:r w:rsidRPr="009257E7">
        <w:rPr>
          <w:lang w:val="es-ES"/>
        </w:rPr>
        <w:t xml:space="preserve"> de cada una de las naciones europeas</w:t>
      </w:r>
      <w:r w:rsidR="005D097A" w:rsidRPr="009257E7">
        <w:rPr>
          <w:lang w:val="es-ES"/>
        </w:rPr>
        <w:t xml:space="preserve"> principales</w:t>
      </w:r>
      <w:r w:rsidRPr="009257E7">
        <w:rPr>
          <w:lang w:val="es-ES"/>
        </w:rPr>
        <w:t>. Después de su establecimiento, la maquinaria militar fue usada, primero, para desempeñar un papel más o menos activo en la vida interna de aquellos países en los que les propietaries de la maquinaria militar tenían intereses económicos importantes; y segundo, para defender la propiedad de l</w:t>
      </w:r>
      <w:r w:rsidR="00265B3A" w:rsidRPr="009257E7">
        <w:rPr>
          <w:lang w:val="es-ES"/>
        </w:rPr>
        <w:t>o</w:t>
      </w:r>
      <w:r w:rsidRPr="009257E7">
        <w:rPr>
          <w:lang w:val="es-ES"/>
        </w:rPr>
        <w:t>s inversionistas frente a posibles ataques de cualquier rival que pudiera inclinarse a interferir con sus posesiones.</w:t>
      </w:r>
      <w:r w:rsidR="00B05C4A" w:rsidRPr="009257E7">
        <w:rPr>
          <w:rStyle w:val="FootnoteReference"/>
          <w:lang w:val="es-ES"/>
        </w:rPr>
        <w:footnoteReference w:id="30"/>
      </w:r>
    </w:p>
    <w:p w14:paraId="0495A351" w14:textId="597E59DD" w:rsidR="00DC4448" w:rsidRPr="009257E7" w:rsidRDefault="00DC4448" w:rsidP="00DC4448">
      <w:pPr>
        <w:pStyle w:val="NormalWeb"/>
        <w:ind w:firstLine="720"/>
        <w:rPr>
          <w:lang w:val="es-ES"/>
        </w:rPr>
      </w:pPr>
      <w:r w:rsidRPr="009257E7">
        <w:rPr>
          <w:lang w:val="es-ES"/>
        </w:rPr>
        <w:t xml:space="preserve">Así, el imperialismo durante gran parte del siglo XIX y </w:t>
      </w:r>
      <w:r w:rsidR="0015208B" w:rsidRPr="009257E7">
        <w:rPr>
          <w:lang w:val="es-ES"/>
        </w:rPr>
        <w:t xml:space="preserve">los </w:t>
      </w:r>
      <w:r w:rsidRPr="009257E7">
        <w:rPr>
          <w:lang w:val="es-ES"/>
        </w:rPr>
        <w:t>comienzos del siglo XX “implica el uso de la maquinaria del gobierno por intereses privados, principalmente capitalistas, para asegurar ganancias económicas fuera de su país” e incluye “una expresión económica ultramarina de la civilización occidental”</w:t>
      </w:r>
      <w:r w:rsidR="0015208B" w:rsidRPr="009257E7">
        <w:rPr>
          <w:rStyle w:val="FootnoteReference"/>
          <w:lang w:val="es-ES"/>
        </w:rPr>
        <w:footnoteReference w:id="31"/>
      </w:r>
      <w:r w:rsidRPr="009257E7">
        <w:rPr>
          <w:lang w:val="es-ES"/>
        </w:rPr>
        <w:t>. En este contexto global, la variante estadounidense del imperialismo recibió el nombre de Diplomacia de las Cañoneras, porque la Marina de Estados Unidos con frecuencia proporcionaba “el gran garrote”. Estados Unidos ejercía su poder al enviar buques de guerra para anclarlos frente a capitales del mundo u otras ciudades clave y, a veces, disparar contra ellas. Esta “diplomacia” intimidaba a las autoridades y a los pueblos locales hasta someterlos, porque las maquinarias militares locales no podían resistir la fuerza destructiva de los buques de guerra estadounidenses.</w:t>
      </w:r>
    </w:p>
    <w:p w14:paraId="7BA71B63" w14:textId="0EE73D09" w:rsidR="00DC4448" w:rsidRPr="009257E7" w:rsidRDefault="00DC4448" w:rsidP="00407059">
      <w:pPr>
        <w:pStyle w:val="NormalWeb"/>
        <w:ind w:firstLine="720"/>
        <w:rPr>
          <w:lang w:val="es-ES"/>
        </w:rPr>
      </w:pPr>
      <w:r w:rsidRPr="009257E7">
        <w:rPr>
          <w:lang w:val="es-ES"/>
        </w:rPr>
        <w:lastRenderedPageBreak/>
        <w:t xml:space="preserve">Las colusiones público-privadas del imperialismo estadounidense durante el siglo XIX y comienzos del siglo XX se ejemplifican mediante la “remoción” masiva de algunas naciones tribales y la transferencia de sus tierras a colonos blancos como propiedad “privada”. El infame </w:t>
      </w:r>
      <w:r w:rsidRPr="009257E7">
        <w:rPr>
          <w:i/>
          <w:iCs/>
          <w:lang w:val="es-ES"/>
        </w:rPr>
        <w:t>Sendero de Lágrimas</w:t>
      </w:r>
      <w:r w:rsidRPr="009257E7">
        <w:rPr>
          <w:lang w:val="es-ES"/>
        </w:rPr>
        <w:t xml:space="preserve"> es un ejemplo notable: cuando integrantes de cinco naciones indígenas americanas fueron reubicad</w:t>
      </w:r>
      <w:r w:rsidR="00407059" w:rsidRPr="009257E7">
        <w:rPr>
          <w:lang w:val="es-ES"/>
        </w:rPr>
        <w:t>o</w:t>
      </w:r>
      <w:r w:rsidRPr="009257E7">
        <w:rPr>
          <w:lang w:val="es-ES"/>
        </w:rPr>
        <w:t xml:space="preserve">s por la fuerza desde sus tierras ancestrales del sureste de Estados Unidos hacia estados del oeste, </w:t>
      </w:r>
      <w:r w:rsidR="002C3DE5" w:rsidRPr="009257E7">
        <w:rPr>
          <w:lang w:val="es-ES"/>
        </w:rPr>
        <w:t>tras</w:t>
      </w:r>
      <w:r w:rsidRPr="009257E7">
        <w:rPr>
          <w:lang w:val="es-ES"/>
        </w:rPr>
        <w:t xml:space="preserve"> la aprobación de la Indian </w:t>
      </w:r>
      <w:proofErr w:type="spellStart"/>
      <w:r w:rsidRPr="009257E7">
        <w:rPr>
          <w:lang w:val="es-ES"/>
        </w:rPr>
        <w:t>Removal</w:t>
      </w:r>
      <w:proofErr w:type="spellEnd"/>
      <w:r w:rsidRPr="009257E7">
        <w:rPr>
          <w:lang w:val="es-ES"/>
        </w:rPr>
        <w:t xml:space="preserve"> </w:t>
      </w:r>
      <w:proofErr w:type="spellStart"/>
      <w:r w:rsidRPr="009257E7">
        <w:rPr>
          <w:lang w:val="es-ES"/>
        </w:rPr>
        <w:t>Act</w:t>
      </w:r>
      <w:proofErr w:type="spellEnd"/>
      <w:r w:rsidRPr="009257E7">
        <w:rPr>
          <w:lang w:val="es-ES"/>
        </w:rPr>
        <w:t xml:space="preserve"> de 1830. Desde entonces, combinaciones hechas a la medida entre la “empresa privada” y la fuerza pública o militar también impulsaron el imperialismo estadounidense en términos hemisféricos y, cada vez más, en términos globales.</w:t>
      </w:r>
    </w:p>
    <w:p w14:paraId="54D2914F" w14:textId="799F1D51" w:rsidR="00DC4448" w:rsidRPr="009257E7" w:rsidRDefault="00DC4448" w:rsidP="00284AF7">
      <w:pPr>
        <w:pStyle w:val="NormalWeb"/>
        <w:rPr>
          <w:lang w:val="es-ES"/>
        </w:rPr>
      </w:pPr>
      <w:r w:rsidRPr="009257E7">
        <w:rPr>
          <w:lang w:val="es-ES"/>
        </w:rPr>
        <w:t xml:space="preserve">Esta expansión del imperialismo —y de su repertorio elitista de herramientas— se ejemplifica mediante la alianza corporativo-gubernamental entre el gobierno de Estados Unidos y la </w:t>
      </w:r>
      <w:proofErr w:type="spellStart"/>
      <w:r w:rsidRPr="009257E7">
        <w:rPr>
          <w:lang w:val="es-ES"/>
        </w:rPr>
        <w:t>United</w:t>
      </w:r>
      <w:proofErr w:type="spellEnd"/>
      <w:r w:rsidRPr="009257E7">
        <w:rPr>
          <w:lang w:val="es-ES"/>
        </w:rPr>
        <w:t xml:space="preserve"> Fruit Company durante un siglo completo, </w:t>
      </w:r>
      <w:r w:rsidR="00284AF7" w:rsidRPr="009257E7">
        <w:rPr>
          <w:lang w:val="es-ES"/>
        </w:rPr>
        <w:t>d</w:t>
      </w:r>
      <w:r w:rsidRPr="009257E7">
        <w:rPr>
          <w:lang w:val="es-ES"/>
        </w:rPr>
        <w:t xml:space="preserve">e la década de 1870 </w:t>
      </w:r>
      <w:r w:rsidR="00284AF7" w:rsidRPr="009257E7">
        <w:rPr>
          <w:lang w:val="es-ES"/>
        </w:rPr>
        <w:t>a</w:t>
      </w:r>
      <w:r w:rsidRPr="009257E7">
        <w:rPr>
          <w:lang w:val="es-ES"/>
        </w:rPr>
        <w:t xml:space="preserve"> la de 1970. Sus intervenciones conjuntas en países como Costa Rica, Honduras, Nicaragua, Guatemala, Colombia, Panamá, Cuba, </w:t>
      </w:r>
      <w:r w:rsidR="00284AF7" w:rsidRPr="009257E7">
        <w:rPr>
          <w:lang w:val="es-ES"/>
        </w:rPr>
        <w:t xml:space="preserve">la </w:t>
      </w:r>
      <w:r w:rsidRPr="009257E7">
        <w:rPr>
          <w:lang w:val="es-ES"/>
        </w:rPr>
        <w:t>República Dominicana, Chile y otros incluyeron hacer lo que fuera necesario para de</w:t>
      </w:r>
      <w:r w:rsidR="00284AF7" w:rsidRPr="009257E7">
        <w:rPr>
          <w:lang w:val="es-ES"/>
        </w:rPr>
        <w:t>rroca</w:t>
      </w:r>
      <w:r w:rsidRPr="009257E7">
        <w:rPr>
          <w:lang w:val="es-ES"/>
        </w:rPr>
        <w:t xml:space="preserve">r gobiernos legítimos, imponer dictaduras “títeres” obedientes y suprimir con violencia los desafíos al poder o a la ganancia. Este período extendido de imperialismo privado-público creó el término “república bananera”: concebido por las élites como un lugar habitado por otres inferiores, aunque exóticos, pero gobernado y explotado, por necesidad, por señores blancos extranjeros que cumplían su </w:t>
      </w:r>
      <w:r w:rsidR="00312F3F" w:rsidRPr="009257E7">
        <w:rPr>
          <w:lang w:val="es-ES"/>
        </w:rPr>
        <w:t>D</w:t>
      </w:r>
      <w:r w:rsidRPr="009257E7">
        <w:rPr>
          <w:lang w:val="es-ES"/>
        </w:rPr>
        <w:t xml:space="preserve">estino </w:t>
      </w:r>
      <w:r w:rsidR="00312F3F" w:rsidRPr="009257E7">
        <w:rPr>
          <w:lang w:val="es-ES"/>
        </w:rPr>
        <w:t>M</w:t>
      </w:r>
      <w:r w:rsidRPr="009257E7">
        <w:rPr>
          <w:lang w:val="es-ES"/>
        </w:rPr>
        <w:t>anifiesto hacia la civilización y Dios.</w:t>
      </w:r>
    </w:p>
    <w:p w14:paraId="5E5A5D9C" w14:textId="429791F3" w:rsidR="00DC4448" w:rsidRPr="009257E7" w:rsidRDefault="00DC4448" w:rsidP="00A47330">
      <w:pPr>
        <w:pStyle w:val="NormalWeb"/>
        <w:ind w:firstLine="720"/>
        <w:rPr>
          <w:lang w:val="es-ES"/>
        </w:rPr>
      </w:pPr>
      <w:r w:rsidRPr="009257E7">
        <w:rPr>
          <w:lang w:val="es-ES"/>
        </w:rPr>
        <w:t>En este arreglo sistémico desde arriba, el gobierno se dejó u</w:t>
      </w:r>
      <w:r w:rsidR="00A47330" w:rsidRPr="009257E7">
        <w:rPr>
          <w:lang w:val="es-ES"/>
        </w:rPr>
        <w:t>tiliz</w:t>
      </w:r>
      <w:r w:rsidRPr="009257E7">
        <w:rPr>
          <w:lang w:val="es-ES"/>
        </w:rPr>
        <w:t xml:space="preserve">ar voluntariamente como instrumento de una ganancia privada cada vez mayor, mientras que la corporación se ofreció con entusiasmo a convertirse en el instrumento —y principal beneficiaria— de la política pública y de la violencia sistémica. Condiciones “similares a la esclavitud”, ilegales </w:t>
      </w:r>
      <w:r w:rsidR="00A47330" w:rsidRPr="009257E7">
        <w:rPr>
          <w:lang w:val="es-ES"/>
        </w:rPr>
        <w:t>en los</w:t>
      </w:r>
      <w:r w:rsidRPr="009257E7">
        <w:rPr>
          <w:lang w:val="es-ES"/>
        </w:rPr>
        <w:t xml:space="preserve"> Estados Unidos, prevalecieron con impunidad corporativa brutal “al sur de la frontera”. Pero esta alianza imperial se presentó en Estados Unidos como una serie de éxitos tan impecables como las frutas importadas que producía</w:t>
      </w:r>
      <w:r w:rsidR="006C7616" w:rsidRPr="009257E7">
        <w:rPr>
          <w:rStyle w:val="FootnoteReference"/>
          <w:lang w:val="es-ES"/>
        </w:rPr>
        <w:footnoteReference w:id="32"/>
      </w:r>
      <w:r w:rsidRPr="009257E7">
        <w:rPr>
          <w:lang w:val="es-ES"/>
        </w:rPr>
        <w:t>.</w:t>
      </w:r>
      <w:r w:rsidR="00A47330" w:rsidRPr="009257E7">
        <w:rPr>
          <w:lang w:val="es-ES"/>
        </w:rPr>
        <w:t xml:space="preserve"> </w:t>
      </w:r>
      <w:r w:rsidRPr="009257E7">
        <w:rPr>
          <w:lang w:val="es-ES"/>
        </w:rPr>
        <w:t xml:space="preserve">Esta alianza de más de un siglo entre una de las primeras corporaciones multinacionales y </w:t>
      </w:r>
      <w:r w:rsidR="00452E49" w:rsidRPr="009257E7">
        <w:rPr>
          <w:lang w:val="es-ES"/>
        </w:rPr>
        <w:t xml:space="preserve">los </w:t>
      </w:r>
      <w:r w:rsidRPr="009257E7">
        <w:rPr>
          <w:lang w:val="es-ES"/>
        </w:rPr>
        <w:t xml:space="preserve">gobiernos estadounidenses sucesivos es, por lo tanto, un microcosmos </w:t>
      </w:r>
      <w:r w:rsidR="00452E49" w:rsidRPr="009257E7">
        <w:rPr>
          <w:lang w:val="es-ES"/>
        </w:rPr>
        <w:t>de</w:t>
      </w:r>
      <w:r w:rsidRPr="009257E7">
        <w:rPr>
          <w:lang w:val="es-ES"/>
        </w:rPr>
        <w:t xml:space="preserve"> las aventuras imperiales en expansión. Además, captura la transición sistémica más amplia del imperialismo a la globalización. No por c</w:t>
      </w:r>
      <w:r w:rsidR="00452E49" w:rsidRPr="009257E7">
        <w:rPr>
          <w:lang w:val="es-ES"/>
        </w:rPr>
        <w:t>asualidad</w:t>
      </w:r>
      <w:r w:rsidRPr="009257E7">
        <w:rPr>
          <w:lang w:val="es-ES"/>
        </w:rPr>
        <w:t xml:space="preserve">, la </w:t>
      </w:r>
      <w:proofErr w:type="spellStart"/>
      <w:r w:rsidRPr="009257E7">
        <w:rPr>
          <w:lang w:val="es-ES"/>
        </w:rPr>
        <w:t>United</w:t>
      </w:r>
      <w:proofErr w:type="spellEnd"/>
      <w:r w:rsidRPr="009257E7">
        <w:rPr>
          <w:lang w:val="es-ES"/>
        </w:rPr>
        <w:t xml:space="preserve"> Fruit Company ayudó a abrir camino a la versión actual de la globalización p</w:t>
      </w:r>
      <w:r w:rsidR="00452E49" w:rsidRPr="009257E7">
        <w:rPr>
          <w:lang w:val="es-ES"/>
        </w:rPr>
        <w:t>úblico-privad</w:t>
      </w:r>
      <w:r w:rsidRPr="009257E7">
        <w:rPr>
          <w:lang w:val="es-ES"/>
        </w:rPr>
        <w:t>a al servicio de agendas elitistas</w:t>
      </w:r>
      <w:r w:rsidR="003B37FD" w:rsidRPr="009257E7">
        <w:rPr>
          <w:rStyle w:val="FootnoteReference"/>
          <w:lang w:val="es-ES"/>
        </w:rPr>
        <w:footnoteReference w:id="33"/>
      </w:r>
      <w:r w:rsidRPr="009257E7">
        <w:rPr>
          <w:lang w:val="es-ES"/>
        </w:rPr>
        <w:t xml:space="preserve">. Así, la experiencia histórica y los legados del colonialismo, seguidos por el imperialismo, ofrecen una plantilla para las ideologías, </w:t>
      </w:r>
      <w:r w:rsidR="0080305F" w:rsidRPr="009257E7">
        <w:rPr>
          <w:lang w:val="es-ES"/>
        </w:rPr>
        <w:t xml:space="preserve">las </w:t>
      </w:r>
      <w:r w:rsidRPr="009257E7">
        <w:rPr>
          <w:lang w:val="es-ES"/>
        </w:rPr>
        <w:t xml:space="preserve">prácticas y </w:t>
      </w:r>
      <w:r w:rsidR="0080305F" w:rsidRPr="009257E7">
        <w:rPr>
          <w:lang w:val="es-ES"/>
        </w:rPr>
        <w:t xml:space="preserve">las </w:t>
      </w:r>
      <w:r w:rsidRPr="009257E7">
        <w:rPr>
          <w:lang w:val="es-ES"/>
        </w:rPr>
        <w:t>consecuencias contemporáneas de la globalización desde arriba.</w:t>
      </w:r>
      <w:r w:rsidR="00D76C7D" w:rsidRPr="009257E7">
        <w:rPr>
          <w:lang w:val="es-ES"/>
        </w:rPr>
        <w:t xml:space="preserve"> </w:t>
      </w:r>
    </w:p>
    <w:p w14:paraId="12FC12EE" w14:textId="20F8B30E" w:rsidR="00EA33B9" w:rsidRPr="009257E7" w:rsidRDefault="00EA33B9" w:rsidP="004B4956">
      <w:pPr>
        <w:pStyle w:val="NormalWeb"/>
        <w:ind w:firstLine="720"/>
        <w:rPr>
          <w:lang w:val="es-ES"/>
        </w:rPr>
      </w:pPr>
      <w:r w:rsidRPr="009257E7">
        <w:rPr>
          <w:lang w:val="es-ES"/>
        </w:rPr>
        <w:t>En este siglo, las corporaciones cada vez más grandes y ricas son cada vez más importantes en el proceso histórico y material que va del colonialismo al imperialismo y a la globalización. Al igual que el derecho, las corporaciones y el capitalismo crecieron junto con las agendas de las élites coloniales, imperiales y globales</w:t>
      </w:r>
      <w:r w:rsidR="00EE43F9" w:rsidRPr="009257E7">
        <w:rPr>
          <w:rStyle w:val="FootnoteReference"/>
          <w:lang w:val="es-ES"/>
        </w:rPr>
        <w:footnoteReference w:id="34"/>
      </w:r>
      <w:r w:rsidRPr="009257E7">
        <w:rPr>
          <w:lang w:val="es-ES"/>
        </w:rPr>
        <w:t xml:space="preserve">. </w:t>
      </w:r>
      <w:r w:rsidR="00EE43F9" w:rsidRPr="009257E7">
        <w:rPr>
          <w:lang w:val="es-ES"/>
        </w:rPr>
        <w:t>A</w:t>
      </w:r>
      <w:r w:rsidRPr="009257E7">
        <w:rPr>
          <w:lang w:val="es-ES"/>
        </w:rPr>
        <w:t xml:space="preserve">hora, en esta fase actual llamada globalización, las corporaciones multinacionales y sus prioridades han pasado a ocupar el centro de la escena. Este proceso continuo ya ha </w:t>
      </w:r>
      <w:r w:rsidR="00D76C7D" w:rsidRPr="009257E7">
        <w:rPr>
          <w:lang w:val="es-ES"/>
        </w:rPr>
        <w:t>suscit</w:t>
      </w:r>
      <w:r w:rsidRPr="009257E7">
        <w:rPr>
          <w:lang w:val="es-ES"/>
        </w:rPr>
        <w:t xml:space="preserve">ado preguntas sobre los beneficios, la necesidad </w:t>
      </w:r>
      <w:r w:rsidRPr="009257E7">
        <w:rPr>
          <w:lang w:val="es-ES"/>
        </w:rPr>
        <w:lastRenderedPageBreak/>
        <w:t>o la viabilidad de los Estados nación y</w:t>
      </w:r>
      <w:r w:rsidR="00D76C7D" w:rsidRPr="009257E7">
        <w:rPr>
          <w:lang w:val="es-ES"/>
        </w:rPr>
        <w:t xml:space="preserve"> de</w:t>
      </w:r>
      <w:r w:rsidRPr="009257E7">
        <w:rPr>
          <w:lang w:val="es-ES"/>
        </w:rPr>
        <w:t xml:space="preserve"> los gobiernos. Visto desde una perspectiva corporativa, quizás todo lo que los seres humanos realmente necesitan es un “Estado mercado” que sirva a las prioridades corporativas. Si es así, la globalización es </w:t>
      </w:r>
      <w:r w:rsidR="00E73FA1" w:rsidRPr="009257E7">
        <w:rPr>
          <w:lang w:val="es-ES"/>
        </w:rPr>
        <w:t>l</w:t>
      </w:r>
      <w:r w:rsidRPr="009257E7">
        <w:rPr>
          <w:lang w:val="es-ES"/>
        </w:rPr>
        <w:t>a culminación del Estado racial y</w:t>
      </w:r>
      <w:r w:rsidR="00E73FA1" w:rsidRPr="009257E7">
        <w:rPr>
          <w:lang w:val="es-ES"/>
        </w:rPr>
        <w:t xml:space="preserve"> de</w:t>
      </w:r>
      <w:r w:rsidRPr="009257E7">
        <w:rPr>
          <w:lang w:val="es-ES"/>
        </w:rPr>
        <w:t xml:space="preserve"> su contrato racial: produce un Estado racial dentro de un Estado mercado para preservar los legados del derecho, sesgados por la identidad, a través del colonialismo, el imperialismo y la globalización. De </w:t>
      </w:r>
      <w:r w:rsidR="00E73FA1" w:rsidRPr="009257E7">
        <w:rPr>
          <w:lang w:val="es-ES"/>
        </w:rPr>
        <w:t>manera</w:t>
      </w:r>
      <w:r w:rsidRPr="009257E7">
        <w:rPr>
          <w:lang w:val="es-ES"/>
        </w:rPr>
        <w:t xml:space="preserve"> compleja, el colonialismo estableció los fundamentos del imperialismo, mientras que el imperialismo, a su vez, proporcionó el andamiaje para la globalización.</w:t>
      </w:r>
    </w:p>
    <w:p w14:paraId="6B6EF0B3" w14:textId="6C6472C4" w:rsidR="00EA33B9" w:rsidRPr="009257E7" w:rsidRDefault="00EA33B9" w:rsidP="00E5086C">
      <w:pPr>
        <w:pStyle w:val="NormalWeb"/>
        <w:ind w:firstLine="720"/>
        <w:rPr>
          <w:lang w:val="es-ES"/>
        </w:rPr>
      </w:pPr>
      <w:r w:rsidRPr="009257E7">
        <w:rPr>
          <w:lang w:val="es-ES"/>
        </w:rPr>
        <w:t xml:space="preserve">Mediante la globalización, el desplazamiento desde la supremacía abierta hacia la injusticia sistémica “daltónica” parece ocurrir “naturalmente”, pero se preserva mediante dispositivos jurídicos nuevos y antiguos —nacionales e internacionales— que mantienen castas arraigadas. La globalización desde arriba funciona como una adaptación y </w:t>
      </w:r>
      <w:r w:rsidR="00E5086C" w:rsidRPr="009257E7">
        <w:rPr>
          <w:lang w:val="es-ES"/>
        </w:rPr>
        <w:t xml:space="preserve">una </w:t>
      </w:r>
      <w:r w:rsidRPr="009257E7">
        <w:rPr>
          <w:lang w:val="es-ES"/>
        </w:rPr>
        <w:t xml:space="preserve">extensión de la subordinación colonial e imperial. La globalización es un mecanismo de preservación mediante </w:t>
      </w:r>
      <w:r w:rsidR="00E5086C" w:rsidRPr="009257E7">
        <w:rPr>
          <w:lang w:val="es-ES"/>
        </w:rPr>
        <w:t xml:space="preserve">la </w:t>
      </w:r>
      <w:r w:rsidRPr="009257E7">
        <w:rPr>
          <w:lang w:val="es-ES"/>
        </w:rPr>
        <w:t>transformación</w:t>
      </w:r>
      <w:r w:rsidR="00E5086C" w:rsidRPr="009257E7">
        <w:rPr>
          <w:lang w:val="es-ES"/>
        </w:rPr>
        <w:t>,</w:t>
      </w:r>
      <w:r w:rsidRPr="009257E7">
        <w:rPr>
          <w:lang w:val="es-ES"/>
        </w:rPr>
        <w:t xml:space="preserve"> basado en identidades, grupos, intereses y poder, que siguen siendo centrales, aunque estén más ocultos, en la carrera actual desde arriba por globalizar todos los lugares y todas las cosas.</w:t>
      </w:r>
      <w:r w:rsidR="00E5086C" w:rsidRPr="009257E7">
        <w:rPr>
          <w:lang w:val="es-ES"/>
        </w:rPr>
        <w:t xml:space="preserve"> </w:t>
      </w:r>
    </w:p>
    <w:p w14:paraId="1A1504BB" w14:textId="252D5231" w:rsidR="00EA33B9" w:rsidRPr="009257E7" w:rsidRDefault="00EA33B9" w:rsidP="00E5086C">
      <w:pPr>
        <w:pStyle w:val="NormalWeb"/>
        <w:ind w:firstLine="720"/>
        <w:rPr>
          <w:lang w:val="es-ES"/>
        </w:rPr>
      </w:pPr>
      <w:r w:rsidRPr="009257E7">
        <w:rPr>
          <w:lang w:val="es-ES"/>
        </w:rPr>
        <w:t>La académica del derecho Trina Jones considera cómo algunas personas en Estados Unidos se han mantenido, en gran medida, en la cima</w:t>
      </w:r>
      <w:r w:rsidR="000752DD" w:rsidRPr="009257E7">
        <w:rPr>
          <w:lang w:val="es-ES"/>
        </w:rPr>
        <w:t>,</w:t>
      </w:r>
      <w:r w:rsidRPr="009257E7">
        <w:rPr>
          <w:lang w:val="es-ES"/>
        </w:rPr>
        <w:t xml:space="preserve"> en términos de empleo e ingreso a lo largo del tiempo, mientras que quienes están abajo han cambiado, pero han resistido mediante la autoorganización y los desafíos a las ideologías e instituciones de subordinación. La injusticia sistémica es un “tapiz complejo y evolutivo” que debe enfrentarse con una comprensión de lo que ha cambiado desde los tiempos coloniales y de lo que se ha mantenido tercamente en su lugar, así como con estrategias para atender ambas cosas:</w:t>
      </w:r>
      <w:r w:rsidR="00E5086C" w:rsidRPr="009257E7">
        <w:rPr>
          <w:lang w:val="es-ES"/>
        </w:rPr>
        <w:t xml:space="preserve"> </w:t>
      </w:r>
    </w:p>
    <w:p w14:paraId="33633D98" w14:textId="13248710" w:rsidR="00EA33B9" w:rsidRPr="009257E7" w:rsidRDefault="00EA33B9" w:rsidP="00F75848">
      <w:pPr>
        <w:pStyle w:val="NormalWeb"/>
        <w:ind w:left="720"/>
        <w:rPr>
          <w:lang w:val="es-ES"/>
        </w:rPr>
      </w:pPr>
      <w:r w:rsidRPr="009257E7">
        <w:rPr>
          <w:lang w:val="es-ES"/>
        </w:rPr>
        <w:t>[L]a raza y la clase han interactuado para producir y perpetuar la jerarquía socioeconómica en este país. Trabajadores blancos, personas esclavizadas e inmigrantes de color fueron, en distintos momentos, obstaculizad</w:t>
      </w:r>
      <w:r w:rsidR="00F75848" w:rsidRPr="009257E7">
        <w:rPr>
          <w:lang w:val="es-ES"/>
        </w:rPr>
        <w:t>o</w:t>
      </w:r>
      <w:r w:rsidRPr="009257E7">
        <w:rPr>
          <w:lang w:val="es-ES"/>
        </w:rPr>
        <w:t xml:space="preserve">s en su búsqueda del </w:t>
      </w:r>
      <w:r w:rsidR="00F75848" w:rsidRPr="009257E7">
        <w:rPr>
          <w:lang w:val="es-ES"/>
        </w:rPr>
        <w:t>s</w:t>
      </w:r>
      <w:r w:rsidRPr="009257E7">
        <w:rPr>
          <w:lang w:val="es-ES"/>
        </w:rPr>
        <w:t xml:space="preserve">ueño </w:t>
      </w:r>
      <w:r w:rsidR="00F75848" w:rsidRPr="009257E7">
        <w:rPr>
          <w:lang w:val="es-ES"/>
        </w:rPr>
        <w:t>a</w:t>
      </w:r>
      <w:r w:rsidRPr="009257E7">
        <w:rPr>
          <w:lang w:val="es-ES"/>
        </w:rPr>
        <w:t>mericano. Sin embargo, sus historias revelan que la clase funciona de manera distinta según la raza de una persona y que la raza opera de manera distinta según la clase de una persona. [...] [S]</w:t>
      </w:r>
      <w:proofErr w:type="spellStart"/>
      <w:r w:rsidRPr="009257E7">
        <w:rPr>
          <w:lang w:val="es-ES"/>
        </w:rPr>
        <w:t>on</w:t>
      </w:r>
      <w:proofErr w:type="spellEnd"/>
      <w:r w:rsidRPr="009257E7">
        <w:rPr>
          <w:lang w:val="es-ES"/>
        </w:rPr>
        <w:t xml:space="preserve"> esenciales las medidas afirmativas para abrir ámbitos laborales previamente cerrados y para asegurar que las preguntas sobre desventaja y privilegio, y sobre discriminación y mérito, se mantengan al frente de los debates de </w:t>
      </w:r>
      <w:r w:rsidR="00A65661" w:rsidRPr="009257E7">
        <w:rPr>
          <w:lang w:val="es-ES"/>
        </w:rPr>
        <w:t xml:space="preserve">la </w:t>
      </w:r>
      <w:r w:rsidRPr="009257E7">
        <w:rPr>
          <w:lang w:val="es-ES"/>
        </w:rPr>
        <w:t>política pública. [...] Es importante destacar que, a medida que Estados Unidos avanza hacia el futuro, las personas estadounidenses deben seguir mirando al pasado, porque la historia revela que la desigualdad es un tapiz complejo y evolutivo. Sus hilos constitutivos —racismo, sexismo, clasismo, xenofobia, homofobia, intolerancia religiosa— han sido tejidos de manera continua. Para deshacer uno, debemos deshacerlos todos.</w:t>
      </w:r>
      <w:r w:rsidR="002D6A7C" w:rsidRPr="009257E7">
        <w:rPr>
          <w:rStyle w:val="FootnoteReference"/>
          <w:lang w:val="es-ES"/>
        </w:rPr>
        <w:footnoteReference w:id="35"/>
      </w:r>
    </w:p>
    <w:p w14:paraId="013ECAE3" w14:textId="77777777" w:rsidR="00EA33B9" w:rsidRPr="009257E7" w:rsidRDefault="00EA33B9" w:rsidP="00EA33B9">
      <w:pPr>
        <w:pStyle w:val="NormalWeb"/>
        <w:rPr>
          <w:lang w:val="es-ES"/>
        </w:rPr>
      </w:pPr>
      <w:r w:rsidRPr="009257E7">
        <w:rPr>
          <w:lang w:val="es-ES"/>
        </w:rPr>
        <w:t>Así:</w:t>
      </w:r>
    </w:p>
    <w:p w14:paraId="60FA11B2" w14:textId="622F9945" w:rsidR="00EA33B9" w:rsidRPr="009257E7" w:rsidRDefault="00EA33B9" w:rsidP="00F75848">
      <w:pPr>
        <w:pStyle w:val="NormalWeb"/>
        <w:ind w:left="720"/>
        <w:rPr>
          <w:lang w:val="es-ES"/>
        </w:rPr>
      </w:pPr>
      <w:r w:rsidRPr="009257E7">
        <w:rPr>
          <w:lang w:val="es-ES"/>
        </w:rPr>
        <w:t xml:space="preserve">[L]a política identitaria es una respuesta a la vida en un país que se construyó sobre la teoría de que “todos los hombres son creados iguales”, pero en una realidad donde lo </w:t>
      </w:r>
      <w:r w:rsidRPr="009257E7">
        <w:rPr>
          <w:lang w:val="es-ES"/>
        </w:rPr>
        <w:lastRenderedPageBreak/>
        <w:t xml:space="preserve">contrario era cierto. Y es una respuesta no solo al racismo abierto que </w:t>
      </w:r>
      <w:r w:rsidR="006A69A5" w:rsidRPr="009257E7">
        <w:rPr>
          <w:lang w:val="es-ES"/>
        </w:rPr>
        <w:t>persist</w:t>
      </w:r>
      <w:r w:rsidRPr="009257E7">
        <w:rPr>
          <w:lang w:val="es-ES"/>
        </w:rPr>
        <w:t xml:space="preserve">e en sitios </w:t>
      </w:r>
      <w:r w:rsidRPr="009257E7">
        <w:rPr>
          <w:i/>
          <w:iCs/>
          <w:lang w:val="es-ES"/>
        </w:rPr>
        <w:t>web</w:t>
      </w:r>
      <w:r w:rsidRPr="009257E7">
        <w:rPr>
          <w:lang w:val="es-ES"/>
        </w:rPr>
        <w:t xml:space="preserve"> como </w:t>
      </w:r>
      <w:proofErr w:type="spellStart"/>
      <w:r w:rsidRPr="009257E7">
        <w:rPr>
          <w:lang w:val="es-ES"/>
        </w:rPr>
        <w:t>Stormfront</w:t>
      </w:r>
      <w:proofErr w:type="spellEnd"/>
      <w:r w:rsidRPr="009257E7">
        <w:rPr>
          <w:lang w:val="es-ES"/>
        </w:rPr>
        <w:t xml:space="preserve"> y en concentraciones con la bandera confederada, sino también a las barreras estructurales que </w:t>
      </w:r>
      <w:r w:rsidR="006A69A5" w:rsidRPr="009257E7">
        <w:rPr>
          <w:lang w:val="es-ES"/>
        </w:rPr>
        <w:t>aún</w:t>
      </w:r>
      <w:r w:rsidRPr="009257E7">
        <w:rPr>
          <w:lang w:val="es-ES"/>
        </w:rPr>
        <w:t xml:space="preserve"> </w:t>
      </w:r>
      <w:r w:rsidR="006A69A5" w:rsidRPr="009257E7">
        <w:rPr>
          <w:lang w:val="es-ES"/>
        </w:rPr>
        <w:t>obstaculiz</w:t>
      </w:r>
      <w:r w:rsidRPr="009257E7">
        <w:rPr>
          <w:lang w:val="es-ES"/>
        </w:rPr>
        <w:t>an a las personas de piel oscura.</w:t>
      </w:r>
      <w:r w:rsidR="00812088" w:rsidRPr="009257E7">
        <w:rPr>
          <w:rStyle w:val="FootnoteReference"/>
          <w:lang w:val="es-ES"/>
        </w:rPr>
        <w:footnoteReference w:id="36"/>
      </w:r>
    </w:p>
    <w:p w14:paraId="7485D272" w14:textId="2DD3A7B3" w:rsidR="00EA33B9" w:rsidRPr="009257E7" w:rsidRDefault="00EA33B9" w:rsidP="00AB5C4D">
      <w:pPr>
        <w:pStyle w:val="NormalWeb"/>
        <w:ind w:firstLine="720"/>
        <w:rPr>
          <w:lang w:val="es-ES"/>
        </w:rPr>
      </w:pPr>
      <w:r w:rsidRPr="009257E7">
        <w:rPr>
          <w:lang w:val="es-ES"/>
        </w:rPr>
        <w:t xml:space="preserve">Desde la conquista colonial, la política identitaria desde arriba ha dictado el ordenamiento de las personas y </w:t>
      </w:r>
      <w:r w:rsidR="00812088" w:rsidRPr="009257E7">
        <w:rPr>
          <w:lang w:val="es-ES"/>
        </w:rPr>
        <w:t xml:space="preserve">de </w:t>
      </w:r>
      <w:r w:rsidRPr="009257E7">
        <w:rPr>
          <w:lang w:val="es-ES"/>
        </w:rPr>
        <w:t>sus destinos en distintas formas de amo y sirviente. Se ha invertido la misma atención y energía en encubrir</w:t>
      </w:r>
      <w:r w:rsidR="00460784" w:rsidRPr="009257E7">
        <w:rPr>
          <w:lang w:val="es-ES"/>
        </w:rPr>
        <w:t>l</w:t>
      </w:r>
      <w:r w:rsidRPr="009257E7">
        <w:rPr>
          <w:lang w:val="es-ES"/>
        </w:rPr>
        <w:t>o y en normalizar la contradicción cuando resulta imposible refutarla. Pero el control desde arriba de la conciencia y la conducta</w:t>
      </w:r>
      <w:r w:rsidR="00460784" w:rsidRPr="009257E7">
        <w:rPr>
          <w:lang w:val="es-ES"/>
        </w:rPr>
        <w:t>,</w:t>
      </w:r>
      <w:r w:rsidRPr="009257E7">
        <w:rPr>
          <w:lang w:val="es-ES"/>
        </w:rPr>
        <w:t xml:space="preserve"> mediante la inculcación y la aculturación</w:t>
      </w:r>
      <w:r w:rsidR="00460784" w:rsidRPr="009257E7">
        <w:rPr>
          <w:lang w:val="es-ES"/>
        </w:rPr>
        <w:t>,</w:t>
      </w:r>
      <w:r w:rsidRPr="009257E7">
        <w:rPr>
          <w:lang w:val="es-ES"/>
        </w:rPr>
        <w:t xml:space="preserve"> siempre está respaldado por medios más coercitivos.</w:t>
      </w:r>
    </w:p>
    <w:p w14:paraId="246FD2BF" w14:textId="43CC1122" w:rsidR="00AB5C4D" w:rsidRPr="009257E7" w:rsidRDefault="00AB5C4D" w:rsidP="00F8688B">
      <w:pPr>
        <w:pStyle w:val="NormalWeb"/>
        <w:ind w:firstLine="720"/>
        <w:rPr>
          <w:lang w:val="es-ES"/>
        </w:rPr>
      </w:pPr>
      <w:r w:rsidRPr="009257E7">
        <w:rPr>
          <w:lang w:val="es-ES"/>
        </w:rPr>
        <w:t xml:space="preserve">Además del control mental, las élites estadounidenses provocaron guerras como estrategia para convertirse en autoridades imperiales y mantenerse en esa posición. Llevaron por la fuerza su Estado de derecho a quienes, según ellas, “necesitaban” ser rescatades. Un ejemplo es la guerra hispano-estadounidense de 1898, mediante la cual Estados Unidos tomó Puerto Rico y otras “posesiones” </w:t>
      </w:r>
      <w:r w:rsidR="00F8688B" w:rsidRPr="009257E7">
        <w:rPr>
          <w:lang w:val="es-ES"/>
        </w:rPr>
        <w:t>en</w:t>
      </w:r>
      <w:r w:rsidRPr="009257E7">
        <w:rPr>
          <w:lang w:val="es-ES"/>
        </w:rPr>
        <w:t xml:space="preserve"> </w:t>
      </w:r>
      <w:r w:rsidR="00F8688B" w:rsidRPr="009257E7">
        <w:rPr>
          <w:lang w:val="es-ES"/>
        </w:rPr>
        <w:t xml:space="preserve">todo </w:t>
      </w:r>
      <w:r w:rsidRPr="009257E7">
        <w:rPr>
          <w:lang w:val="es-ES"/>
        </w:rPr>
        <w:t xml:space="preserve">el mundo. Detrás de esas tomas acechaban intereses elitistas </w:t>
      </w:r>
      <w:r w:rsidR="00F8688B" w:rsidRPr="009257E7">
        <w:rPr>
          <w:lang w:val="es-ES"/>
        </w:rPr>
        <w:t>orientados a la</w:t>
      </w:r>
      <w:r w:rsidRPr="009257E7">
        <w:rPr>
          <w:lang w:val="es-ES"/>
        </w:rPr>
        <w:t xml:space="preserve"> ganancia material. La conquista del norte de México, por ejemplo, estuvo impregnada de la ideología del Destino Manifiesto y buscó preservar la institución económica de la esclavitud. A su vez, la </w:t>
      </w:r>
      <w:r w:rsidR="00F8688B" w:rsidRPr="009257E7">
        <w:rPr>
          <w:lang w:val="es-ES"/>
        </w:rPr>
        <w:t>expansión hacia el oeste, desde el actual suroeste estadounidense hasta la costa de California, estuvo arraigada en el deseo de controlar los puertos</w:t>
      </w:r>
      <w:r w:rsidRPr="009257E7">
        <w:rPr>
          <w:lang w:val="es-ES"/>
        </w:rPr>
        <w:t xml:space="preserve"> marítimos occidentales para el comercio global.</w:t>
      </w:r>
    </w:p>
    <w:p w14:paraId="70F4B849" w14:textId="58E4AAA7" w:rsidR="00AB5C4D" w:rsidRPr="009257E7" w:rsidRDefault="00AB5C4D" w:rsidP="00F8688B">
      <w:pPr>
        <w:pStyle w:val="NormalWeb"/>
        <w:ind w:firstLine="720"/>
        <w:rPr>
          <w:lang w:val="es-ES"/>
        </w:rPr>
      </w:pPr>
      <w:r w:rsidRPr="009257E7">
        <w:rPr>
          <w:lang w:val="es-ES"/>
        </w:rPr>
        <w:t xml:space="preserve">Con la llegada de la globalización impulsada por </w:t>
      </w:r>
      <w:r w:rsidR="00F8688B" w:rsidRPr="009257E7">
        <w:rPr>
          <w:lang w:val="es-ES"/>
        </w:rPr>
        <w:t xml:space="preserve">las </w:t>
      </w:r>
      <w:r w:rsidRPr="009257E7">
        <w:rPr>
          <w:lang w:val="es-ES"/>
        </w:rPr>
        <w:t>élites corporativas multinacionales, preservar los intereses elitistas puede ser —aunque no siempre</w:t>
      </w:r>
      <w:r w:rsidR="00F8688B" w:rsidRPr="009257E7">
        <w:rPr>
          <w:lang w:val="es-ES"/>
        </w:rPr>
        <w:t xml:space="preserve"> lo</w:t>
      </w:r>
      <w:r w:rsidRPr="009257E7">
        <w:rPr>
          <w:lang w:val="es-ES"/>
        </w:rPr>
        <w:t xml:space="preserve"> es— sangriento. Considérese cómo la dominación corporativa de las llamadas “repúblicas bananeras” provocó conflictos violentos e intervenciones en regiones lejanas, a pesar de su soberanía. Un ejemplo es el golpe de Estado de 1954, respaldado por </w:t>
      </w:r>
      <w:r w:rsidR="001B0CF4" w:rsidRPr="009257E7">
        <w:rPr>
          <w:lang w:val="es-ES"/>
        </w:rPr>
        <w:t xml:space="preserve">los </w:t>
      </w:r>
      <w:r w:rsidRPr="009257E7">
        <w:rPr>
          <w:lang w:val="es-ES"/>
        </w:rPr>
        <w:t xml:space="preserve">Estados Unidos, contra un gobierno democrático en Guatemala. Las élites con sede en Boston que controlaban la </w:t>
      </w:r>
      <w:proofErr w:type="spellStart"/>
      <w:r w:rsidRPr="009257E7">
        <w:rPr>
          <w:lang w:val="es-ES"/>
        </w:rPr>
        <w:t>United</w:t>
      </w:r>
      <w:proofErr w:type="spellEnd"/>
      <w:r w:rsidRPr="009257E7">
        <w:rPr>
          <w:lang w:val="es-ES"/>
        </w:rPr>
        <w:t xml:space="preserve"> Fruit Company temían posibles reformas agrarias y laborales. Por eso impulsaron el derrocamiento del presidente legítimamente electo Jacobo Árbenz y del Estado de derecho en Guatemala</w:t>
      </w:r>
      <w:r w:rsidR="0062376C" w:rsidRPr="009257E7">
        <w:rPr>
          <w:rStyle w:val="FootnoteReference"/>
          <w:lang w:val="es-ES"/>
        </w:rPr>
        <w:footnoteReference w:id="37"/>
      </w:r>
      <w:r w:rsidRPr="009257E7">
        <w:rPr>
          <w:lang w:val="es-ES"/>
        </w:rPr>
        <w:t>.</w:t>
      </w:r>
    </w:p>
    <w:p w14:paraId="774EAC9F" w14:textId="595F69CB" w:rsidR="00AB5C4D" w:rsidRPr="009257E7" w:rsidRDefault="00AB5C4D" w:rsidP="0062376C">
      <w:pPr>
        <w:pStyle w:val="NormalWeb"/>
        <w:ind w:firstLine="720"/>
        <w:rPr>
          <w:lang w:val="es-ES"/>
        </w:rPr>
      </w:pPr>
      <w:r w:rsidRPr="009257E7">
        <w:rPr>
          <w:lang w:val="es-ES"/>
        </w:rPr>
        <w:t xml:space="preserve">El académico de filosofía jurídica Stephen Munzer ofrece </w:t>
      </w:r>
      <w:r w:rsidR="0062376C" w:rsidRPr="009257E7">
        <w:rPr>
          <w:lang w:val="es-ES"/>
        </w:rPr>
        <w:t xml:space="preserve">un </w:t>
      </w:r>
      <w:r w:rsidRPr="009257E7">
        <w:rPr>
          <w:lang w:val="es-ES"/>
        </w:rPr>
        <w:t xml:space="preserve">contexto adicional para esta historia </w:t>
      </w:r>
      <w:r w:rsidR="0062376C" w:rsidRPr="009257E7">
        <w:rPr>
          <w:lang w:val="es-ES"/>
        </w:rPr>
        <w:t xml:space="preserve">extensa </w:t>
      </w:r>
      <w:r w:rsidRPr="009257E7">
        <w:rPr>
          <w:lang w:val="es-ES"/>
        </w:rPr>
        <w:t xml:space="preserve">de colusión público-privada orientada al enriquecimiento y la hegemonía. Munzer ofrece una breve historia de Guatemala que destaca las relaciones entre los intereses corporativos estadounidenses, las intervenciones gubernamentales y sus impactos </w:t>
      </w:r>
      <w:r w:rsidR="0062376C" w:rsidRPr="009257E7">
        <w:rPr>
          <w:lang w:val="es-ES"/>
        </w:rPr>
        <w:t>en</w:t>
      </w:r>
      <w:r w:rsidRPr="009257E7">
        <w:rPr>
          <w:lang w:val="es-ES"/>
        </w:rPr>
        <w:t xml:space="preserve"> los pueblos indígenas. En particular, describe la construcción de un proyecto de represa financiado por el Banco Mundial para proveer energía a la minería y a otras iniciativas de “desarrollo” impulsadas por corporaciones. Ese proyecto ocurrió en medio de la guerra civil guatemalteca respaldada por Estados Unidos y también a causa de ella. A través de los siglos, desde la colonización hasta la globalización contemporánea, las comunidades indígenas y les trabajadores sufrieron desposesión, explotación, represión y extracción. Pero también participaron en una lucha continua desde abajo, basada en la comunidad, emprendida con grandes riesgos y costos:</w:t>
      </w:r>
    </w:p>
    <w:p w14:paraId="58084DA0" w14:textId="77777777" w:rsidR="0060217B" w:rsidRPr="009257E7" w:rsidRDefault="0060217B" w:rsidP="0060217B">
      <w:pPr>
        <w:pStyle w:val="NormalWeb"/>
        <w:ind w:left="720"/>
        <w:rPr>
          <w:lang w:val="es-ES"/>
        </w:rPr>
      </w:pPr>
      <w:r w:rsidRPr="009257E7">
        <w:rPr>
          <w:lang w:val="es-ES"/>
        </w:rPr>
        <w:lastRenderedPageBreak/>
        <w:t>En 1524, España invadió y colonizó el territorio que hoy se conoce como Guatemala. [...] Desde 1847, Guatemala ha sido un país independiente [...] [con] intereses empresariales extranjeros. [...] [El gobierno] alentó la inversión extranjera, aplastó los sindicatos y favoreció los cultivos comerciales por encima de la producción alimentaria sostenible para les guatemalteques. [...]</w:t>
      </w:r>
    </w:p>
    <w:p w14:paraId="5196C5C5" w14:textId="5894E1BC" w:rsidR="0060217B" w:rsidRPr="009257E7" w:rsidRDefault="0060217B" w:rsidP="0002081D">
      <w:pPr>
        <w:pStyle w:val="NormalWeb"/>
        <w:ind w:left="720"/>
        <w:rPr>
          <w:lang w:val="es-ES"/>
        </w:rPr>
      </w:pPr>
      <w:r w:rsidRPr="009257E7">
        <w:rPr>
          <w:lang w:val="es-ES"/>
        </w:rPr>
        <w:t>[...] [Sin embargo, después de que líderes progresistas fueron elegidos en la década de 1950,] la C.I.A. comenzó a desestabilizar el gobierno guatemalteco [...] [fomentando un golpe de Estado que] condujo a gobiernos militares [respaldados por Estados Unidos] y, finalmente, a una guerra civil feroz durante el período de 1962 a 1996.</w:t>
      </w:r>
    </w:p>
    <w:p w14:paraId="5B28DC17" w14:textId="77777777" w:rsidR="009559D4" w:rsidRPr="009257E7" w:rsidRDefault="0060217B" w:rsidP="009559D4">
      <w:pPr>
        <w:pStyle w:val="NormalWeb"/>
        <w:ind w:left="720"/>
        <w:rPr>
          <w:lang w:val="es-ES"/>
        </w:rPr>
      </w:pPr>
      <w:r w:rsidRPr="009257E7">
        <w:rPr>
          <w:lang w:val="es-ES"/>
        </w:rPr>
        <w:t>Fue en este contexto histórico</w:t>
      </w:r>
      <w:r w:rsidR="0002081D" w:rsidRPr="009257E7">
        <w:rPr>
          <w:lang w:val="es-ES"/>
        </w:rPr>
        <w:t>,</w:t>
      </w:r>
      <w:r w:rsidRPr="009257E7">
        <w:rPr>
          <w:lang w:val="es-ES"/>
        </w:rPr>
        <w:t xml:space="preserve"> marcado por el conflicto</w:t>
      </w:r>
      <w:r w:rsidR="0002081D" w:rsidRPr="009257E7">
        <w:rPr>
          <w:lang w:val="es-ES"/>
        </w:rPr>
        <w:t>,</w:t>
      </w:r>
      <w:r w:rsidRPr="009257E7">
        <w:rPr>
          <w:lang w:val="es-ES"/>
        </w:rPr>
        <w:t xml:space="preserve"> que el gobierno guatemalteco decidió, en 1975, construir represas hidroeléctricas como forma de evitar el costo alto de comprar petróleo [...] [incluida] la represa Chixoy sobre el Río Negro. [...] El gobierno no obtuvo consentimiento ni aportes de las aproximadamente 1,500 personas maya</w:t>
      </w:r>
      <w:r w:rsidR="009559D4" w:rsidRPr="009257E7">
        <w:rPr>
          <w:lang w:val="es-ES"/>
        </w:rPr>
        <w:t>s</w:t>
      </w:r>
      <w:r w:rsidRPr="009257E7">
        <w:rPr>
          <w:lang w:val="es-ES"/>
        </w:rPr>
        <w:t xml:space="preserve"> achí que vivían en el valle del </w:t>
      </w:r>
      <w:r w:rsidR="009559D4" w:rsidRPr="009257E7">
        <w:rPr>
          <w:lang w:val="es-ES"/>
        </w:rPr>
        <w:t>r</w:t>
      </w:r>
      <w:r w:rsidRPr="009257E7">
        <w:rPr>
          <w:lang w:val="es-ES"/>
        </w:rPr>
        <w:t>ío Negro. De hecho, los estudios iniciales de viabilidad del área afirmaban que el valle estaba deshabitado.</w:t>
      </w:r>
    </w:p>
    <w:p w14:paraId="437F7333" w14:textId="77777777" w:rsidR="00601E6A" w:rsidRPr="009257E7" w:rsidRDefault="0060217B" w:rsidP="00601E6A">
      <w:pPr>
        <w:pStyle w:val="NormalWeb"/>
        <w:ind w:left="720"/>
        <w:rPr>
          <w:lang w:val="es-ES"/>
        </w:rPr>
      </w:pPr>
      <w:r w:rsidRPr="009257E7">
        <w:rPr>
          <w:lang w:val="es-ES"/>
        </w:rPr>
        <w:t>[...] [Después de enterarse del proyecto,] les maya</w:t>
      </w:r>
      <w:r w:rsidR="009559D4" w:rsidRPr="009257E7">
        <w:rPr>
          <w:lang w:val="es-ES"/>
        </w:rPr>
        <w:t>s</w:t>
      </w:r>
      <w:r w:rsidRPr="009257E7">
        <w:rPr>
          <w:lang w:val="es-ES"/>
        </w:rPr>
        <w:t xml:space="preserve"> achí se reunieron y crearon un “libro” que catalogaba sus títulos de propiedad sobre tierras en el valle y las riberas del Río Negro, registraba las promesas del gobierno [de reasentamiento y compensación], rechazaba esas promesas por insuficientes y nombraba a dos de sus integrantes para reunirse con funcionaries del gobierno en la Ciudad de Guatemala. De camino a la capital, les dos representantes fueron secuestrades y desaparecides junto con el “libro”. [...] Les maya</w:t>
      </w:r>
      <w:r w:rsidR="00601E6A" w:rsidRPr="009257E7">
        <w:rPr>
          <w:lang w:val="es-ES"/>
        </w:rPr>
        <w:t>s</w:t>
      </w:r>
      <w:r w:rsidRPr="009257E7">
        <w:rPr>
          <w:lang w:val="es-ES"/>
        </w:rPr>
        <w:t xml:space="preserve"> achí reiteraron que no querían irse y estalló la violencia. En cinco masacres, escuadrones paramilitares </w:t>
      </w:r>
      <w:r w:rsidR="00601E6A" w:rsidRPr="009257E7">
        <w:rPr>
          <w:lang w:val="es-ES"/>
        </w:rPr>
        <w:t>asesin</w:t>
      </w:r>
      <w:r w:rsidRPr="009257E7">
        <w:rPr>
          <w:lang w:val="es-ES"/>
        </w:rPr>
        <w:t>aron a más de 400 personas maya</w:t>
      </w:r>
      <w:r w:rsidR="00601E6A" w:rsidRPr="009257E7">
        <w:rPr>
          <w:lang w:val="es-ES"/>
        </w:rPr>
        <w:t>s</w:t>
      </w:r>
      <w:r w:rsidRPr="009257E7">
        <w:rPr>
          <w:lang w:val="es-ES"/>
        </w:rPr>
        <w:t xml:space="preserve"> achí. [...] En 1983, durante el llenado del embalse, más personas maya</w:t>
      </w:r>
      <w:r w:rsidR="00601E6A" w:rsidRPr="009257E7">
        <w:rPr>
          <w:lang w:val="es-ES"/>
        </w:rPr>
        <w:t>s</w:t>
      </w:r>
      <w:r w:rsidRPr="009257E7">
        <w:rPr>
          <w:lang w:val="es-ES"/>
        </w:rPr>
        <w:t xml:space="preserve"> achí fueron asesinadas mientras intentaban huir o resistir el reasentamiento forzoso. [...]</w:t>
      </w:r>
    </w:p>
    <w:p w14:paraId="358EAA03" w14:textId="77777777" w:rsidR="00601E6A" w:rsidRPr="009257E7" w:rsidRDefault="0060217B" w:rsidP="00601E6A">
      <w:pPr>
        <w:pStyle w:val="NormalWeb"/>
        <w:ind w:left="720"/>
        <w:rPr>
          <w:lang w:val="es-ES"/>
        </w:rPr>
      </w:pPr>
      <w:r w:rsidRPr="009257E7">
        <w:rPr>
          <w:lang w:val="es-ES"/>
        </w:rPr>
        <w:t xml:space="preserve">Después de que les sobrevivientes de las masacres de Río Negro pasaron dos o tres años escondides del ejército en las zonas montañosas alrededor de Río Negro, comenzaron a llegar poco a poco al poblado de reasentamiento de </w:t>
      </w:r>
      <w:proofErr w:type="spellStart"/>
      <w:r w:rsidRPr="009257E7">
        <w:rPr>
          <w:lang w:val="es-ES"/>
        </w:rPr>
        <w:t>Pacux</w:t>
      </w:r>
      <w:proofErr w:type="spellEnd"/>
      <w:r w:rsidRPr="009257E7">
        <w:rPr>
          <w:lang w:val="es-ES"/>
        </w:rPr>
        <w:t xml:space="preserve">, donde muchas personas aún permanecen. [...] [Sin embargo,] a diferencia del suelo húmedo cercano a Río Negro, la tierra alrededor de </w:t>
      </w:r>
      <w:proofErr w:type="spellStart"/>
      <w:r w:rsidRPr="009257E7">
        <w:rPr>
          <w:lang w:val="es-ES"/>
        </w:rPr>
        <w:t>Pacux</w:t>
      </w:r>
      <w:proofErr w:type="spellEnd"/>
      <w:r w:rsidRPr="009257E7">
        <w:rPr>
          <w:lang w:val="es-ES"/>
        </w:rPr>
        <w:t xml:space="preserve"> carecía de agua de riego [...], les residentes perdieron el acceso a las plantas medicinales que antes crecían a lo largo del río [...] [y no había] espacio para ganado ni áreas comunitarias al aire libre. [...]</w:t>
      </w:r>
    </w:p>
    <w:p w14:paraId="77D36DDE" w14:textId="00E92613" w:rsidR="00601E6A" w:rsidRPr="009257E7" w:rsidRDefault="0060217B" w:rsidP="00601E6A">
      <w:pPr>
        <w:pStyle w:val="NormalWeb"/>
        <w:ind w:left="720"/>
        <w:rPr>
          <w:lang w:val="es-ES"/>
        </w:rPr>
      </w:pPr>
      <w:r w:rsidRPr="009257E7">
        <w:rPr>
          <w:lang w:val="es-ES"/>
        </w:rPr>
        <w:t>[...] [M]</w:t>
      </w:r>
      <w:proofErr w:type="spellStart"/>
      <w:r w:rsidRPr="009257E7">
        <w:rPr>
          <w:lang w:val="es-ES"/>
        </w:rPr>
        <w:t>uches</w:t>
      </w:r>
      <w:proofErr w:type="spellEnd"/>
      <w:r w:rsidRPr="009257E7">
        <w:rPr>
          <w:lang w:val="es-ES"/>
        </w:rPr>
        <w:t xml:space="preserve"> residentes buscaron trabajo en la capital, en la costa o incluso en Estados Unidos. [...] [Muches consiguieron empleos de salario bajo en maquiladoras:] “plantas de procesamiento para la exportación, intensivas en mano de obra, que producen bienes para el capital internacional”. [...] [Otres trabajaron en la agricultura orientada a la exportación] en plantaciones costeras de palma aceitera, banano, caña de azúcar o sandía [...] “</w:t>
      </w:r>
      <w:r w:rsidR="00506B4C" w:rsidRPr="009257E7">
        <w:rPr>
          <w:lang w:val="es-ES"/>
        </w:rPr>
        <w:t>caracterizad</w:t>
      </w:r>
      <w:r w:rsidR="00F75525" w:rsidRPr="009257E7">
        <w:rPr>
          <w:lang w:val="es-ES"/>
        </w:rPr>
        <w:t>a</w:t>
      </w:r>
      <w:r w:rsidR="00506B4C" w:rsidRPr="009257E7">
        <w:rPr>
          <w:lang w:val="es-ES"/>
        </w:rPr>
        <w:t>s por entornos laborales de servidumbre por deudas y salarios mínimos</w:t>
      </w:r>
      <w:r w:rsidRPr="009257E7">
        <w:rPr>
          <w:lang w:val="es-ES"/>
        </w:rPr>
        <w:t>”. [...]</w:t>
      </w:r>
    </w:p>
    <w:p w14:paraId="050602A9" w14:textId="5011220A" w:rsidR="0060217B" w:rsidRPr="009257E7" w:rsidRDefault="0060217B" w:rsidP="00601E6A">
      <w:pPr>
        <w:pStyle w:val="NormalWeb"/>
        <w:ind w:left="720"/>
        <w:rPr>
          <w:lang w:val="es-ES"/>
        </w:rPr>
      </w:pPr>
      <w:r w:rsidRPr="009257E7">
        <w:rPr>
          <w:lang w:val="es-ES"/>
        </w:rPr>
        <w:lastRenderedPageBreak/>
        <w:t>Es imposible dar contexto a lo que les ha ocurrido a les maya</w:t>
      </w:r>
      <w:r w:rsidR="00F75525" w:rsidRPr="009257E7">
        <w:rPr>
          <w:lang w:val="es-ES"/>
        </w:rPr>
        <w:t xml:space="preserve">s </w:t>
      </w:r>
      <w:r w:rsidRPr="009257E7">
        <w:rPr>
          <w:lang w:val="es-ES"/>
        </w:rPr>
        <w:t>achí sin entender la construcción de la represa Chixoy en términos del desarrollo económico internacional y, por consiguiente, del papel del Banco Mundial y de las ramas legislativa y ejecutiva del gobierno de Estados Unidos.</w:t>
      </w:r>
      <w:r w:rsidR="000E72AA" w:rsidRPr="009257E7">
        <w:rPr>
          <w:rStyle w:val="FootnoteReference"/>
          <w:lang w:val="es-ES"/>
        </w:rPr>
        <w:footnoteReference w:id="38"/>
      </w:r>
    </w:p>
    <w:p w14:paraId="7F0F12FD" w14:textId="77777777" w:rsidR="006914C9" w:rsidRPr="009257E7" w:rsidRDefault="006914C9" w:rsidP="00DB3C9E">
      <w:pPr>
        <w:pStyle w:val="NormalWeb"/>
        <w:ind w:firstLine="720"/>
        <w:rPr>
          <w:lang w:val="es-ES"/>
        </w:rPr>
      </w:pPr>
      <w:r w:rsidRPr="009257E7">
        <w:rPr>
          <w:lang w:val="es-ES"/>
        </w:rPr>
        <w:t xml:space="preserve">Esta historia de explotación, represión y extracción continúa, respaldada por el capital nacional e internacional e impuesta mediante violencia gubernamental y paramilitar, a menudo apoyada por corporaciones. Pero la resistencia ha sido constante. Como señaló en 2012 la Jubilee </w:t>
      </w:r>
      <w:proofErr w:type="spellStart"/>
      <w:r w:rsidRPr="009257E7">
        <w:rPr>
          <w:lang w:val="es-ES"/>
        </w:rPr>
        <w:t>Debt</w:t>
      </w:r>
      <w:proofErr w:type="spellEnd"/>
      <w:r w:rsidRPr="009257E7">
        <w:rPr>
          <w:lang w:val="es-ES"/>
        </w:rPr>
        <w:t xml:space="preserve"> Campaign, una organización no gubernamental que estudia el desarrollo internacional:</w:t>
      </w:r>
    </w:p>
    <w:p w14:paraId="00587863" w14:textId="5D5E0D8E" w:rsidR="006914C9" w:rsidRPr="009257E7" w:rsidRDefault="006914C9" w:rsidP="00DB3C9E">
      <w:pPr>
        <w:pStyle w:val="NormalWeb"/>
        <w:ind w:left="720"/>
        <w:rPr>
          <w:lang w:val="es-ES"/>
        </w:rPr>
      </w:pPr>
      <w:r w:rsidRPr="009257E7">
        <w:rPr>
          <w:lang w:val="es-ES"/>
        </w:rPr>
        <w:t xml:space="preserve">La resistencia que </w:t>
      </w:r>
      <w:r w:rsidR="003F4EB5" w:rsidRPr="009257E7">
        <w:rPr>
          <w:lang w:val="es-ES"/>
        </w:rPr>
        <w:t>se manifiesta</w:t>
      </w:r>
      <w:r w:rsidRPr="009257E7">
        <w:rPr>
          <w:lang w:val="es-ES"/>
        </w:rPr>
        <w:t xml:space="preserve"> frente a las minas y las represas en Guatemala, </w:t>
      </w:r>
      <w:r w:rsidR="003F4EB5" w:rsidRPr="009257E7">
        <w:rPr>
          <w:lang w:val="es-ES"/>
        </w:rPr>
        <w:t xml:space="preserve">así como </w:t>
      </w:r>
      <w:r w:rsidRPr="009257E7">
        <w:rPr>
          <w:lang w:val="es-ES"/>
        </w:rPr>
        <w:t>los experimentos con formas populares de consulta y democracia que han surgido de esa resistencia, son motivo de gran esperanza. Pero les guatemalteques tienen un</w:t>
      </w:r>
      <w:r w:rsidR="003F4EB5" w:rsidRPr="009257E7">
        <w:rPr>
          <w:lang w:val="es-ES"/>
        </w:rPr>
        <w:t xml:space="preserve"> camino</w:t>
      </w:r>
      <w:r w:rsidRPr="009257E7">
        <w:rPr>
          <w:lang w:val="es-ES"/>
        </w:rPr>
        <w:t xml:space="preserve"> largo por recorrer para combatir el racismo, la pobreza y la injusticia que enfrentan. El mundo tiene el deber de acompañar al pueblo de Guatemala. [...] Este terror surgió de una historia de explotación de los recursos naturales de Guatemala por </w:t>
      </w:r>
      <w:r w:rsidR="00DA32AA" w:rsidRPr="009257E7">
        <w:rPr>
          <w:lang w:val="es-ES"/>
        </w:rPr>
        <w:t xml:space="preserve">parte de </w:t>
      </w:r>
      <w:r w:rsidRPr="009257E7">
        <w:rPr>
          <w:lang w:val="es-ES"/>
        </w:rPr>
        <w:t xml:space="preserve">gobiernos extranjeros, </w:t>
      </w:r>
      <w:r w:rsidR="00DA32AA" w:rsidRPr="009257E7">
        <w:rPr>
          <w:lang w:val="es-ES"/>
        </w:rPr>
        <w:t>en</w:t>
      </w:r>
      <w:r w:rsidRPr="009257E7">
        <w:rPr>
          <w:lang w:val="es-ES"/>
        </w:rPr>
        <w:t xml:space="preserve"> </w:t>
      </w:r>
      <w:r w:rsidR="00DA32AA" w:rsidRPr="009257E7">
        <w:rPr>
          <w:lang w:val="es-ES"/>
        </w:rPr>
        <w:t>especial</w:t>
      </w:r>
      <w:r w:rsidRPr="009257E7">
        <w:rPr>
          <w:lang w:val="es-ES"/>
        </w:rPr>
        <w:t xml:space="preserve"> </w:t>
      </w:r>
      <w:r w:rsidR="00DA32AA" w:rsidRPr="009257E7">
        <w:rPr>
          <w:lang w:val="es-ES"/>
        </w:rPr>
        <w:t>d</w:t>
      </w:r>
      <w:r w:rsidRPr="009257E7">
        <w:rPr>
          <w:lang w:val="es-ES"/>
        </w:rPr>
        <w:t>el gobierno de Estados Unidos.</w:t>
      </w:r>
      <w:r w:rsidR="00DA32AA" w:rsidRPr="009257E7">
        <w:rPr>
          <w:rStyle w:val="FootnoteReference"/>
          <w:lang w:val="es-ES"/>
        </w:rPr>
        <w:footnoteReference w:id="39"/>
      </w:r>
    </w:p>
    <w:p w14:paraId="5D0F26D5" w14:textId="104B803C" w:rsidR="006914C9" w:rsidRPr="009257E7" w:rsidRDefault="006914C9" w:rsidP="00DA32AA">
      <w:pPr>
        <w:pStyle w:val="NormalWeb"/>
        <w:ind w:firstLine="720"/>
        <w:rPr>
          <w:lang w:val="es-ES"/>
        </w:rPr>
      </w:pPr>
      <w:r w:rsidRPr="009257E7">
        <w:rPr>
          <w:lang w:val="es-ES"/>
        </w:rPr>
        <w:t xml:space="preserve">En este ejemplo, los intereses de las élites radicadas en Estados Unidos fueron </w:t>
      </w:r>
      <w:r w:rsidR="00F44BCB" w:rsidRPr="009257E7">
        <w:rPr>
          <w:lang w:val="es-ES"/>
        </w:rPr>
        <w:t>atend</w:t>
      </w:r>
      <w:r w:rsidRPr="009257E7">
        <w:rPr>
          <w:lang w:val="es-ES"/>
        </w:rPr>
        <w:t xml:space="preserve">idos, incluso sin </w:t>
      </w:r>
      <w:r w:rsidR="00F44BCB" w:rsidRPr="009257E7">
        <w:rPr>
          <w:lang w:val="es-ES"/>
        </w:rPr>
        <w:t>l</w:t>
      </w:r>
      <w:r w:rsidRPr="009257E7">
        <w:rPr>
          <w:lang w:val="es-ES"/>
        </w:rPr>
        <w:t>a adquisición formal de territorio</w:t>
      </w:r>
      <w:r w:rsidR="00F44BCB" w:rsidRPr="009257E7">
        <w:rPr>
          <w:lang w:val="es-ES"/>
        </w:rPr>
        <w:t xml:space="preserve"> alguno</w:t>
      </w:r>
      <w:r w:rsidRPr="009257E7">
        <w:rPr>
          <w:lang w:val="es-ES"/>
        </w:rPr>
        <w:t>.</w:t>
      </w:r>
      <w:r w:rsidR="00F44BCB" w:rsidRPr="009257E7">
        <w:rPr>
          <w:lang w:val="es-ES"/>
        </w:rPr>
        <w:t xml:space="preserve"> </w:t>
      </w:r>
    </w:p>
    <w:p w14:paraId="2951B46A" w14:textId="0BC52E69" w:rsidR="006914C9" w:rsidRPr="009257E7" w:rsidRDefault="006914C9" w:rsidP="00F44BCB">
      <w:pPr>
        <w:pStyle w:val="NormalWeb"/>
        <w:ind w:firstLine="720"/>
        <w:rPr>
          <w:lang w:val="es-ES"/>
        </w:rPr>
      </w:pPr>
      <w:r w:rsidRPr="009257E7">
        <w:rPr>
          <w:lang w:val="es-ES"/>
        </w:rPr>
        <w:t xml:space="preserve">Hemos visto que los colonos europeos fueron los primeros practicantes organizados de la política identitaria. El colonialismo, el imperialismo y ahora la globalización han impulsado estas políticas elitistas originales —y sus castas identitarias— a través del tiempo, </w:t>
      </w:r>
      <w:r w:rsidR="00F44BCB" w:rsidRPr="009257E7">
        <w:rPr>
          <w:lang w:val="es-ES"/>
        </w:rPr>
        <w:t>d</w:t>
      </w:r>
      <w:r w:rsidRPr="009257E7">
        <w:rPr>
          <w:lang w:val="es-ES"/>
        </w:rPr>
        <w:t xml:space="preserve">el </w:t>
      </w:r>
      <w:r w:rsidR="00F44BCB" w:rsidRPr="009257E7">
        <w:rPr>
          <w:lang w:val="es-ES"/>
        </w:rPr>
        <w:t>espacio</w:t>
      </w:r>
      <w:r w:rsidRPr="009257E7">
        <w:rPr>
          <w:lang w:val="es-ES"/>
        </w:rPr>
        <w:t xml:space="preserve"> y </w:t>
      </w:r>
      <w:r w:rsidR="00F44BCB" w:rsidRPr="009257E7">
        <w:rPr>
          <w:lang w:val="es-ES"/>
        </w:rPr>
        <w:t xml:space="preserve">de </w:t>
      </w:r>
      <w:r w:rsidRPr="009257E7">
        <w:rPr>
          <w:lang w:val="es-ES"/>
        </w:rPr>
        <w:t xml:space="preserve">los grupos. </w:t>
      </w:r>
      <w:r w:rsidR="00F44BCB" w:rsidRPr="009257E7">
        <w:rPr>
          <w:lang w:val="es-ES"/>
        </w:rPr>
        <w:t>En</w:t>
      </w:r>
      <w:r w:rsidRPr="009257E7">
        <w:rPr>
          <w:lang w:val="es-ES"/>
        </w:rPr>
        <w:t xml:space="preserve"> </w:t>
      </w:r>
      <w:r w:rsidR="00F44BCB" w:rsidRPr="009257E7">
        <w:rPr>
          <w:lang w:val="es-ES"/>
        </w:rPr>
        <w:t xml:space="preserve">los </w:t>
      </w:r>
      <w:r w:rsidRPr="009257E7">
        <w:rPr>
          <w:lang w:val="es-ES"/>
        </w:rPr>
        <w:t>Estados Unidos —y en otros lugares—, la progresión sistémica histórica del imperialismo hacia la globalización corporativa deshizo los acuerdos sociales del statu quo para favorecer aún más a grupos ya privilegiados y enriquecidos. Este desmantelamiento abrió el camino al neoliberalismo globalizado y desató “guerras culturales” destinadas a revertir los avances de justicia logrados durante casi un siglo, hasta llegar a la regresión actual en materia de justicia racial, reproductiva, trans, económica y climática</w:t>
      </w:r>
      <w:r w:rsidR="00B2478D" w:rsidRPr="009257E7">
        <w:rPr>
          <w:rStyle w:val="FootnoteReference"/>
          <w:lang w:val="es-ES"/>
        </w:rPr>
        <w:footnoteReference w:id="40"/>
      </w:r>
      <w:r w:rsidRPr="009257E7">
        <w:rPr>
          <w:lang w:val="es-ES"/>
        </w:rPr>
        <w:t>.</w:t>
      </w:r>
    </w:p>
    <w:p w14:paraId="3E83121C" w14:textId="0B5F0247" w:rsidR="006914C9" w:rsidRPr="009257E7" w:rsidRDefault="006914C9" w:rsidP="00003D2C">
      <w:pPr>
        <w:pStyle w:val="NormalWeb"/>
        <w:ind w:firstLine="720"/>
        <w:rPr>
          <w:lang w:val="es-ES"/>
        </w:rPr>
      </w:pPr>
      <w:r w:rsidRPr="009257E7">
        <w:rPr>
          <w:lang w:val="es-ES"/>
        </w:rPr>
        <w:t xml:space="preserve">Estas guerras culturales desde arriba —o </w:t>
      </w:r>
      <w:proofErr w:type="spellStart"/>
      <w:r w:rsidRPr="009257E7">
        <w:rPr>
          <w:rStyle w:val="Emphasis"/>
          <w:lang w:val="es-ES"/>
        </w:rPr>
        <w:t>Kulturkampf</w:t>
      </w:r>
      <w:proofErr w:type="spellEnd"/>
      <w:r w:rsidRPr="009257E7">
        <w:rPr>
          <w:lang w:val="es-ES"/>
        </w:rPr>
        <w:t>— usan cuatro “puntas” que se refuerzan mutuamente para demonizar y desposeer a los grupos desde abajo, colocados y mantenidos allí por la política identitaria colonial y</w:t>
      </w:r>
      <w:r w:rsidR="006557EF" w:rsidRPr="009257E7">
        <w:rPr>
          <w:lang w:val="es-ES"/>
        </w:rPr>
        <w:t>,</w:t>
      </w:r>
      <w:r w:rsidRPr="009257E7">
        <w:rPr>
          <w:lang w:val="es-ES"/>
        </w:rPr>
        <w:t xml:space="preserve"> desde entonces</w:t>
      </w:r>
      <w:r w:rsidR="006557EF" w:rsidRPr="009257E7">
        <w:rPr>
          <w:lang w:val="es-ES"/>
        </w:rPr>
        <w:t>, por</w:t>
      </w:r>
      <w:r w:rsidRPr="009257E7">
        <w:rPr>
          <w:lang w:val="es-ES"/>
        </w:rPr>
        <w:t xml:space="preserve"> políticas electorales</w:t>
      </w:r>
      <w:r w:rsidR="006557EF" w:rsidRPr="009257E7">
        <w:rPr>
          <w:lang w:val="es-ES"/>
        </w:rPr>
        <w:t>,</w:t>
      </w:r>
      <w:r w:rsidRPr="009257E7">
        <w:rPr>
          <w:lang w:val="es-ES"/>
        </w:rPr>
        <w:t xml:space="preserve"> </w:t>
      </w:r>
      <w:r w:rsidR="006557EF" w:rsidRPr="009257E7">
        <w:rPr>
          <w:lang w:val="es-ES"/>
        </w:rPr>
        <w:t xml:space="preserve">la </w:t>
      </w:r>
      <w:r w:rsidRPr="009257E7">
        <w:rPr>
          <w:lang w:val="es-ES"/>
        </w:rPr>
        <w:t>formulación de políticas opresivas, nombramientos judiciales partidistas,</w:t>
      </w:r>
      <w:r w:rsidR="006557EF" w:rsidRPr="009257E7">
        <w:rPr>
          <w:lang w:val="es-ES"/>
        </w:rPr>
        <w:t xml:space="preserve"> la</w:t>
      </w:r>
      <w:r w:rsidRPr="009257E7">
        <w:rPr>
          <w:lang w:val="es-ES"/>
        </w:rPr>
        <w:t xml:space="preserve"> supresión de la organización desde abajo y decisiones de marginación y </w:t>
      </w:r>
      <w:proofErr w:type="spellStart"/>
      <w:r w:rsidRPr="009257E7">
        <w:rPr>
          <w:lang w:val="es-ES"/>
        </w:rPr>
        <w:t>desempoderamiento</w:t>
      </w:r>
      <w:proofErr w:type="spellEnd"/>
      <w:r w:rsidRPr="009257E7">
        <w:rPr>
          <w:lang w:val="es-ES"/>
        </w:rPr>
        <w:t xml:space="preserve"> ideológicos. Estas puntas representan acciones elitistas</w:t>
      </w:r>
      <w:r w:rsidR="006557EF" w:rsidRPr="009257E7">
        <w:rPr>
          <w:lang w:val="es-ES"/>
        </w:rPr>
        <w:t>,</w:t>
      </w:r>
      <w:r w:rsidRPr="009257E7">
        <w:rPr>
          <w:lang w:val="es-ES"/>
        </w:rPr>
        <w:t xml:space="preserve"> calculadas para bloquear o suprimir la justicia igualitaria </w:t>
      </w:r>
      <w:r w:rsidRPr="009257E7">
        <w:rPr>
          <w:lang w:val="es-ES"/>
        </w:rPr>
        <w:lastRenderedPageBreak/>
        <w:t>mediante combinaciones coordinadas y estratégicas de democracia y adjudicación</w:t>
      </w:r>
      <w:r w:rsidR="006557EF" w:rsidRPr="009257E7">
        <w:rPr>
          <w:lang w:val="es-ES"/>
        </w:rPr>
        <w:t>,</w:t>
      </w:r>
      <w:r w:rsidRPr="009257E7">
        <w:rPr>
          <w:lang w:val="es-ES"/>
        </w:rPr>
        <w:t xml:space="preserve"> </w:t>
      </w:r>
      <w:r w:rsidR="006557EF" w:rsidRPr="009257E7">
        <w:rPr>
          <w:lang w:val="es-ES"/>
        </w:rPr>
        <w:t>con miras</w:t>
      </w:r>
      <w:r w:rsidRPr="009257E7">
        <w:rPr>
          <w:lang w:val="es-ES"/>
        </w:rPr>
        <w:t xml:space="preserve"> </w:t>
      </w:r>
      <w:r w:rsidR="006557EF" w:rsidRPr="009257E7">
        <w:rPr>
          <w:lang w:val="es-ES"/>
        </w:rPr>
        <w:t>a</w:t>
      </w:r>
      <w:r w:rsidRPr="009257E7">
        <w:rPr>
          <w:lang w:val="es-ES"/>
        </w:rPr>
        <w:t xml:space="preserve">l dominio </w:t>
      </w:r>
      <w:r w:rsidR="006557EF" w:rsidRPr="009257E7">
        <w:rPr>
          <w:lang w:val="es-ES"/>
        </w:rPr>
        <w:t>a</w:t>
      </w:r>
      <w:r w:rsidRPr="009257E7">
        <w:rPr>
          <w:lang w:val="es-ES"/>
        </w:rPr>
        <w:t xml:space="preserve"> largo plazo.</w:t>
      </w:r>
      <w:r w:rsidR="006557EF" w:rsidRPr="009257E7">
        <w:rPr>
          <w:lang w:val="es-ES"/>
        </w:rPr>
        <w:t xml:space="preserve"> </w:t>
      </w:r>
    </w:p>
    <w:p w14:paraId="455AA093" w14:textId="0309AA5D" w:rsidR="006914C9" w:rsidRPr="009257E7" w:rsidRDefault="006914C9" w:rsidP="006557EF">
      <w:pPr>
        <w:pStyle w:val="NormalWeb"/>
        <w:ind w:firstLine="720"/>
        <w:rPr>
          <w:lang w:val="es-ES"/>
        </w:rPr>
      </w:pPr>
      <w:r w:rsidRPr="009257E7">
        <w:rPr>
          <w:lang w:val="es-ES"/>
        </w:rPr>
        <w:t xml:space="preserve">El fracaso del derecho </w:t>
      </w:r>
      <w:r w:rsidR="0020033A" w:rsidRPr="009257E7">
        <w:rPr>
          <w:lang w:val="es-ES"/>
        </w:rPr>
        <w:t>a</w:t>
      </w:r>
      <w:r w:rsidRPr="009257E7">
        <w:rPr>
          <w:lang w:val="es-ES"/>
        </w:rPr>
        <w:t xml:space="preserve"> ofrecer justicia igualitaria por diseño no se limita a </w:t>
      </w:r>
      <w:r w:rsidR="0020033A" w:rsidRPr="009257E7">
        <w:rPr>
          <w:lang w:val="es-ES"/>
        </w:rPr>
        <w:t>perpetua</w:t>
      </w:r>
      <w:r w:rsidRPr="009257E7">
        <w:rPr>
          <w:lang w:val="es-ES"/>
        </w:rPr>
        <w:t>r la dominación y</w:t>
      </w:r>
      <w:r w:rsidR="0020033A" w:rsidRPr="009257E7">
        <w:rPr>
          <w:lang w:val="es-ES"/>
        </w:rPr>
        <w:t xml:space="preserve"> la</w:t>
      </w:r>
      <w:r w:rsidRPr="009257E7">
        <w:rPr>
          <w:lang w:val="es-ES"/>
        </w:rPr>
        <w:t xml:space="preserve"> subordinación grupales basadas en la raza. Aunque la raza ha servido como paradigma de los sistemas de castas identitarias desde los tiempos coloniales, este paradigma </w:t>
      </w:r>
      <w:r w:rsidR="00267A3A" w:rsidRPr="009257E7">
        <w:rPr>
          <w:lang w:val="es-ES"/>
        </w:rPr>
        <w:t>s</w:t>
      </w:r>
      <w:r w:rsidRPr="009257E7">
        <w:rPr>
          <w:lang w:val="es-ES"/>
        </w:rPr>
        <w:t>e modific</w:t>
      </w:r>
      <w:r w:rsidR="00267A3A" w:rsidRPr="009257E7">
        <w:rPr>
          <w:lang w:val="es-ES"/>
        </w:rPr>
        <w:t>ó</w:t>
      </w:r>
      <w:r w:rsidRPr="009257E7">
        <w:rPr>
          <w:lang w:val="es-ES"/>
        </w:rPr>
        <w:t xml:space="preserve"> a partir de conceptos </w:t>
      </w:r>
      <w:r w:rsidR="00267A3A" w:rsidRPr="009257E7">
        <w:rPr>
          <w:lang w:val="es-ES"/>
        </w:rPr>
        <w:t>previo</w:t>
      </w:r>
      <w:r w:rsidRPr="009257E7">
        <w:rPr>
          <w:lang w:val="es-ES"/>
        </w:rPr>
        <w:t xml:space="preserve">s del </w:t>
      </w:r>
      <w:proofErr w:type="spellStart"/>
      <w:r w:rsidRPr="009257E7">
        <w:rPr>
          <w:rStyle w:val="Emphasis"/>
          <w:lang w:val="es-ES"/>
        </w:rPr>
        <w:t>common</w:t>
      </w:r>
      <w:proofErr w:type="spellEnd"/>
      <w:r w:rsidRPr="009257E7">
        <w:rPr>
          <w:rStyle w:val="Emphasis"/>
          <w:lang w:val="es-ES"/>
        </w:rPr>
        <w:t xml:space="preserve"> </w:t>
      </w:r>
      <w:proofErr w:type="spellStart"/>
      <w:r w:rsidRPr="009257E7">
        <w:rPr>
          <w:rStyle w:val="Emphasis"/>
          <w:lang w:val="es-ES"/>
        </w:rPr>
        <w:t>law</w:t>
      </w:r>
      <w:proofErr w:type="spellEnd"/>
      <w:r w:rsidRPr="009257E7">
        <w:rPr>
          <w:lang w:val="es-ES"/>
        </w:rPr>
        <w:t>, diseñados para sistemas de castas grupales basados en el género. Conceptos jurídicos</w:t>
      </w:r>
      <w:r w:rsidR="00267A3A" w:rsidRPr="009257E7">
        <w:rPr>
          <w:lang w:val="es-ES"/>
        </w:rPr>
        <w:t>,</w:t>
      </w:r>
      <w:r w:rsidRPr="009257E7">
        <w:rPr>
          <w:lang w:val="es-ES"/>
        </w:rPr>
        <w:t xml:space="preserve"> como la cobertura legal de las mujeres casadas</w:t>
      </w:r>
      <w:r w:rsidR="00267A3A" w:rsidRPr="009257E7">
        <w:rPr>
          <w:lang w:val="es-ES"/>
        </w:rPr>
        <w:t>, les</w:t>
      </w:r>
      <w:r w:rsidRPr="009257E7">
        <w:rPr>
          <w:lang w:val="es-ES"/>
        </w:rPr>
        <w:t xml:space="preserve"> negaban a las mujeres, como grupo, la capacidad jurídica técnica para </w:t>
      </w:r>
      <w:r w:rsidR="00DB7C66" w:rsidRPr="009257E7">
        <w:rPr>
          <w:lang w:val="es-ES"/>
        </w:rPr>
        <w:t xml:space="preserve">alcanzar </w:t>
      </w:r>
      <w:r w:rsidRPr="009257E7">
        <w:rPr>
          <w:lang w:val="es-ES"/>
        </w:rPr>
        <w:t xml:space="preserve">la independencia social y económica respecto de los hombres. A las mujeres casadas se les negaban derechos básicos como la capacidad de celebrar y hacer </w:t>
      </w:r>
      <w:r w:rsidR="00DB7C66" w:rsidRPr="009257E7">
        <w:rPr>
          <w:lang w:val="es-ES"/>
        </w:rPr>
        <w:t>vale</w:t>
      </w:r>
      <w:r w:rsidRPr="009257E7">
        <w:rPr>
          <w:lang w:val="es-ES"/>
        </w:rPr>
        <w:t>r contratos, poseer</w:t>
      </w:r>
      <w:r w:rsidR="00DB7C66" w:rsidRPr="009257E7">
        <w:rPr>
          <w:lang w:val="es-ES"/>
        </w:rPr>
        <w:t xml:space="preserve"> un</w:t>
      </w:r>
      <w:r w:rsidRPr="009257E7">
        <w:rPr>
          <w:lang w:val="es-ES"/>
        </w:rPr>
        <w:t xml:space="preserve"> título de propiedad no sujeto al control del marido, votar, ocupar cargos públicos o servir como juradas.</w:t>
      </w:r>
      <w:r w:rsidR="008B6F2E" w:rsidRPr="009257E7">
        <w:rPr>
          <w:lang w:val="es-ES"/>
        </w:rPr>
        <w:t xml:space="preserve"> </w:t>
      </w:r>
    </w:p>
    <w:p w14:paraId="40CF1087" w14:textId="2929B6CE" w:rsidR="006914C9" w:rsidRPr="009257E7" w:rsidRDefault="006914C9" w:rsidP="008B6F2E">
      <w:pPr>
        <w:pStyle w:val="NormalWeb"/>
        <w:ind w:firstLine="720"/>
        <w:rPr>
          <w:lang w:val="es-ES"/>
        </w:rPr>
      </w:pPr>
      <w:r w:rsidRPr="009257E7">
        <w:rPr>
          <w:lang w:val="es-ES"/>
        </w:rPr>
        <w:t xml:space="preserve">El diseño jurídico de la supremacía blanca en las colonias europeas siguió, en términos generales, el diseño jurídico del patriarcado en Europa. El derecho ajusta la lógica supremacista de la conquista colonial según sea necesario para construir muchos grupos desde abajo y pocas cúspides. El derecho, como sistema colonizador, estableció un diseño sistémico que hoy reproduce de manera consistente las cúspides originales —hombres blancos cis, ricos—, mientras subordina de forma flexible a los grupos desde abajo. Esta combinación de consistencia relativa </w:t>
      </w:r>
      <w:r w:rsidR="008B6F2E" w:rsidRPr="009257E7">
        <w:rPr>
          <w:lang w:val="es-ES"/>
        </w:rPr>
        <w:t>en</w:t>
      </w:r>
      <w:r w:rsidRPr="009257E7">
        <w:rPr>
          <w:lang w:val="es-ES"/>
        </w:rPr>
        <w:t xml:space="preserve"> las cúspides y flexibilidad </w:t>
      </w:r>
      <w:r w:rsidR="008B6F2E" w:rsidRPr="009257E7">
        <w:rPr>
          <w:lang w:val="es-ES"/>
        </w:rPr>
        <w:t>en</w:t>
      </w:r>
      <w:r w:rsidRPr="009257E7">
        <w:rPr>
          <w:lang w:val="es-ES"/>
        </w:rPr>
        <w:t xml:space="preserve"> los grupos </w:t>
      </w:r>
      <w:r w:rsidR="008B6F2E" w:rsidRPr="009257E7">
        <w:rPr>
          <w:lang w:val="es-ES"/>
        </w:rPr>
        <w:t>inferiores</w:t>
      </w:r>
      <w:r w:rsidRPr="009257E7">
        <w:rPr>
          <w:lang w:val="es-ES"/>
        </w:rPr>
        <w:t xml:space="preserve"> permite que el sistema sitúe a otros grupos, incluso “nuevos”, que no formaban parte de las castas coloniales basadas en la raza. Estos ejemplos, que llegan hasta comienzos del siglo XXI, reafirman una lección clave de la experiencia </w:t>
      </w:r>
      <w:r w:rsidR="00DC1A9F" w:rsidRPr="009257E7">
        <w:rPr>
          <w:lang w:val="es-ES"/>
        </w:rPr>
        <w:t>de</w:t>
      </w:r>
      <w:r w:rsidRPr="009257E7">
        <w:rPr>
          <w:lang w:val="es-ES"/>
        </w:rPr>
        <w:t xml:space="preserve"> luchas de largo plazo contra la injusticia sistémica: el progreso depende de algo más que </w:t>
      </w:r>
      <w:r w:rsidR="00DC1A9F" w:rsidRPr="009257E7">
        <w:rPr>
          <w:lang w:val="es-ES"/>
        </w:rPr>
        <w:t xml:space="preserve">de </w:t>
      </w:r>
      <w:r w:rsidRPr="009257E7">
        <w:rPr>
          <w:lang w:val="es-ES"/>
        </w:rPr>
        <w:t>la reforma jurídica formal.</w:t>
      </w:r>
    </w:p>
    <w:p w14:paraId="26BF0D29" w14:textId="02AB0786" w:rsidR="009F2DD2" w:rsidRPr="009257E7" w:rsidRDefault="009F2DD2" w:rsidP="009F2DD2">
      <w:pPr>
        <w:pStyle w:val="NormalWeb"/>
        <w:ind w:firstLine="720"/>
        <w:rPr>
          <w:lang w:val="es-ES"/>
        </w:rPr>
      </w:pPr>
      <w:r w:rsidRPr="009257E7">
        <w:rPr>
          <w:lang w:val="es-ES"/>
        </w:rPr>
        <w:t>El derecho es tanto un instrumento como un producto del colonialismo, del imperialismo y de la globalización. Como resultado, el derecho falla por diseño: con regularidad, desplaza los principios mediante el poder. Este statu quo arraigado depende tanto del derecho “privado” como de la violencia “pública”. Además, el arraigo jurídico de las castas coloniales descansa en ideologías identitarias de superioridad e inferioridad colectivizadas. El derecho, como ideología, convierte sistemáticamente las identidades en desigualdad. Y lo hace mediante, entre otras herramientas, ilusiones sociales y jurídicas que perpetúan los males sociales asociados con los sistemas de casta, al distraer de la realidad basada en evidencia y al retrasar y negar la justicia.</w:t>
      </w:r>
    </w:p>
    <w:p w14:paraId="2A36736E" w14:textId="77777777" w:rsidR="00EC2BB1" w:rsidRPr="009257E7" w:rsidRDefault="000F007C" w:rsidP="00EC2BB1">
      <w:pPr>
        <w:pStyle w:val="NormalWeb"/>
        <w:rPr>
          <w:b/>
          <w:bCs/>
          <w:lang w:val="es-ES"/>
        </w:rPr>
      </w:pPr>
      <w:r w:rsidRPr="009257E7">
        <w:rPr>
          <w:b/>
          <w:bCs/>
          <w:lang w:val="es-ES"/>
        </w:rPr>
        <w:t>1.5 Los males sociales —como el sexismo, el racismo y la homofobia— sostienen “ilusiones ideológicas de igualdad” para justificar desigualdades persistentes entre grupos</w:t>
      </w:r>
    </w:p>
    <w:p w14:paraId="2FE4CEB3" w14:textId="31314D3D" w:rsidR="006A4890" w:rsidRPr="009257E7" w:rsidRDefault="006A4890" w:rsidP="004E049C">
      <w:pPr>
        <w:pStyle w:val="NormalWeb"/>
        <w:ind w:firstLine="720"/>
        <w:rPr>
          <w:lang w:val="es-ES"/>
        </w:rPr>
      </w:pPr>
      <w:r w:rsidRPr="009257E7">
        <w:rPr>
          <w:lang w:val="es-ES"/>
        </w:rPr>
        <w:t>Mediante ficciones jurídicas y otras herramientas de manipulación, el derecho crea de manera intencional y sistemática “ilusiones ideológicas de igualdad” que convencen a muchas personas de su justicia</w:t>
      </w:r>
      <w:r w:rsidR="004E049C" w:rsidRPr="009257E7">
        <w:rPr>
          <w:lang w:val="es-ES"/>
        </w:rPr>
        <w:t>, tanto</w:t>
      </w:r>
      <w:r w:rsidRPr="009257E7">
        <w:rPr>
          <w:lang w:val="es-ES"/>
        </w:rPr>
        <w:t xml:space="preserve"> </w:t>
      </w:r>
      <w:r w:rsidR="004E049C" w:rsidRPr="009257E7">
        <w:rPr>
          <w:lang w:val="es-ES"/>
        </w:rPr>
        <w:t>mediant</w:t>
      </w:r>
      <w:r w:rsidRPr="009257E7">
        <w:rPr>
          <w:lang w:val="es-ES"/>
        </w:rPr>
        <w:t xml:space="preserve">e procesos conscientes </w:t>
      </w:r>
      <w:r w:rsidR="004E049C" w:rsidRPr="009257E7">
        <w:rPr>
          <w:lang w:val="es-ES"/>
        </w:rPr>
        <w:t>como</w:t>
      </w:r>
      <w:r w:rsidRPr="009257E7">
        <w:rPr>
          <w:lang w:val="es-ES"/>
        </w:rPr>
        <w:t xml:space="preserve"> inconscientes. Estas ilusiones pueden cegar el análisis y distorsionar la abogacía. Les abogades y activistas aprenden las falacias creadas por las castas identitarias sociales, que normalizan desde arriba los “ismos” y las “fobias”, y reaprenden cómo las identidades pueden usarse tanto para disfrazar problemas sociales como para movilizar </w:t>
      </w:r>
      <w:r w:rsidR="004E049C" w:rsidRPr="009257E7">
        <w:rPr>
          <w:lang w:val="es-ES"/>
        </w:rPr>
        <w:t xml:space="preserve">a </w:t>
      </w:r>
      <w:r w:rsidRPr="009257E7">
        <w:rPr>
          <w:lang w:val="es-ES"/>
        </w:rPr>
        <w:t>comunidades subordinadas.</w:t>
      </w:r>
    </w:p>
    <w:p w14:paraId="77DA784C" w14:textId="43CBF8C1" w:rsidR="006A4890" w:rsidRPr="009257E7" w:rsidRDefault="006A4890" w:rsidP="004E049C">
      <w:pPr>
        <w:pStyle w:val="NormalWeb"/>
        <w:ind w:firstLine="720"/>
        <w:rPr>
          <w:lang w:val="es-ES"/>
        </w:rPr>
      </w:pPr>
      <w:r w:rsidRPr="009257E7">
        <w:rPr>
          <w:lang w:val="es-ES"/>
        </w:rPr>
        <w:lastRenderedPageBreak/>
        <w:t xml:space="preserve">El académico crítico del derecho Charles Lawrence explora estas ilusiones ideológicas del derecho </w:t>
      </w:r>
      <w:r w:rsidR="004E049C" w:rsidRPr="009257E7">
        <w:rPr>
          <w:lang w:val="es-ES"/>
        </w:rPr>
        <w:t>desd</w:t>
      </w:r>
      <w:r w:rsidRPr="009257E7">
        <w:rPr>
          <w:lang w:val="es-ES"/>
        </w:rPr>
        <w:t xml:space="preserve">e un enfoque </w:t>
      </w:r>
      <w:r w:rsidR="004E049C" w:rsidRPr="009257E7">
        <w:rPr>
          <w:lang w:val="es-ES"/>
        </w:rPr>
        <w:t xml:space="preserve">centrado </w:t>
      </w:r>
      <w:r w:rsidRPr="009257E7">
        <w:rPr>
          <w:lang w:val="es-ES"/>
        </w:rPr>
        <w:t xml:space="preserve">en la “igualdad formal”. La igualdad formal surge de la promesa de “igualdad de oportunidades” promulgada por doctrinas judiciales centradas en la Cláusula de Igual Protección de la Decimocuarta Enmienda de la Constitución de </w:t>
      </w:r>
      <w:r w:rsidR="004E049C" w:rsidRPr="009257E7">
        <w:rPr>
          <w:lang w:val="es-ES"/>
        </w:rPr>
        <w:t xml:space="preserve">los </w:t>
      </w:r>
      <w:r w:rsidRPr="009257E7">
        <w:rPr>
          <w:lang w:val="es-ES"/>
        </w:rPr>
        <w:t xml:space="preserve">Estados Unidos, la disposición constitucional más litigada </w:t>
      </w:r>
      <w:r w:rsidR="00517FD0" w:rsidRPr="009257E7">
        <w:rPr>
          <w:lang w:val="es-ES"/>
        </w:rPr>
        <w:t>de</w:t>
      </w:r>
      <w:r w:rsidRPr="009257E7">
        <w:rPr>
          <w:lang w:val="es-ES"/>
        </w:rPr>
        <w:t xml:space="preserve"> la historia estadounidense. Lawrence reta a les abogades a considerar si las reglas, los sistemas y los resultados actuales —en </w:t>
      </w:r>
      <w:r w:rsidR="00517FD0" w:rsidRPr="009257E7">
        <w:rPr>
          <w:lang w:val="es-ES"/>
        </w:rPr>
        <w:t xml:space="preserve">los </w:t>
      </w:r>
      <w:r w:rsidRPr="009257E7">
        <w:rPr>
          <w:lang w:val="es-ES"/>
        </w:rPr>
        <w:t xml:space="preserve">Estados Unidos— están diseñados para la justicia igualitaria, o si todavía están diseñados para “solo nosotres”: es decir, para las élites coloniales y sus sucesores en interés. Lawrence muestra que las ideologías no solo ocultan y justifican los resultados del sistema jurídico, sino que también </w:t>
      </w:r>
      <w:r w:rsidR="00517FD0" w:rsidRPr="009257E7">
        <w:rPr>
          <w:lang w:val="es-ES"/>
        </w:rPr>
        <w:t>contribuye</w:t>
      </w:r>
      <w:r w:rsidRPr="009257E7">
        <w:rPr>
          <w:lang w:val="es-ES"/>
        </w:rPr>
        <w:t>n a producirlos. Exponer las ilusiones ideológicas del derecho es una labor activa, vital y orientada a la justicia. Por lo tanto, la pregunta de Lawrence permanece siempre en el centro: si la “justicia” es una ilusión ideológica para un sistema diseñado para beneficiar solo a algun</w:t>
      </w:r>
      <w:r w:rsidR="00EC492C" w:rsidRPr="009257E7">
        <w:rPr>
          <w:lang w:val="es-ES"/>
        </w:rPr>
        <w:t>o</w:t>
      </w:r>
      <w:r w:rsidRPr="009257E7">
        <w:rPr>
          <w:lang w:val="es-ES"/>
        </w:rPr>
        <w:t>s de “nosotr</w:t>
      </w:r>
      <w:r w:rsidR="00EC492C" w:rsidRPr="009257E7">
        <w:rPr>
          <w:lang w:val="es-ES"/>
        </w:rPr>
        <w:t>o</w:t>
      </w:r>
      <w:r w:rsidRPr="009257E7">
        <w:rPr>
          <w:lang w:val="es-ES"/>
        </w:rPr>
        <w:t>s”, mediante males sociales y problemas colectivos persistentes que reflejan y refuerzan las jerarquías identitarias originales.</w:t>
      </w:r>
    </w:p>
    <w:p w14:paraId="1346028F" w14:textId="2206C28F" w:rsidR="006A4890" w:rsidRPr="009257E7" w:rsidRDefault="006A4890" w:rsidP="00EC492C">
      <w:pPr>
        <w:pStyle w:val="NormalWeb"/>
        <w:ind w:firstLine="720"/>
        <w:rPr>
          <w:lang w:val="es-ES"/>
        </w:rPr>
      </w:pPr>
      <w:r w:rsidRPr="009257E7">
        <w:rPr>
          <w:lang w:val="es-ES"/>
        </w:rPr>
        <w:t>El derecho</w:t>
      </w:r>
      <w:r w:rsidR="00EC492C" w:rsidRPr="009257E7">
        <w:rPr>
          <w:lang w:val="es-ES"/>
        </w:rPr>
        <w:t>,</w:t>
      </w:r>
      <w:r w:rsidRPr="009257E7">
        <w:rPr>
          <w:lang w:val="es-ES"/>
        </w:rPr>
        <w:t xml:space="preserve"> como ideología</w:t>
      </w:r>
      <w:r w:rsidR="00EC492C" w:rsidRPr="009257E7">
        <w:rPr>
          <w:lang w:val="es-ES"/>
        </w:rPr>
        <w:t>,</w:t>
      </w:r>
      <w:r w:rsidRPr="009257E7">
        <w:rPr>
          <w:lang w:val="es-ES"/>
        </w:rPr>
        <w:t xml:space="preserve"> ayuda a moldear la conciencia </w:t>
      </w:r>
      <w:r w:rsidR="00EC492C" w:rsidRPr="009257E7">
        <w:rPr>
          <w:lang w:val="es-ES"/>
        </w:rPr>
        <w:t>en</w:t>
      </w:r>
      <w:r w:rsidRPr="009257E7">
        <w:rPr>
          <w:lang w:val="es-ES"/>
        </w:rPr>
        <w:t xml:space="preserve"> grupos, organizaciones y la sociedad. Las élites han usado el derecho de </w:t>
      </w:r>
      <w:r w:rsidR="00EC492C" w:rsidRPr="009257E7">
        <w:rPr>
          <w:lang w:val="es-ES"/>
        </w:rPr>
        <w:t>maner</w:t>
      </w:r>
      <w:r w:rsidRPr="009257E7">
        <w:rPr>
          <w:lang w:val="es-ES"/>
        </w:rPr>
        <w:t xml:space="preserve">a ideológica para crear normas y entendimientos </w:t>
      </w:r>
      <w:r w:rsidR="00EC492C" w:rsidRPr="009257E7">
        <w:rPr>
          <w:lang w:val="es-ES"/>
        </w:rPr>
        <w:t>amplia</w:t>
      </w:r>
      <w:r w:rsidRPr="009257E7">
        <w:rPr>
          <w:lang w:val="es-ES"/>
        </w:rPr>
        <w:t xml:space="preserve">mente aceptados que justifican patrones de dominación y subordinación. Cuando estas ideas que justifican el sistema son absorbidas y las reglas son aceptadas tanto por quienes se benefician de las ideologías como por </w:t>
      </w:r>
      <w:r w:rsidR="00EC492C" w:rsidRPr="009257E7">
        <w:rPr>
          <w:lang w:val="es-ES"/>
        </w:rPr>
        <w:t xml:space="preserve">los </w:t>
      </w:r>
      <w:r w:rsidRPr="009257E7">
        <w:rPr>
          <w:lang w:val="es-ES"/>
        </w:rPr>
        <w:t>integrantes de grupos subordinados, el resultado es la hegemonía. Así, la hegemonía existe cuando todo el mundo —dominantes y subordinades por igual— no puede atravesar los velos y las ilusiones que encubren los resultados desiguales del sistema. El propósito de la supremacía ideológica o hegemonía es anticiparse a la voluntad o a la capacidad de desafiar la desigualdad. Así, el fracaso por diseño se considera normal, correcto y justo.</w:t>
      </w:r>
    </w:p>
    <w:p w14:paraId="7FDCE0AB" w14:textId="7922C522" w:rsidR="006A4890" w:rsidRPr="009257E7" w:rsidRDefault="006A4890" w:rsidP="009B448A">
      <w:pPr>
        <w:pStyle w:val="NormalWeb"/>
        <w:ind w:firstLine="720"/>
        <w:rPr>
          <w:lang w:val="es-ES"/>
        </w:rPr>
      </w:pPr>
      <w:r w:rsidRPr="009257E7">
        <w:rPr>
          <w:lang w:val="es-ES"/>
        </w:rPr>
        <w:t xml:space="preserve">Las élites aspiran a la hegemonía precisamente porque </w:t>
      </w:r>
      <w:r w:rsidR="009B448A" w:rsidRPr="009257E7">
        <w:rPr>
          <w:lang w:val="es-ES"/>
        </w:rPr>
        <w:t>sitú</w:t>
      </w:r>
      <w:r w:rsidRPr="009257E7">
        <w:rPr>
          <w:lang w:val="es-ES"/>
        </w:rPr>
        <w:t>a</w:t>
      </w:r>
      <w:r w:rsidR="009B448A" w:rsidRPr="009257E7">
        <w:rPr>
          <w:lang w:val="es-ES"/>
        </w:rPr>
        <w:t>n</w:t>
      </w:r>
      <w:r w:rsidRPr="009257E7">
        <w:rPr>
          <w:lang w:val="es-ES"/>
        </w:rPr>
        <w:t xml:space="preserve"> el dominio colectivo fuera de cualquier desafío serio. Las hegemonías pueden llegar a ser aceptadas y protegidas </w:t>
      </w:r>
      <w:r w:rsidR="009B448A" w:rsidRPr="009257E7">
        <w:rPr>
          <w:lang w:val="es-ES"/>
        </w:rPr>
        <w:t xml:space="preserve">tanto </w:t>
      </w:r>
      <w:r w:rsidRPr="009257E7">
        <w:rPr>
          <w:lang w:val="es-ES"/>
        </w:rPr>
        <w:t xml:space="preserve">por quienes están abajo como por quienes están arriba. Con el tiempo, las hegemonías vinculan conceptos jurídicos con ideas y marcos naturales o culturales para justificar sistemas de casta que, de forma incremental, llegan a ser aceptados por la mayoría de las personas la mayor parte del tiempo. Los campos de juego de la democracia y la adjudicación —así como los de la economía y la cultura— se construyen de </w:t>
      </w:r>
      <w:r w:rsidR="009B448A" w:rsidRPr="009257E7">
        <w:rPr>
          <w:lang w:val="es-ES"/>
        </w:rPr>
        <w:t>maner</w:t>
      </w:r>
      <w:r w:rsidRPr="009257E7">
        <w:rPr>
          <w:lang w:val="es-ES"/>
        </w:rPr>
        <w:t>a desigual, pero se llaman “justos”. Las hegemonías más exitosas reclutan la participación de las personas subordinadas en su propia subordinación continua. Al usar el derecho laboral estadounidense contemporáneo como ejemplo adecuado, el académico crítico del trabajo Karl Klare observó que:</w:t>
      </w:r>
    </w:p>
    <w:p w14:paraId="66458E8E" w14:textId="384DD623" w:rsidR="003D2679" w:rsidRPr="009257E7" w:rsidRDefault="003D2679" w:rsidP="00D818ED">
      <w:pPr>
        <w:pStyle w:val="NormalWeb"/>
        <w:ind w:left="720"/>
        <w:rPr>
          <w:lang w:val="es-ES"/>
        </w:rPr>
      </w:pPr>
      <w:r w:rsidRPr="009257E7">
        <w:rPr>
          <w:lang w:val="es-ES"/>
        </w:rPr>
        <w:t xml:space="preserve">[L]a legislación sobre la negociación colectiva articula una ideología que busca legitimar y justificar una jerarquía y una dominación innecesarias y destructivas en el lugar de trabajo [...] [y ha] desarrollado una arquitectura institucional. [...] No contempla a los sindicatos como representantes vigorosos y desinhibidos de los intereses de les empleades. Más bien, busca colocar a los sindicatos en </w:t>
      </w:r>
      <w:r w:rsidR="00D818ED" w:rsidRPr="009257E7">
        <w:rPr>
          <w:lang w:val="es-ES"/>
        </w:rPr>
        <w:t>un</w:t>
      </w:r>
      <w:r w:rsidRPr="009257E7">
        <w:rPr>
          <w:lang w:val="es-ES"/>
        </w:rPr>
        <w:t>a posición incómoda</w:t>
      </w:r>
      <w:r w:rsidR="00D818ED" w:rsidRPr="009257E7">
        <w:rPr>
          <w:lang w:val="es-ES"/>
        </w:rPr>
        <w:t>:</w:t>
      </w:r>
      <w:r w:rsidRPr="009257E7">
        <w:rPr>
          <w:lang w:val="es-ES"/>
        </w:rPr>
        <w:t xml:space="preserve"> servir como fiduciarios de un interés social imaginado en la paz industrial y cumplir funciones gerenciales y disciplinarias específicas. [...] [L]a doctrina de la legislación sobre la negociación colectiva ha sido moldeada de manera sistemática, </w:t>
      </w:r>
      <w:r w:rsidR="00D44840" w:rsidRPr="009257E7">
        <w:rPr>
          <w:lang w:val="es-ES"/>
        </w:rPr>
        <w:t>en</w:t>
      </w:r>
      <w:r w:rsidRPr="009257E7">
        <w:rPr>
          <w:lang w:val="es-ES"/>
        </w:rPr>
        <w:t xml:space="preserve"> </w:t>
      </w:r>
      <w:r w:rsidR="00D44840" w:rsidRPr="009257E7">
        <w:rPr>
          <w:lang w:val="es-ES"/>
        </w:rPr>
        <w:t>particular</w:t>
      </w:r>
      <w:r w:rsidRPr="009257E7">
        <w:rPr>
          <w:lang w:val="es-ES"/>
        </w:rPr>
        <w:t xml:space="preserve"> </w:t>
      </w:r>
      <w:r w:rsidR="00D44840" w:rsidRPr="009257E7">
        <w:rPr>
          <w:lang w:val="es-ES"/>
        </w:rPr>
        <w:t>por</w:t>
      </w:r>
      <w:r w:rsidRPr="009257E7">
        <w:rPr>
          <w:lang w:val="es-ES"/>
        </w:rPr>
        <w:t xml:space="preserve"> la Corte Suprema, para servir a estos fines. [...]</w:t>
      </w:r>
    </w:p>
    <w:p w14:paraId="157ACEF5" w14:textId="254CB70D" w:rsidR="003D2679" w:rsidRPr="009257E7" w:rsidRDefault="003D2679" w:rsidP="00D44840">
      <w:pPr>
        <w:pStyle w:val="NormalWeb"/>
        <w:ind w:left="720"/>
        <w:rPr>
          <w:lang w:val="es-ES"/>
        </w:rPr>
      </w:pPr>
      <w:r w:rsidRPr="009257E7">
        <w:rPr>
          <w:lang w:val="es-ES"/>
        </w:rPr>
        <w:lastRenderedPageBreak/>
        <w:t xml:space="preserve">En suma, el pensamiento liberal tradicional del derecho laboral ha enfrentado el </w:t>
      </w:r>
      <w:proofErr w:type="gramStart"/>
      <w:r w:rsidRPr="009257E7">
        <w:rPr>
          <w:lang w:val="es-ES"/>
        </w:rPr>
        <w:t xml:space="preserve">desafío </w:t>
      </w:r>
      <w:r w:rsidR="00D44840" w:rsidRPr="009257E7">
        <w:rPr>
          <w:lang w:val="es-ES"/>
        </w:rPr>
        <w:t xml:space="preserve"> e</w:t>
      </w:r>
      <w:r w:rsidRPr="009257E7">
        <w:rPr>
          <w:lang w:val="es-ES"/>
        </w:rPr>
        <w:t>normemente</w:t>
      </w:r>
      <w:proofErr w:type="gramEnd"/>
      <w:r w:rsidRPr="009257E7">
        <w:rPr>
          <w:lang w:val="es-ES"/>
        </w:rPr>
        <w:t xml:space="preserve"> complejo de inducir a les trabajadores organizades a consentir y participa</w:t>
      </w:r>
      <w:r w:rsidR="00D44840" w:rsidRPr="009257E7">
        <w:rPr>
          <w:lang w:val="es-ES"/>
        </w:rPr>
        <w:t xml:space="preserve">r </w:t>
      </w:r>
      <w:r w:rsidRPr="009257E7">
        <w:rPr>
          <w:lang w:val="es-ES"/>
        </w:rPr>
        <w:t>en su propia dominación en el lugar de trabajo. [...]</w:t>
      </w:r>
    </w:p>
    <w:p w14:paraId="236239AA" w14:textId="5E9431C0" w:rsidR="003D2679" w:rsidRPr="009257E7" w:rsidRDefault="003D2679" w:rsidP="00D44840">
      <w:pPr>
        <w:pStyle w:val="NormalWeb"/>
        <w:ind w:left="720"/>
        <w:rPr>
          <w:lang w:val="es-ES"/>
        </w:rPr>
      </w:pPr>
      <w:r w:rsidRPr="009257E7">
        <w:rPr>
          <w:lang w:val="es-ES"/>
        </w:rPr>
        <w:t>[...] La tarea de la jurisprudencia laboral crítica es determinar cómo y por qué incluso la regulación estatal más progresista, luchada y conquistada por les victimizades y oprimides, puede implementarse de una manera que desvíe y desmoralice la participación popular y que, mediante la cooptación de la lucha popular, refuerce en última instancia la infraestructura institucional del capitalismo.</w:t>
      </w:r>
      <w:r w:rsidR="00BD4F43" w:rsidRPr="009257E7">
        <w:rPr>
          <w:rStyle w:val="FootnoteReference"/>
          <w:lang w:val="es-ES"/>
        </w:rPr>
        <w:footnoteReference w:id="41"/>
      </w:r>
    </w:p>
    <w:p w14:paraId="0A4AEC21" w14:textId="739263BE" w:rsidR="003D2679" w:rsidRPr="009257E7" w:rsidRDefault="003D2679" w:rsidP="00BD4F43">
      <w:pPr>
        <w:pStyle w:val="NormalWeb"/>
        <w:ind w:firstLine="720"/>
        <w:rPr>
          <w:lang w:val="es-ES"/>
        </w:rPr>
      </w:pPr>
      <w:r w:rsidRPr="009257E7">
        <w:rPr>
          <w:lang w:val="es-ES"/>
        </w:rPr>
        <w:t>El derecho</w:t>
      </w:r>
      <w:r w:rsidR="00BD4F43" w:rsidRPr="009257E7">
        <w:rPr>
          <w:lang w:val="es-ES"/>
        </w:rPr>
        <w:t>,</w:t>
      </w:r>
      <w:r w:rsidRPr="009257E7">
        <w:rPr>
          <w:lang w:val="es-ES"/>
        </w:rPr>
        <w:t xml:space="preserve"> como ideología</w:t>
      </w:r>
      <w:r w:rsidR="00BD4F43" w:rsidRPr="009257E7">
        <w:rPr>
          <w:lang w:val="es-ES"/>
        </w:rPr>
        <w:t>,</w:t>
      </w:r>
      <w:r w:rsidRPr="009257E7">
        <w:rPr>
          <w:lang w:val="es-ES"/>
        </w:rPr>
        <w:t xml:space="preserve"> opera para promover, aunque no siempre para perfeccionar, la hegemonía: un baluarte que puede hacer que el Desafío Crítico parezca impenetrable. Al hacerlo, interactúa con otros sistemas de creencias aparentemente legítimos que también funcionan como ideologías para ocultar las desigualdades. Por ejemplo, la ciencia, quizás el sistema de creencias más </w:t>
      </w:r>
      <w:proofErr w:type="gramStart"/>
      <w:r w:rsidRPr="009257E7">
        <w:rPr>
          <w:lang w:val="es-ES"/>
        </w:rPr>
        <w:t>estimado,</w:t>
      </w:r>
      <w:proofErr w:type="gramEnd"/>
      <w:r w:rsidRPr="009257E7">
        <w:rPr>
          <w:lang w:val="es-ES"/>
        </w:rPr>
        <w:t xml:space="preserve"> puede funcionar como ideología. La ciencia no produce simplemente “conocimiento científico” sobre el cual puedan basarse decisiones “objetivas”; también produce conocimiento ideológico politizado para la toma de decisiones que refuerza las castas sociales, a menudo en interacción con el derecho</w:t>
      </w:r>
      <w:r w:rsidR="00051B94" w:rsidRPr="009257E7">
        <w:rPr>
          <w:rStyle w:val="FootnoteReference"/>
          <w:lang w:val="es-ES"/>
        </w:rPr>
        <w:footnoteReference w:id="42"/>
      </w:r>
      <w:r w:rsidRPr="009257E7">
        <w:rPr>
          <w:lang w:val="es-ES"/>
        </w:rPr>
        <w:t>.</w:t>
      </w:r>
    </w:p>
    <w:p w14:paraId="4832D355" w14:textId="77777777" w:rsidR="00E640D5" w:rsidRPr="009257E7" w:rsidRDefault="003D2679" w:rsidP="00537040">
      <w:pPr>
        <w:pStyle w:val="NormalWeb"/>
        <w:ind w:firstLine="720"/>
        <w:rPr>
          <w:lang w:val="es-ES"/>
        </w:rPr>
      </w:pPr>
      <w:r w:rsidRPr="009257E7">
        <w:rPr>
          <w:lang w:val="es-ES"/>
        </w:rPr>
        <w:t xml:space="preserve">En respuesta, les abogades y </w:t>
      </w:r>
      <w:r w:rsidR="00051B94" w:rsidRPr="009257E7">
        <w:rPr>
          <w:lang w:val="es-ES"/>
        </w:rPr>
        <w:t xml:space="preserve">les </w:t>
      </w:r>
      <w:r w:rsidRPr="009257E7">
        <w:rPr>
          <w:lang w:val="es-ES"/>
        </w:rPr>
        <w:t xml:space="preserve">activistas resisten la hegemonía al reformular sus comprensiones de los problemas </w:t>
      </w:r>
      <w:r w:rsidR="00051B94" w:rsidRPr="009257E7">
        <w:rPr>
          <w:lang w:val="es-ES"/>
        </w:rPr>
        <w:t xml:space="preserve">y las identidades sociales, así como al crear recursos culturales y económicos en el nivel de la conciencia individual, del pensamiento intergrupal e </w:t>
      </w:r>
      <w:proofErr w:type="spellStart"/>
      <w:r w:rsidR="00051B94" w:rsidRPr="009257E7">
        <w:rPr>
          <w:lang w:val="es-ES"/>
        </w:rPr>
        <w:t>intragrupal</w:t>
      </w:r>
      <w:proofErr w:type="spellEnd"/>
      <w:r w:rsidRPr="009257E7">
        <w:rPr>
          <w:lang w:val="es-ES"/>
        </w:rPr>
        <w:t xml:space="preserve"> y de las creencias dominantes. El derecho —tal como se expresa en la doctrina y se experimenta en la práctica— ofrece oportunidades tanto para el adoctrinamiento como para la resistencia. Aun así, las élites propagan ilusiones e intentan silenciar, negar o suprimir las alternativas críticas frente a ellas. Procuran una hegemonía social y jurídica totalizante: el descrédito de todas las ideas, fuentes e instituciones que exponen las ilusiones sistémicas de igualdad. Con el tiempo, los males sociales crónicos se convierten en sí mismos en una forma de violencia.</w:t>
      </w:r>
      <w:r w:rsidR="00537040" w:rsidRPr="009257E7">
        <w:rPr>
          <w:lang w:val="es-ES"/>
        </w:rPr>
        <w:br/>
      </w:r>
      <w:r w:rsidR="000F007C" w:rsidRPr="009257E7">
        <w:rPr>
          <w:lang w:val="es-ES"/>
        </w:rPr>
        <w:br/>
      </w:r>
      <w:r w:rsidR="000F007C" w:rsidRPr="009257E7">
        <w:rPr>
          <w:b/>
          <w:bCs/>
          <w:lang w:val="es-ES"/>
        </w:rPr>
        <w:t>1.6 La injusticia crónica es violencia sistémica</w:t>
      </w:r>
    </w:p>
    <w:p w14:paraId="5383A046" w14:textId="47EA8E3C" w:rsidR="00E640D5" w:rsidRPr="009257E7" w:rsidRDefault="00E640D5" w:rsidP="009B0567">
      <w:pPr>
        <w:pStyle w:val="NormalWeb"/>
        <w:ind w:firstLine="720"/>
        <w:rPr>
          <w:lang w:val="es-ES"/>
        </w:rPr>
      </w:pPr>
      <w:r w:rsidRPr="009257E7">
        <w:rPr>
          <w:lang w:val="es-ES"/>
        </w:rPr>
        <w:t xml:space="preserve">Usamos “injusticia sistémica” de manera intercambiable con “violencia sistémica” porque ambos términos son, en efecto, sinónimos. La injusticia sistémica —o violencia sistémica— es, por tanto, la producción y redistribución rutinaria de desventajas a grupos sociales subordinados, acompañada simultáneamente </w:t>
      </w:r>
      <w:r w:rsidR="009B0567" w:rsidRPr="009257E7">
        <w:rPr>
          <w:lang w:val="es-ES"/>
        </w:rPr>
        <w:t>de</w:t>
      </w:r>
      <w:r w:rsidRPr="009257E7">
        <w:rPr>
          <w:lang w:val="es-ES"/>
        </w:rPr>
        <w:t xml:space="preserve"> ventajas correlativas para los grupos privilegiados. El costo acumulativo</w:t>
      </w:r>
      <w:r w:rsidR="009B0567" w:rsidRPr="009257E7">
        <w:rPr>
          <w:lang w:val="es-ES"/>
        </w:rPr>
        <w:t xml:space="preserve"> siempre</w:t>
      </w:r>
      <w:r w:rsidRPr="009257E7">
        <w:rPr>
          <w:lang w:val="es-ES"/>
        </w:rPr>
        <w:t xml:space="preserve"> crea estrés, sufrimiento, privación, preocupación, enfermedad y aislamiento persistentes y crónicos para integrantes de grupos subordinados: una agresión enorme contra la dignidad, la seguridad física, la prosperidad y la seguridad material. Día tras día, década tras década, la humillación y el riesgo se normalizan. En su efecto acumulativo, la injusticia sistémica se vuelve reconocible como violencia sistémica.</w:t>
      </w:r>
    </w:p>
    <w:p w14:paraId="7BA87458" w14:textId="1F7C9837" w:rsidR="00E640D5" w:rsidRPr="009257E7" w:rsidRDefault="00E640D5" w:rsidP="004008AC">
      <w:pPr>
        <w:pStyle w:val="NormalWeb"/>
        <w:ind w:firstLine="720"/>
        <w:rPr>
          <w:lang w:val="es-ES"/>
        </w:rPr>
      </w:pPr>
      <w:r w:rsidRPr="009257E7">
        <w:rPr>
          <w:lang w:val="es-ES"/>
        </w:rPr>
        <w:lastRenderedPageBreak/>
        <w:t>No sorprende que la violencia sistémica no siempre conm</w:t>
      </w:r>
      <w:r w:rsidR="004008AC" w:rsidRPr="009257E7">
        <w:rPr>
          <w:lang w:val="es-ES"/>
        </w:rPr>
        <w:t>ueva</w:t>
      </w:r>
      <w:r w:rsidRPr="009257E7">
        <w:rPr>
          <w:lang w:val="es-ES"/>
        </w:rPr>
        <w:t xml:space="preserve"> la conciencia contemporánea, aunque con frecuencia resulte estremecedora en retrospectiva. Muchas de las instancias rutinarias, a veces burocratizadas, de violencia sistémica en la historia se reconocen hoy como horribles. Por ejemplo, el apartheid sudafricano, el Holocausto alemán y los linchamientos de Jim Crow en el sur de Estados Unidos se consideran hoy ejemplos extremos de violencia sistémica, pero muchas personas los respaldaron mientras ocurrían. Aparentemente, esos ejemplos no parecían horribles para muchas de las personas que los diseñaron o que sirvieron como soldados de primera línea en las instituciones que imponían castigos o hacían cumplir </w:t>
      </w:r>
      <w:r w:rsidR="001223BC" w:rsidRPr="009257E7">
        <w:rPr>
          <w:lang w:val="es-ES"/>
        </w:rPr>
        <w:t>norm</w:t>
      </w:r>
      <w:r w:rsidRPr="009257E7">
        <w:rPr>
          <w:lang w:val="es-ES"/>
        </w:rPr>
        <w:t xml:space="preserve">as de casta basadas en la identidad. La </w:t>
      </w:r>
      <w:r w:rsidR="001223BC" w:rsidRPr="009257E7">
        <w:rPr>
          <w:lang w:val="es-ES"/>
        </w:rPr>
        <w:t>literatura</w:t>
      </w:r>
      <w:r w:rsidRPr="009257E7">
        <w:rPr>
          <w:lang w:val="es-ES"/>
        </w:rPr>
        <w:t xml:space="preserve"> </w:t>
      </w:r>
      <w:r w:rsidR="001223BC" w:rsidRPr="009257E7">
        <w:rPr>
          <w:lang w:val="es-ES"/>
        </w:rPr>
        <w:t xml:space="preserve">creciente </w:t>
      </w:r>
      <w:r w:rsidRPr="009257E7">
        <w:rPr>
          <w:lang w:val="es-ES"/>
        </w:rPr>
        <w:t xml:space="preserve">sobre “The New Jim Crow” del encarcelamiento masivo ilustra cómo los patrones actuales de violencia sistémica se conectan con eras que hoy se reconocen ampliamente como brutales y opresivas: el “viejo” Jim Crow y los días </w:t>
      </w:r>
      <w:r w:rsidR="001223BC" w:rsidRPr="009257E7">
        <w:rPr>
          <w:lang w:val="es-ES"/>
        </w:rPr>
        <w:t>previo</w:t>
      </w:r>
      <w:r w:rsidRPr="009257E7">
        <w:rPr>
          <w:lang w:val="es-ES"/>
        </w:rPr>
        <w:t>s a la Guerra Civil, marcados por la esclavización racializada</w:t>
      </w:r>
      <w:r w:rsidR="000A4A57" w:rsidRPr="009257E7">
        <w:rPr>
          <w:rStyle w:val="FootnoteReference"/>
          <w:lang w:val="es-ES"/>
        </w:rPr>
        <w:footnoteReference w:id="43"/>
      </w:r>
      <w:r w:rsidRPr="009257E7">
        <w:rPr>
          <w:lang w:val="es-ES"/>
        </w:rPr>
        <w:t>.</w:t>
      </w:r>
    </w:p>
    <w:p w14:paraId="088448C9" w14:textId="4E7F2D4E" w:rsidR="00E640D5" w:rsidRPr="009257E7" w:rsidRDefault="00E640D5" w:rsidP="001223BC">
      <w:pPr>
        <w:pStyle w:val="NormalWeb"/>
        <w:ind w:firstLine="720"/>
        <w:rPr>
          <w:lang w:val="es-ES"/>
        </w:rPr>
      </w:pPr>
      <w:r w:rsidRPr="009257E7">
        <w:rPr>
          <w:lang w:val="es-ES"/>
        </w:rPr>
        <w:t xml:space="preserve">Mientras ocurre, la injusticia sistémica es “solo” una rutina diaria que, con el tiempo, adormece la conciencia. Las injusticias sistémicas y las creencias que justifican el sistema, que las ocultan y </w:t>
      </w:r>
      <w:r w:rsidR="000A4A57" w:rsidRPr="009257E7">
        <w:rPr>
          <w:lang w:val="es-ES"/>
        </w:rPr>
        <w:t xml:space="preserve">las </w:t>
      </w:r>
      <w:r w:rsidRPr="009257E7">
        <w:rPr>
          <w:lang w:val="es-ES"/>
        </w:rPr>
        <w:t xml:space="preserve">sostienen, pueden </w:t>
      </w:r>
      <w:r w:rsidR="000A4A57" w:rsidRPr="009257E7">
        <w:rPr>
          <w:lang w:val="es-ES"/>
        </w:rPr>
        <w:t>impugnarse</w:t>
      </w:r>
      <w:r w:rsidRPr="009257E7">
        <w:rPr>
          <w:lang w:val="es-ES"/>
        </w:rPr>
        <w:t>. Pero la pregunta se vuelve</w:t>
      </w:r>
      <w:r w:rsidR="000A4A57" w:rsidRPr="009257E7">
        <w:rPr>
          <w:lang w:val="es-ES"/>
        </w:rPr>
        <w:t>:</w:t>
      </w:r>
      <w:r w:rsidRPr="009257E7">
        <w:rPr>
          <w:lang w:val="es-ES"/>
        </w:rPr>
        <w:t xml:space="preserve"> </w:t>
      </w:r>
      <w:r w:rsidR="000A4A57" w:rsidRPr="009257E7">
        <w:rPr>
          <w:lang w:val="es-ES"/>
        </w:rPr>
        <w:t>¿</w:t>
      </w:r>
      <w:r w:rsidRPr="009257E7">
        <w:rPr>
          <w:lang w:val="es-ES"/>
        </w:rPr>
        <w:t>cambiarán las injusticias o solo las justificaciones</w:t>
      </w:r>
      <w:r w:rsidR="000A4A57" w:rsidRPr="009257E7">
        <w:rPr>
          <w:lang w:val="es-ES"/>
        </w:rPr>
        <w:t>?</w:t>
      </w:r>
      <w:r w:rsidRPr="009257E7">
        <w:rPr>
          <w:lang w:val="es-ES"/>
        </w:rPr>
        <w:t xml:space="preserve"> Tómese, por ejemplo, la ocupación continua y brutal de comunidades palestinas en Cisjordania y Gaza, normalizada durante décadas por la mayoría de las personas y naciones del mundo, pero ahora sometida a escrutinio. Los ataques despiadados de Hamás del 7 de octubre de 2023 contra civiles israelíes y de otros lugares abrieron la puerta a la violencia genocida israelí-estadounidense contra civiles palestin</w:t>
      </w:r>
      <w:r w:rsidR="000A4A57" w:rsidRPr="009257E7">
        <w:rPr>
          <w:lang w:val="es-ES"/>
        </w:rPr>
        <w:t>o</w:t>
      </w:r>
      <w:r w:rsidRPr="009257E7">
        <w:rPr>
          <w:lang w:val="es-ES"/>
        </w:rPr>
        <w:t xml:space="preserve">s en Gaza. Omar El Akkad, escritor palestino, señaló la disonancia creada cuando la opresión </w:t>
      </w:r>
      <w:proofErr w:type="spellStart"/>
      <w:r w:rsidRPr="009257E7">
        <w:rPr>
          <w:lang w:val="es-ES"/>
        </w:rPr>
        <w:t>antipalestina</w:t>
      </w:r>
      <w:proofErr w:type="spellEnd"/>
      <w:r w:rsidRPr="009257E7">
        <w:rPr>
          <w:lang w:val="es-ES"/>
        </w:rPr>
        <w:t xml:space="preserve"> quedó a</w:t>
      </w:r>
      <w:r w:rsidR="000A4A57" w:rsidRPr="009257E7">
        <w:rPr>
          <w:lang w:val="es-ES"/>
        </w:rPr>
        <w:t>l</w:t>
      </w:r>
      <w:r w:rsidRPr="009257E7">
        <w:rPr>
          <w:lang w:val="es-ES"/>
        </w:rPr>
        <w:t xml:space="preserve"> </w:t>
      </w:r>
      <w:r w:rsidR="000A4A57" w:rsidRPr="009257E7">
        <w:rPr>
          <w:lang w:val="es-ES"/>
        </w:rPr>
        <w:t>descubierto</w:t>
      </w:r>
      <w:r w:rsidRPr="009257E7">
        <w:rPr>
          <w:lang w:val="es-ES"/>
        </w:rPr>
        <w:t>. Preguntó si esa disonancia se resolverá con mayor justicia o con nuevas racionalizaciones: “Algún día, cuando sea seguro, cuando no haya costo personal por llamar a una cosa por su nombre, cuando sea demasiado tarde para responsabilizar a alguien, todo el mundo siempre habrá estado en contra de esto”</w:t>
      </w:r>
      <w:r w:rsidR="00D90A29" w:rsidRPr="009257E7">
        <w:rPr>
          <w:rStyle w:val="FootnoteReference"/>
          <w:lang w:val="es-ES"/>
        </w:rPr>
        <w:footnoteReference w:id="44"/>
      </w:r>
      <w:r w:rsidRPr="009257E7">
        <w:rPr>
          <w:lang w:val="es-ES"/>
        </w:rPr>
        <w:t xml:space="preserve">. ¿Qué verá y cambiará exactamente “todo el mundo”: la violencia extraordinaria del genocidio en Gaza, la violencia rutinaria de la ocupación israelí o solo las justificaciones personales y sociales? Les </w:t>
      </w:r>
      <w:proofErr w:type="spellStart"/>
      <w:r w:rsidRPr="009257E7">
        <w:rPr>
          <w:lang w:val="es-ES"/>
        </w:rPr>
        <w:t>académicxs</w:t>
      </w:r>
      <w:proofErr w:type="spellEnd"/>
      <w:r w:rsidRPr="009257E7">
        <w:rPr>
          <w:lang w:val="es-ES"/>
        </w:rPr>
        <w:t xml:space="preserve"> Jon y Kathleen Hanson señalaron un patrón incómodo que perpetúa las inequidades: las racionalizaciones tienden a cambiar, mientras que la violencia sistémica </w:t>
      </w:r>
      <w:r w:rsidR="00D90A29" w:rsidRPr="009257E7">
        <w:rPr>
          <w:lang w:val="es-ES"/>
        </w:rPr>
        <w:t>tiende</w:t>
      </w:r>
      <w:r w:rsidRPr="009257E7">
        <w:rPr>
          <w:lang w:val="es-ES"/>
        </w:rPr>
        <w:t xml:space="preserve"> a persistir.</w:t>
      </w:r>
    </w:p>
    <w:p w14:paraId="15701B0E" w14:textId="44B3DBE6" w:rsidR="0088737E" w:rsidRPr="009257E7" w:rsidRDefault="0088737E" w:rsidP="004242F4">
      <w:pPr>
        <w:pStyle w:val="NormalWeb"/>
        <w:ind w:left="720"/>
        <w:rPr>
          <w:lang w:val="es-ES"/>
        </w:rPr>
      </w:pPr>
      <w:r w:rsidRPr="009257E7">
        <w:rPr>
          <w:lang w:val="es-ES"/>
        </w:rPr>
        <w:t>[E]n lugar de percibir las desigualdades [históricas y continuas] como contradicciones de los ideales estadounidenses, los grupos con poder —e incluso los grupos sin poder— han justificado y legitimado esas disparidades con un arsenal de argumentos, supuestos y estereotipos. [...] [Esto plantea] la pregunta inquietante [...]: ¿somos hoy tan diferentes? ¿Son las desigualdades existentes evidencia de opresión e injusticia continuas que simplemente hemos cubierto con un sistema modernizado de racionalizaciones?</w:t>
      </w:r>
      <w:r w:rsidR="0059238F" w:rsidRPr="009257E7">
        <w:rPr>
          <w:rStyle w:val="FootnoteReference"/>
          <w:lang w:val="es-ES"/>
        </w:rPr>
        <w:footnoteReference w:id="45"/>
      </w:r>
      <w:r w:rsidR="0059238F" w:rsidRPr="009257E7">
        <w:rPr>
          <w:lang w:val="es-ES"/>
        </w:rPr>
        <w:t xml:space="preserve"> </w:t>
      </w:r>
    </w:p>
    <w:p w14:paraId="08CAB544" w14:textId="326F6A14" w:rsidR="0088737E" w:rsidRPr="009257E7" w:rsidRDefault="0088737E" w:rsidP="0059238F">
      <w:pPr>
        <w:pStyle w:val="NormalWeb"/>
        <w:ind w:firstLine="720"/>
        <w:rPr>
          <w:lang w:val="es-ES"/>
        </w:rPr>
      </w:pPr>
      <w:r w:rsidRPr="009257E7">
        <w:rPr>
          <w:lang w:val="es-ES"/>
        </w:rPr>
        <w:t xml:space="preserve">Cada generación espera que la violencia sistémica horrible disminuya. Sin embargo, innumerables actores jurídicos desempeñan </w:t>
      </w:r>
      <w:r w:rsidR="0059238F" w:rsidRPr="009257E7">
        <w:rPr>
          <w:lang w:val="es-ES"/>
        </w:rPr>
        <w:t>un papel</w:t>
      </w:r>
      <w:r w:rsidRPr="009257E7">
        <w:rPr>
          <w:lang w:val="es-ES"/>
        </w:rPr>
        <w:t xml:space="preserve"> clave en los mecanismos que </w:t>
      </w:r>
      <w:r w:rsidR="0059238F" w:rsidRPr="009257E7">
        <w:rPr>
          <w:lang w:val="es-ES"/>
        </w:rPr>
        <w:t xml:space="preserve">perpetúan de manera </w:t>
      </w:r>
      <w:r w:rsidRPr="009257E7">
        <w:rPr>
          <w:lang w:val="es-ES"/>
        </w:rPr>
        <w:t>continua</w:t>
      </w:r>
      <w:r w:rsidR="0059238F" w:rsidRPr="009257E7">
        <w:rPr>
          <w:lang w:val="es-ES"/>
        </w:rPr>
        <w:t xml:space="preserve"> la violencia sistémica</w:t>
      </w:r>
      <w:r w:rsidRPr="009257E7">
        <w:rPr>
          <w:lang w:val="es-ES"/>
        </w:rPr>
        <w:t xml:space="preserve">. Por ejemplo, el sistema de justicia penal procesa, </w:t>
      </w:r>
      <w:r w:rsidRPr="009257E7">
        <w:rPr>
          <w:lang w:val="es-ES"/>
        </w:rPr>
        <w:lastRenderedPageBreak/>
        <w:t xml:space="preserve">condena, encarcela y mata rutinariamente a personas de color en una proporción mayor que a personas blancas, y a personas pobres con más frecuencia que a personas ricas. Esta rutina es violencia sistémica, que puede adoptar muchas formas. Considere cada categoría </w:t>
      </w:r>
      <w:r w:rsidR="00650FAA" w:rsidRPr="009257E7">
        <w:rPr>
          <w:lang w:val="es-ES"/>
        </w:rPr>
        <w:t>de</w:t>
      </w:r>
      <w:r w:rsidRPr="009257E7">
        <w:rPr>
          <w:lang w:val="es-ES"/>
        </w:rPr>
        <w:t xml:space="preserve"> la lista abreviada a continuación. ¿Puede pensar en ejemplos para cada una?</w:t>
      </w:r>
    </w:p>
    <w:p w14:paraId="6398A8A0" w14:textId="664B83F9" w:rsidR="0088737E" w:rsidRPr="009257E7" w:rsidRDefault="0088737E" w:rsidP="0088737E">
      <w:pPr>
        <w:pStyle w:val="NormalWeb"/>
        <w:rPr>
          <w:lang w:val="es-ES"/>
        </w:rPr>
      </w:pPr>
      <w:r w:rsidRPr="009257E7">
        <w:rPr>
          <w:lang w:val="es-ES"/>
        </w:rPr>
        <w:t>• deshumanización, devaluación y negaciones de la dignidad humana;</w:t>
      </w:r>
      <w:r w:rsidRPr="009257E7">
        <w:rPr>
          <w:lang w:val="es-ES"/>
        </w:rPr>
        <w:br/>
        <w:t>• asesinato, matanzas masivas y genocidio;</w:t>
      </w:r>
      <w:r w:rsidRPr="009257E7">
        <w:rPr>
          <w:lang w:val="es-ES"/>
        </w:rPr>
        <w:br/>
        <w:t xml:space="preserve">• </w:t>
      </w:r>
      <w:r w:rsidR="00574264" w:rsidRPr="009257E7">
        <w:rPr>
          <w:lang w:val="es-ES"/>
        </w:rPr>
        <w:t>desaparición</w:t>
      </w:r>
      <w:r w:rsidRPr="009257E7">
        <w:rPr>
          <w:lang w:val="es-ES"/>
        </w:rPr>
        <w:t xml:space="preserve"> cultural e injusticia epistémica;</w:t>
      </w:r>
      <w:r w:rsidRPr="009257E7">
        <w:rPr>
          <w:lang w:val="es-ES"/>
        </w:rPr>
        <w:br/>
        <w:t>• criminalización y control físico o violento de cuerpos, reproducción y comunidades;</w:t>
      </w:r>
      <w:r w:rsidRPr="009257E7">
        <w:rPr>
          <w:lang w:val="es-ES"/>
        </w:rPr>
        <w:br/>
        <w:t>• exclusión de la vida cívica y de la voz pública;</w:t>
      </w:r>
      <w:r w:rsidRPr="009257E7">
        <w:rPr>
          <w:lang w:val="es-ES"/>
        </w:rPr>
        <w:br/>
        <w:t>• marginación en los niveles de vida;</w:t>
      </w:r>
      <w:r w:rsidRPr="009257E7">
        <w:rPr>
          <w:lang w:val="es-ES"/>
        </w:rPr>
        <w:br/>
        <w:t>• explotación y precariedad en el trabajo;</w:t>
      </w:r>
      <w:r w:rsidRPr="009257E7">
        <w:rPr>
          <w:lang w:val="es-ES"/>
        </w:rPr>
        <w:br/>
        <w:t>• desposesión de territorio y extracción de recursos; y</w:t>
      </w:r>
      <w:r w:rsidRPr="009257E7">
        <w:rPr>
          <w:lang w:val="es-ES"/>
        </w:rPr>
        <w:br/>
        <w:t>• fomento de la división y la alienación entre pueblos y grupos</w:t>
      </w:r>
      <w:r w:rsidR="003329C7" w:rsidRPr="009257E7">
        <w:rPr>
          <w:rStyle w:val="FootnoteReference"/>
          <w:lang w:val="es-ES"/>
        </w:rPr>
        <w:footnoteReference w:id="46"/>
      </w:r>
      <w:r w:rsidRPr="009257E7">
        <w:rPr>
          <w:lang w:val="es-ES"/>
        </w:rPr>
        <w:t>.</w:t>
      </w:r>
    </w:p>
    <w:p w14:paraId="7289E16E" w14:textId="4D2A90A9" w:rsidR="0088737E" w:rsidRPr="009257E7" w:rsidRDefault="0088737E" w:rsidP="00574264">
      <w:pPr>
        <w:pStyle w:val="NormalWeb"/>
        <w:ind w:firstLine="720"/>
        <w:rPr>
          <w:lang w:val="es-ES"/>
        </w:rPr>
      </w:pPr>
      <w:r w:rsidRPr="009257E7">
        <w:rPr>
          <w:lang w:val="es-ES"/>
        </w:rPr>
        <w:t>Como señala el académico del derecho Steven Bender, la deshumanización</w:t>
      </w:r>
      <w:r w:rsidR="003329C7" w:rsidRPr="009257E7">
        <w:rPr>
          <w:lang w:val="es-ES"/>
        </w:rPr>
        <w:t>,</w:t>
      </w:r>
      <w:r w:rsidRPr="009257E7">
        <w:rPr>
          <w:lang w:val="es-ES"/>
        </w:rPr>
        <w:t xml:space="preserve"> en particular</w:t>
      </w:r>
      <w:r w:rsidR="003329C7" w:rsidRPr="009257E7">
        <w:rPr>
          <w:lang w:val="es-ES"/>
        </w:rPr>
        <w:t>,</w:t>
      </w:r>
      <w:r w:rsidRPr="009257E7">
        <w:rPr>
          <w:lang w:val="es-ES"/>
        </w:rPr>
        <w:t xml:space="preserve"> tiene una historia larga en Estados Unidos y en otros lugares. De manera notable, este registro histórico incluye:</w:t>
      </w:r>
    </w:p>
    <w:p w14:paraId="2E9A3AF7" w14:textId="3DADE51D" w:rsidR="0088737E" w:rsidRPr="009257E7" w:rsidRDefault="0088737E" w:rsidP="003329C7">
      <w:pPr>
        <w:pStyle w:val="NormalWeb"/>
        <w:ind w:left="720"/>
        <w:rPr>
          <w:lang w:val="es-ES"/>
        </w:rPr>
      </w:pPr>
      <w:r w:rsidRPr="009257E7">
        <w:rPr>
          <w:lang w:val="es-ES"/>
        </w:rPr>
        <w:t xml:space="preserve">pistas que debieron haber sido evidentes para responsables de políticas públicas y participantes en prácticas tan lamentables como la esclavitud, el linchamiento, las leyes de Jim Crow, las esterilizaciones involuntarias de personas con discapacidad mental, y el robo de tierras y los asesinatos de pueblos indígenas en los orígenes de Estados Unidos. El hilo predictivo más común que atraviesa estas políticas y prácticas aborrecibles es la percepción de una humanidad </w:t>
      </w:r>
      <w:r w:rsidR="00E22D35" w:rsidRPr="009257E7">
        <w:rPr>
          <w:lang w:val="es-ES"/>
        </w:rPr>
        <w:t>inferi</w:t>
      </w:r>
      <w:r w:rsidRPr="009257E7">
        <w:rPr>
          <w:lang w:val="es-ES"/>
        </w:rPr>
        <w:t xml:space="preserve">or en </w:t>
      </w:r>
      <w:r w:rsidR="0042609A" w:rsidRPr="009257E7">
        <w:rPr>
          <w:lang w:val="es-ES"/>
        </w:rPr>
        <w:t xml:space="preserve">aquellos a </w:t>
      </w:r>
      <w:r w:rsidRPr="009257E7">
        <w:rPr>
          <w:lang w:val="es-ES"/>
        </w:rPr>
        <w:t>quienes victimizamos, como [los pueblos negros e indígenas] y las personas con discapacidad mental.</w:t>
      </w:r>
      <w:r w:rsidR="00FD292C" w:rsidRPr="009257E7">
        <w:rPr>
          <w:rStyle w:val="FootnoteReference"/>
          <w:lang w:val="es-ES"/>
        </w:rPr>
        <w:footnoteReference w:id="47"/>
      </w:r>
    </w:p>
    <w:p w14:paraId="6DD4CEE6" w14:textId="20AAA5D4" w:rsidR="0088737E" w:rsidRPr="009257E7" w:rsidRDefault="0088737E" w:rsidP="00FD292C">
      <w:pPr>
        <w:pStyle w:val="NormalWeb"/>
        <w:ind w:firstLine="720"/>
        <w:rPr>
          <w:lang w:val="es-ES"/>
        </w:rPr>
      </w:pPr>
      <w:r w:rsidRPr="009257E7">
        <w:rPr>
          <w:lang w:val="es-ES"/>
        </w:rPr>
        <w:t>El elemento común observado, como señala Bender, es “la construcción subhumana del grupo particular [y] las consecuencias jurídicas y sociales adversas que acompañan la imagen deshumanizada”</w:t>
      </w:r>
      <w:r w:rsidR="005E019D" w:rsidRPr="009257E7">
        <w:rPr>
          <w:rStyle w:val="FootnoteReference"/>
          <w:lang w:val="es-ES"/>
        </w:rPr>
        <w:footnoteReference w:id="48"/>
      </w:r>
      <w:r w:rsidRPr="009257E7">
        <w:rPr>
          <w:lang w:val="es-ES"/>
        </w:rPr>
        <w:t>.</w:t>
      </w:r>
      <w:r w:rsidR="00FD292C" w:rsidRPr="009257E7">
        <w:rPr>
          <w:lang w:val="es-ES"/>
        </w:rPr>
        <w:t xml:space="preserve"> </w:t>
      </w:r>
    </w:p>
    <w:p w14:paraId="5A800160" w14:textId="7314F253" w:rsidR="000050C8" w:rsidRPr="009257E7" w:rsidRDefault="000050C8" w:rsidP="000050C8">
      <w:pPr>
        <w:pStyle w:val="NormalWeb"/>
        <w:ind w:firstLine="720"/>
        <w:rPr>
          <w:lang w:val="es-ES"/>
        </w:rPr>
      </w:pPr>
      <w:r w:rsidRPr="009257E7">
        <w:rPr>
          <w:lang w:val="es-ES"/>
        </w:rPr>
        <w:t>La injusticia sistémica puede no parecer —en tiempo real— tan evidentemente incorrecta, porque la naturaleza misma de la violencia sistémica es rutinaria, silenciosa y burocrática. La violencia sistémica ocurre a diario como parte de las operaciones “normales” de la sociedad. Como vemos una y otra vez, el derecho es la grasa que mantiene en marcha esta maquinaria desde arriba. Pero el derecho también puede a</w:t>
      </w:r>
      <w:r w:rsidR="00835506" w:rsidRPr="009257E7">
        <w:rPr>
          <w:lang w:val="es-ES"/>
        </w:rPr>
        <w:t>poyar</w:t>
      </w:r>
      <w:r w:rsidRPr="009257E7">
        <w:rPr>
          <w:lang w:val="es-ES"/>
        </w:rPr>
        <w:t xml:space="preserve"> las luchas desde abajo contra su violencia.</w:t>
      </w:r>
      <w:r w:rsidR="00835506" w:rsidRPr="009257E7">
        <w:rPr>
          <w:lang w:val="es-ES"/>
        </w:rPr>
        <w:t xml:space="preserve"> </w:t>
      </w:r>
    </w:p>
    <w:p w14:paraId="7BC1A300" w14:textId="01B8F2AE" w:rsidR="000050C8" w:rsidRPr="009257E7" w:rsidRDefault="000050C8" w:rsidP="00835506">
      <w:pPr>
        <w:pStyle w:val="NormalWeb"/>
        <w:ind w:firstLine="720"/>
        <w:rPr>
          <w:lang w:val="es-ES"/>
        </w:rPr>
      </w:pPr>
      <w:r w:rsidRPr="009257E7">
        <w:rPr>
          <w:lang w:val="es-ES"/>
        </w:rPr>
        <w:t xml:space="preserve">Así, les abogades y </w:t>
      </w:r>
      <w:r w:rsidR="00835506" w:rsidRPr="009257E7">
        <w:rPr>
          <w:lang w:val="es-ES"/>
        </w:rPr>
        <w:t xml:space="preserve">les </w:t>
      </w:r>
      <w:r w:rsidRPr="009257E7">
        <w:rPr>
          <w:lang w:val="es-ES"/>
        </w:rPr>
        <w:t xml:space="preserve">activistas usan conceptos críticos, historias, investigación, análisis y acciones cotidianas como herramientas para desenterrar las conexiones entre los males, las identidades y los problemas sociales. Al usar de manera innovadora y proactiva el conocimiento crítico desde abajo, generaciones de activistas y abogades han impedido este propósito </w:t>
      </w:r>
      <w:r w:rsidRPr="009257E7">
        <w:rPr>
          <w:lang w:val="es-ES"/>
        </w:rPr>
        <w:lastRenderedPageBreak/>
        <w:t>totalizante. Les abogades sistémiques construyen sobre ese progreso frente a la intensificación de la dominación elitista, mediante una globalización corporativa que se expande y muta, impregnada de las culturas y los imperativos originales del supremacismo colonial.</w:t>
      </w:r>
    </w:p>
    <w:p w14:paraId="1C171F7E" w14:textId="2F32D797" w:rsidR="000F007C" w:rsidRPr="009257E7" w:rsidRDefault="000050C8" w:rsidP="00AB3E2B">
      <w:pPr>
        <w:pStyle w:val="NormalWeb"/>
        <w:ind w:firstLine="720"/>
        <w:rPr>
          <w:lang w:val="es-ES"/>
        </w:rPr>
      </w:pPr>
      <w:r w:rsidRPr="009257E7">
        <w:rPr>
          <w:lang w:val="es-ES"/>
        </w:rPr>
        <w:t xml:space="preserve">Esta fusión entre </w:t>
      </w:r>
      <w:r w:rsidR="00AB3E2B" w:rsidRPr="009257E7">
        <w:rPr>
          <w:lang w:val="es-ES"/>
        </w:rPr>
        <w:t xml:space="preserve">la </w:t>
      </w:r>
      <w:r w:rsidRPr="009257E7">
        <w:rPr>
          <w:lang w:val="es-ES"/>
        </w:rPr>
        <w:t xml:space="preserve">acción basada en </w:t>
      </w:r>
      <w:r w:rsidR="00AB3E2B" w:rsidRPr="009257E7">
        <w:rPr>
          <w:lang w:val="es-ES"/>
        </w:rPr>
        <w:t xml:space="preserve">la </w:t>
      </w:r>
      <w:r w:rsidRPr="009257E7">
        <w:rPr>
          <w:lang w:val="es-ES"/>
        </w:rPr>
        <w:t xml:space="preserve">teoría y </w:t>
      </w:r>
      <w:r w:rsidR="00AB3E2B" w:rsidRPr="009257E7">
        <w:rPr>
          <w:lang w:val="es-ES"/>
        </w:rPr>
        <w:t xml:space="preserve">la </w:t>
      </w:r>
      <w:r w:rsidRPr="009257E7">
        <w:rPr>
          <w:lang w:val="es-ES"/>
        </w:rPr>
        <w:t xml:space="preserve">teoría basada en </w:t>
      </w:r>
      <w:r w:rsidR="00AB3E2B" w:rsidRPr="009257E7">
        <w:rPr>
          <w:lang w:val="es-ES"/>
        </w:rPr>
        <w:t xml:space="preserve">la </w:t>
      </w:r>
      <w:r w:rsidRPr="009257E7">
        <w:rPr>
          <w:lang w:val="es-ES"/>
        </w:rPr>
        <w:t xml:space="preserve">práctica permite que les abogades creen una “praxis” que maximice su efectividad y su integridad. En términos simplificados, la praxis equivale a </w:t>
      </w:r>
      <w:r w:rsidR="00AB3E2B" w:rsidRPr="009257E7">
        <w:rPr>
          <w:lang w:val="es-ES"/>
        </w:rPr>
        <w:t xml:space="preserve">la </w:t>
      </w:r>
      <w:r w:rsidRPr="009257E7">
        <w:rPr>
          <w:lang w:val="es-ES"/>
        </w:rPr>
        <w:t xml:space="preserve">teoría aplicada: el uso activo y autocrítico del conocimiento de experiencias previas para </w:t>
      </w:r>
      <w:r w:rsidR="00AB3E2B" w:rsidRPr="009257E7">
        <w:rPr>
          <w:lang w:val="es-ES"/>
        </w:rPr>
        <w:t xml:space="preserve">formular </w:t>
      </w:r>
      <w:r w:rsidRPr="009257E7">
        <w:rPr>
          <w:lang w:val="es-ES"/>
        </w:rPr>
        <w:t xml:space="preserve">planes y acciones futuras. El concepto de praxis describe de manera efectiva la abogacía sistémica </w:t>
      </w:r>
      <w:r w:rsidR="00AB3E2B" w:rsidRPr="009257E7">
        <w:rPr>
          <w:lang w:val="es-ES"/>
        </w:rPr>
        <w:t xml:space="preserve">orientada </w:t>
      </w:r>
      <w:r w:rsidRPr="009257E7">
        <w:rPr>
          <w:lang w:val="es-ES"/>
        </w:rPr>
        <w:t xml:space="preserve">a la justicia sistémica, que </w:t>
      </w:r>
      <w:r w:rsidR="00AB3E2B" w:rsidRPr="009257E7">
        <w:rPr>
          <w:lang w:val="es-ES"/>
        </w:rPr>
        <w:t>conllev</w:t>
      </w:r>
      <w:r w:rsidRPr="009257E7">
        <w:rPr>
          <w:lang w:val="es-ES"/>
        </w:rPr>
        <w:t>a tanto riesgos como recompensas.</w:t>
      </w:r>
    </w:p>
    <w:p w14:paraId="6ECCE773" w14:textId="2B4DC9BF" w:rsidR="00DA6547" w:rsidRPr="009257E7" w:rsidRDefault="00DA6547" w:rsidP="00DA6547">
      <w:pPr>
        <w:spacing w:before="100" w:beforeAutospacing="1" w:after="100" w:afterAutospacing="1" w:line="240" w:lineRule="auto"/>
        <w:outlineLvl w:val="1"/>
        <w:rPr>
          <w:rFonts w:ascii="Times New Roman" w:eastAsia="Times New Roman" w:hAnsi="Times New Roman" w:cs="Times New Roman"/>
          <w:b/>
          <w:bCs/>
          <w:kern w:val="0"/>
          <w:lang w:val="es-ES"/>
          <w14:ligatures w14:val="none"/>
        </w:rPr>
      </w:pPr>
      <w:r w:rsidRPr="009257E7">
        <w:rPr>
          <w:rFonts w:ascii="Times New Roman" w:eastAsia="Times New Roman" w:hAnsi="Times New Roman" w:cs="Times New Roman"/>
          <w:b/>
          <w:bCs/>
          <w:kern w:val="0"/>
          <w:lang w:val="es-ES"/>
          <w14:ligatures w14:val="none"/>
        </w:rPr>
        <w:t xml:space="preserve">1.7 </w:t>
      </w:r>
      <w:r w:rsidR="00B35649" w:rsidRPr="009257E7">
        <w:rPr>
          <w:rFonts w:ascii="Times New Roman" w:eastAsia="Times New Roman" w:hAnsi="Times New Roman" w:cs="Times New Roman"/>
          <w:b/>
          <w:bCs/>
          <w:kern w:val="0"/>
          <w:lang w:val="es-ES"/>
          <w14:ligatures w14:val="none"/>
        </w:rPr>
        <w:t>L</w:t>
      </w:r>
      <w:r w:rsidRPr="009257E7">
        <w:rPr>
          <w:rFonts w:ascii="Times New Roman" w:eastAsia="Times New Roman" w:hAnsi="Times New Roman" w:cs="Times New Roman"/>
          <w:b/>
          <w:bCs/>
          <w:kern w:val="0"/>
          <w:lang w:val="es-ES"/>
          <w14:ligatures w14:val="none"/>
        </w:rPr>
        <w:t xml:space="preserve">es abogades actúan a pesar de los riesgos de represalia, cooptación o </w:t>
      </w:r>
      <w:proofErr w:type="spellStart"/>
      <w:r w:rsidRPr="009257E7">
        <w:rPr>
          <w:rFonts w:ascii="Times New Roman" w:eastAsia="Times New Roman" w:hAnsi="Times New Roman" w:cs="Times New Roman"/>
          <w:b/>
          <w:bCs/>
          <w:kern w:val="0"/>
          <w:lang w:val="es-ES"/>
          <w14:ligatures w14:val="none"/>
        </w:rPr>
        <w:t>tokenismo</w:t>
      </w:r>
      <w:proofErr w:type="spellEnd"/>
      <w:r w:rsidRPr="009257E7">
        <w:rPr>
          <w:rFonts w:ascii="Times New Roman" w:eastAsia="Times New Roman" w:hAnsi="Times New Roman" w:cs="Times New Roman"/>
          <w:b/>
          <w:bCs/>
          <w:kern w:val="0"/>
          <w:lang w:val="es-ES"/>
          <w14:ligatures w14:val="none"/>
        </w:rPr>
        <w:t xml:space="preserve"> para evitar la preservación mediante transformación</w:t>
      </w:r>
    </w:p>
    <w:p w14:paraId="45D81E37" w14:textId="7BA44980" w:rsidR="00DA6547" w:rsidRPr="009257E7" w:rsidRDefault="00DA6547" w:rsidP="002D3282">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L</w:t>
      </w:r>
      <w:r w:rsidR="002D3282" w:rsidRPr="009257E7">
        <w:rPr>
          <w:rFonts w:ascii="Times New Roman" w:eastAsia="Times New Roman" w:hAnsi="Times New Roman" w:cs="Times New Roman"/>
          <w:kern w:val="0"/>
          <w:lang w:val="es-ES"/>
          <w14:ligatures w14:val="none"/>
        </w:rPr>
        <w:t>e</w:t>
      </w:r>
      <w:r w:rsidRPr="009257E7">
        <w:rPr>
          <w:rFonts w:ascii="Times New Roman" w:eastAsia="Times New Roman" w:hAnsi="Times New Roman" w:cs="Times New Roman"/>
          <w:kern w:val="0"/>
          <w:lang w:val="es-ES"/>
          <w14:ligatures w14:val="none"/>
        </w:rPr>
        <w:t xml:space="preserve">s abogades que rechazan cumplir con </w:t>
      </w:r>
      <w:r w:rsidR="002D3282" w:rsidRPr="009257E7">
        <w:rPr>
          <w:rFonts w:ascii="Times New Roman" w:eastAsia="Times New Roman" w:hAnsi="Times New Roman" w:cs="Times New Roman"/>
          <w:kern w:val="0"/>
          <w:lang w:val="es-ES"/>
          <w14:ligatures w14:val="none"/>
        </w:rPr>
        <w:t xml:space="preserve">las </w:t>
      </w:r>
      <w:r w:rsidRPr="009257E7">
        <w:rPr>
          <w:rFonts w:ascii="Times New Roman" w:eastAsia="Times New Roman" w:hAnsi="Times New Roman" w:cs="Times New Roman"/>
          <w:kern w:val="0"/>
          <w:lang w:val="es-ES"/>
          <w14:ligatures w14:val="none"/>
        </w:rPr>
        <w:t xml:space="preserve">jerarquías sociales arraigadas </w:t>
      </w:r>
      <w:r w:rsidR="002D3282" w:rsidRPr="009257E7">
        <w:rPr>
          <w:rFonts w:ascii="Times New Roman" w:eastAsia="Times New Roman" w:hAnsi="Times New Roman" w:cs="Times New Roman"/>
          <w:kern w:val="0"/>
          <w:lang w:val="es-ES"/>
          <w14:ligatures w14:val="none"/>
        </w:rPr>
        <w:t>adopta</w:t>
      </w:r>
      <w:r w:rsidRPr="009257E7">
        <w:rPr>
          <w:rFonts w:ascii="Times New Roman" w:eastAsia="Times New Roman" w:hAnsi="Times New Roman" w:cs="Times New Roman"/>
          <w:kern w:val="0"/>
          <w:lang w:val="es-ES"/>
          <w14:ligatures w14:val="none"/>
        </w:rPr>
        <w:t xml:space="preserve">n una conducta profesional que </w:t>
      </w:r>
      <w:r w:rsidR="002D3282" w:rsidRPr="009257E7">
        <w:rPr>
          <w:rFonts w:ascii="Times New Roman" w:eastAsia="Times New Roman" w:hAnsi="Times New Roman" w:cs="Times New Roman"/>
          <w:kern w:val="0"/>
          <w:lang w:val="es-ES"/>
          <w14:ligatures w14:val="none"/>
        </w:rPr>
        <w:t>entrañ</w:t>
      </w:r>
      <w:r w:rsidRPr="009257E7">
        <w:rPr>
          <w:rFonts w:ascii="Times New Roman" w:eastAsia="Times New Roman" w:hAnsi="Times New Roman" w:cs="Times New Roman"/>
          <w:kern w:val="0"/>
          <w:lang w:val="es-ES"/>
          <w14:ligatures w14:val="none"/>
        </w:rPr>
        <w:t xml:space="preserve">a riesgos. Cuando se sienten amenazadas, las élites </w:t>
      </w:r>
      <w:r w:rsidR="002D3282" w:rsidRPr="009257E7">
        <w:rPr>
          <w:rFonts w:ascii="Times New Roman" w:eastAsia="Times New Roman" w:hAnsi="Times New Roman" w:cs="Times New Roman"/>
          <w:kern w:val="0"/>
          <w:lang w:val="es-ES"/>
          <w14:ligatures w14:val="none"/>
        </w:rPr>
        <w:t>recurre</w:t>
      </w:r>
      <w:r w:rsidRPr="009257E7">
        <w:rPr>
          <w:rFonts w:ascii="Times New Roman" w:eastAsia="Times New Roman" w:hAnsi="Times New Roman" w:cs="Times New Roman"/>
          <w:kern w:val="0"/>
          <w:lang w:val="es-ES"/>
          <w14:ligatures w14:val="none"/>
        </w:rPr>
        <w:t xml:space="preserve">n </w:t>
      </w:r>
      <w:r w:rsidR="002D3282" w:rsidRPr="009257E7">
        <w:rPr>
          <w:rFonts w:ascii="Times New Roman" w:eastAsia="Times New Roman" w:hAnsi="Times New Roman" w:cs="Times New Roman"/>
          <w:kern w:val="0"/>
          <w:lang w:val="es-ES"/>
          <w14:ligatures w14:val="none"/>
        </w:rPr>
        <w:t>a</w:t>
      </w:r>
      <w:r w:rsidRPr="009257E7">
        <w:rPr>
          <w:rFonts w:ascii="Times New Roman" w:eastAsia="Times New Roman" w:hAnsi="Times New Roman" w:cs="Times New Roman"/>
          <w:kern w:val="0"/>
          <w:lang w:val="es-ES"/>
          <w14:ligatures w14:val="none"/>
        </w:rPr>
        <w:t xml:space="preserve"> diversas</w:t>
      </w:r>
      <w:r w:rsidR="002D3282" w:rsidRPr="009257E7">
        <w:rPr>
          <w:rFonts w:ascii="Times New Roman" w:eastAsia="Times New Roman" w:hAnsi="Times New Roman" w:cs="Times New Roman"/>
          <w:kern w:val="0"/>
          <w:lang w:val="es-ES"/>
          <w14:ligatures w14:val="none"/>
        </w:rPr>
        <w:t xml:space="preserve"> estrategias</w:t>
      </w:r>
      <w:r w:rsidRPr="009257E7">
        <w:rPr>
          <w:rFonts w:ascii="Times New Roman" w:eastAsia="Times New Roman" w:hAnsi="Times New Roman" w:cs="Times New Roman"/>
          <w:kern w:val="0"/>
          <w:lang w:val="es-ES"/>
          <w14:ligatures w14:val="none"/>
        </w:rPr>
        <w:t xml:space="preserve"> —tan variadas como la represalia, la cooptación, la captura y el </w:t>
      </w:r>
      <w:proofErr w:type="spellStart"/>
      <w:r w:rsidRPr="009257E7">
        <w:rPr>
          <w:rFonts w:ascii="Times New Roman" w:eastAsia="Times New Roman" w:hAnsi="Times New Roman" w:cs="Times New Roman"/>
          <w:kern w:val="0"/>
          <w:lang w:val="es-ES"/>
          <w14:ligatures w14:val="none"/>
        </w:rPr>
        <w:t>tokenismo</w:t>
      </w:r>
      <w:proofErr w:type="spellEnd"/>
      <w:r w:rsidRPr="009257E7">
        <w:rPr>
          <w:rFonts w:ascii="Times New Roman" w:eastAsia="Times New Roman" w:hAnsi="Times New Roman" w:cs="Times New Roman"/>
          <w:kern w:val="0"/>
          <w:lang w:val="es-ES"/>
          <w14:ligatures w14:val="none"/>
        </w:rPr>
        <w:t xml:space="preserve">— para mantener el statu quo sistémico. En respuesta, les abogades y </w:t>
      </w:r>
      <w:r w:rsidR="002D3282" w:rsidRPr="009257E7">
        <w:rPr>
          <w:rFonts w:ascii="Times New Roman" w:eastAsia="Times New Roman" w:hAnsi="Times New Roman" w:cs="Times New Roman"/>
          <w:kern w:val="0"/>
          <w:lang w:val="es-ES"/>
          <w14:ligatures w14:val="none"/>
        </w:rPr>
        <w:t xml:space="preserve">les </w:t>
      </w:r>
      <w:r w:rsidRPr="009257E7">
        <w:rPr>
          <w:rFonts w:ascii="Times New Roman" w:eastAsia="Times New Roman" w:hAnsi="Times New Roman" w:cs="Times New Roman"/>
          <w:kern w:val="0"/>
          <w:lang w:val="es-ES"/>
          <w14:ligatures w14:val="none"/>
        </w:rPr>
        <w:t>activistas colaboran para ayudarse y protegerse mutuamente.</w:t>
      </w:r>
    </w:p>
    <w:p w14:paraId="0F0BEBFD" w14:textId="11F64D7C" w:rsidR="00DA6547" w:rsidRPr="009257E7" w:rsidRDefault="00DA6547" w:rsidP="002D3282">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 xml:space="preserve">Estos riesgos sistémicos pueden requerir que les abogades usen el capital social e intelectual que acumulan en sus roles profesionales, instituciones, relaciones y coaliciones para apoyar metas </w:t>
      </w:r>
      <w:proofErr w:type="spellStart"/>
      <w:r w:rsidRPr="009257E7">
        <w:rPr>
          <w:rFonts w:ascii="Times New Roman" w:eastAsia="Times New Roman" w:hAnsi="Times New Roman" w:cs="Times New Roman"/>
          <w:kern w:val="0"/>
          <w:lang w:val="es-ES"/>
          <w14:ligatures w14:val="none"/>
        </w:rPr>
        <w:t>antisubordinación</w:t>
      </w:r>
      <w:proofErr w:type="spellEnd"/>
      <w:r w:rsidRPr="009257E7">
        <w:rPr>
          <w:rFonts w:ascii="Times New Roman" w:eastAsia="Times New Roman" w:hAnsi="Times New Roman" w:cs="Times New Roman"/>
          <w:kern w:val="0"/>
          <w:lang w:val="es-ES"/>
          <w14:ligatures w14:val="none"/>
        </w:rPr>
        <w:t xml:space="preserve">. La académica del derecho </w:t>
      </w:r>
      <w:proofErr w:type="spellStart"/>
      <w:r w:rsidRPr="009257E7">
        <w:rPr>
          <w:rFonts w:ascii="Times New Roman" w:eastAsia="Times New Roman" w:hAnsi="Times New Roman" w:cs="Times New Roman"/>
          <w:kern w:val="0"/>
          <w:lang w:val="es-ES"/>
          <w14:ligatures w14:val="none"/>
        </w:rPr>
        <w:t>Aya</w:t>
      </w:r>
      <w:proofErr w:type="spellEnd"/>
      <w:r w:rsidRPr="009257E7">
        <w:rPr>
          <w:rFonts w:ascii="Times New Roman" w:eastAsia="Times New Roman" w:hAnsi="Times New Roman" w:cs="Times New Roman"/>
          <w:kern w:val="0"/>
          <w:lang w:val="es-ES"/>
          <w14:ligatures w14:val="none"/>
        </w:rPr>
        <w:t xml:space="preserve"> Gruber desarrolla un tipo de colaboración dirigida a “crear coaliciones y promover la agenda </w:t>
      </w:r>
      <w:proofErr w:type="spellStart"/>
      <w:r w:rsidRPr="009257E7">
        <w:rPr>
          <w:rFonts w:ascii="Times New Roman" w:eastAsia="Times New Roman" w:hAnsi="Times New Roman" w:cs="Times New Roman"/>
          <w:kern w:val="0"/>
          <w:lang w:val="es-ES"/>
          <w14:ligatures w14:val="none"/>
        </w:rPr>
        <w:t>antisubordinación</w:t>
      </w:r>
      <w:proofErr w:type="spellEnd"/>
      <w:r w:rsidRPr="009257E7">
        <w:rPr>
          <w:rFonts w:ascii="Times New Roman" w:eastAsia="Times New Roman" w:hAnsi="Times New Roman" w:cs="Times New Roman"/>
          <w:kern w:val="0"/>
          <w:lang w:val="es-ES"/>
          <w14:ligatures w14:val="none"/>
        </w:rPr>
        <w:t xml:space="preserve">”. Sus comentarios, hechos en referencia a los riesgos asumidos por </w:t>
      </w:r>
      <w:proofErr w:type="spellStart"/>
      <w:r w:rsidRPr="009257E7">
        <w:rPr>
          <w:rFonts w:ascii="Times New Roman" w:eastAsia="Times New Roman" w:hAnsi="Times New Roman" w:cs="Times New Roman"/>
          <w:kern w:val="0"/>
          <w:lang w:val="es-ES"/>
          <w14:ligatures w14:val="none"/>
        </w:rPr>
        <w:t>académicxs</w:t>
      </w:r>
      <w:proofErr w:type="spellEnd"/>
      <w:r w:rsidRPr="009257E7">
        <w:rPr>
          <w:rFonts w:ascii="Times New Roman" w:eastAsia="Times New Roman" w:hAnsi="Times New Roman" w:cs="Times New Roman"/>
          <w:kern w:val="0"/>
          <w:lang w:val="es-ES"/>
          <w14:ligatures w14:val="none"/>
        </w:rPr>
        <w:t xml:space="preserve"> del derecho, podrían generalizarse para referirse a las diversas formas de “capital” que les abogades acumulan en distintos espacios de práctica:</w:t>
      </w:r>
    </w:p>
    <w:p w14:paraId="576911BD" w14:textId="68942B9F" w:rsidR="00DA6547" w:rsidRPr="009257E7" w:rsidRDefault="00DA6547" w:rsidP="009537D7">
      <w:pPr>
        <w:spacing w:before="100" w:beforeAutospacing="1" w:after="100" w:afterAutospacing="1" w:line="240" w:lineRule="auto"/>
        <w:ind w:left="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 xml:space="preserve">[Este grupo] está [...] empoderado de muchas maneras. Algunas mujeres y personas gay son blancas. Algunas personas pertenecientes a minorías y personas </w:t>
      </w:r>
      <w:proofErr w:type="spellStart"/>
      <w:r w:rsidRPr="009257E7">
        <w:rPr>
          <w:rFonts w:ascii="Times New Roman" w:eastAsia="Times New Roman" w:hAnsi="Times New Roman" w:cs="Times New Roman"/>
          <w:kern w:val="0"/>
          <w:lang w:val="es-ES"/>
          <w14:ligatures w14:val="none"/>
        </w:rPr>
        <w:t>gays</w:t>
      </w:r>
      <w:proofErr w:type="spellEnd"/>
      <w:r w:rsidRPr="009257E7">
        <w:rPr>
          <w:rFonts w:ascii="Times New Roman" w:eastAsia="Times New Roman" w:hAnsi="Times New Roman" w:cs="Times New Roman"/>
          <w:kern w:val="0"/>
          <w:lang w:val="es-ES"/>
          <w14:ligatures w14:val="none"/>
        </w:rPr>
        <w:t xml:space="preserve"> son hombres. Algunas personas de color son heterosexuales. Muchas de las personas participantes no son inmigrantes. Casi todes nosotres tenemos </w:t>
      </w:r>
      <w:r w:rsidR="00C671DB" w:rsidRPr="009257E7">
        <w:rPr>
          <w:rFonts w:ascii="Times New Roman" w:eastAsia="Times New Roman" w:hAnsi="Times New Roman" w:cs="Times New Roman"/>
          <w:kern w:val="0"/>
          <w:lang w:val="es-ES"/>
          <w14:ligatures w14:val="none"/>
        </w:rPr>
        <w:t xml:space="preserve">un </w:t>
      </w:r>
      <w:r w:rsidRPr="009257E7">
        <w:rPr>
          <w:rFonts w:ascii="Times New Roman" w:eastAsia="Times New Roman" w:hAnsi="Times New Roman" w:cs="Times New Roman"/>
          <w:kern w:val="0"/>
          <w:lang w:val="es-ES"/>
          <w14:ligatures w14:val="none"/>
        </w:rPr>
        <w:t xml:space="preserve">privilegio educativo y económico. [...] Lo que también poseemos es una medida de capital académico que, en efecto, es nuestra capacidad de </w:t>
      </w:r>
      <w:r w:rsidR="00C671DB" w:rsidRPr="009257E7">
        <w:rPr>
          <w:rFonts w:ascii="Times New Roman" w:eastAsia="Times New Roman" w:hAnsi="Times New Roman" w:cs="Times New Roman"/>
          <w:kern w:val="0"/>
          <w:lang w:val="es-ES"/>
          <w14:ligatures w14:val="none"/>
        </w:rPr>
        <w:t>gener</w:t>
      </w:r>
      <w:r w:rsidRPr="009257E7">
        <w:rPr>
          <w:rFonts w:ascii="Times New Roman" w:eastAsia="Times New Roman" w:hAnsi="Times New Roman" w:cs="Times New Roman"/>
          <w:kern w:val="0"/>
          <w:lang w:val="es-ES"/>
          <w14:ligatures w14:val="none"/>
        </w:rPr>
        <w:t xml:space="preserve">ar cambio mediante lo que enseñamos, lo que decimos, lo que hacemos y lo que escribimos. El capital académico, como el capital político o </w:t>
      </w:r>
      <w:r w:rsidR="00C671DB" w:rsidRPr="009257E7">
        <w:rPr>
          <w:rFonts w:ascii="Times New Roman" w:eastAsia="Times New Roman" w:hAnsi="Times New Roman" w:cs="Times New Roman"/>
          <w:kern w:val="0"/>
          <w:lang w:val="es-ES"/>
          <w14:ligatures w14:val="none"/>
        </w:rPr>
        <w:t xml:space="preserve">el </w:t>
      </w:r>
      <w:r w:rsidRPr="009257E7">
        <w:rPr>
          <w:rFonts w:ascii="Times New Roman" w:eastAsia="Times New Roman" w:hAnsi="Times New Roman" w:cs="Times New Roman"/>
          <w:kern w:val="0"/>
          <w:lang w:val="es-ES"/>
          <w14:ligatures w14:val="none"/>
        </w:rPr>
        <w:t xml:space="preserve">económico, es un activo. Como no podemos hablar y </w:t>
      </w:r>
      <w:proofErr w:type="gramStart"/>
      <w:r w:rsidRPr="009257E7">
        <w:rPr>
          <w:rFonts w:ascii="Times New Roman" w:eastAsia="Times New Roman" w:hAnsi="Times New Roman" w:cs="Times New Roman"/>
          <w:kern w:val="0"/>
          <w:lang w:val="es-ES"/>
          <w14:ligatures w14:val="none"/>
        </w:rPr>
        <w:t>escribir</w:t>
      </w:r>
      <w:proofErr w:type="gramEnd"/>
      <w:r w:rsidRPr="009257E7">
        <w:rPr>
          <w:rFonts w:ascii="Times New Roman" w:eastAsia="Times New Roman" w:hAnsi="Times New Roman" w:cs="Times New Roman"/>
          <w:kern w:val="0"/>
          <w:lang w:val="es-ES"/>
          <w14:ligatures w14:val="none"/>
        </w:rPr>
        <w:t xml:space="preserve"> sobre todo, nuestro capital está limitado por el tiempo, la energía e incluso la inclinación. [...] [La pregunta es] cómo podemos movilizar nuestro propio capital académico para crear coaliciones y promover la agenda </w:t>
      </w:r>
      <w:proofErr w:type="spellStart"/>
      <w:r w:rsidRPr="009257E7">
        <w:rPr>
          <w:rFonts w:ascii="Times New Roman" w:eastAsia="Times New Roman" w:hAnsi="Times New Roman" w:cs="Times New Roman"/>
          <w:kern w:val="0"/>
          <w:lang w:val="es-ES"/>
          <w14:ligatures w14:val="none"/>
        </w:rPr>
        <w:t>antisubordinación</w:t>
      </w:r>
      <w:proofErr w:type="spellEnd"/>
      <w:r w:rsidRPr="009257E7">
        <w:rPr>
          <w:rFonts w:ascii="Times New Roman" w:eastAsia="Times New Roman" w:hAnsi="Times New Roman" w:cs="Times New Roman"/>
          <w:kern w:val="0"/>
          <w:lang w:val="es-ES"/>
          <w14:ligatures w14:val="none"/>
        </w:rPr>
        <w:t>.</w:t>
      </w:r>
      <w:r w:rsidR="005C51C3" w:rsidRPr="009257E7">
        <w:rPr>
          <w:rStyle w:val="FootnoteReference"/>
          <w:rFonts w:ascii="Times New Roman" w:eastAsia="Times New Roman" w:hAnsi="Times New Roman" w:cs="Times New Roman"/>
          <w:kern w:val="0"/>
          <w:lang w:val="es-ES"/>
          <w14:ligatures w14:val="none"/>
        </w:rPr>
        <w:footnoteReference w:id="49"/>
      </w:r>
    </w:p>
    <w:p w14:paraId="74DA6EC7" w14:textId="036CD2DE" w:rsidR="00DA6547" w:rsidRPr="009257E7" w:rsidRDefault="005C51C3" w:rsidP="005F259D">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Por lo general, l</w:t>
      </w:r>
      <w:r w:rsidR="00DA6547" w:rsidRPr="009257E7">
        <w:rPr>
          <w:rFonts w:ascii="Times New Roman" w:eastAsia="Times New Roman" w:hAnsi="Times New Roman" w:cs="Times New Roman"/>
          <w:kern w:val="0"/>
          <w:lang w:val="es-ES"/>
          <w14:ligatures w14:val="none"/>
        </w:rPr>
        <w:t>es trabajadores jurídicos</w:t>
      </w:r>
      <w:r w:rsidRPr="009257E7">
        <w:rPr>
          <w:rFonts w:ascii="Times New Roman" w:eastAsia="Times New Roman" w:hAnsi="Times New Roman" w:cs="Times New Roman"/>
          <w:kern w:val="0"/>
          <w:lang w:val="es-ES"/>
          <w14:ligatures w14:val="none"/>
        </w:rPr>
        <w:t xml:space="preserve"> </w:t>
      </w:r>
      <w:r w:rsidR="00DA6547" w:rsidRPr="009257E7">
        <w:rPr>
          <w:rFonts w:ascii="Times New Roman" w:eastAsia="Times New Roman" w:hAnsi="Times New Roman" w:cs="Times New Roman"/>
          <w:kern w:val="0"/>
          <w:lang w:val="es-ES"/>
          <w14:ligatures w14:val="none"/>
        </w:rPr>
        <w:t xml:space="preserve">tienen decisiones que tomar y </w:t>
      </w:r>
      <w:r w:rsidRPr="009257E7">
        <w:rPr>
          <w:rFonts w:ascii="Times New Roman" w:eastAsia="Times New Roman" w:hAnsi="Times New Roman" w:cs="Times New Roman"/>
          <w:kern w:val="0"/>
          <w:lang w:val="es-ES"/>
          <w14:ligatures w14:val="none"/>
        </w:rPr>
        <w:t xml:space="preserve">acciones que </w:t>
      </w:r>
      <w:r w:rsidR="00DA6547" w:rsidRPr="009257E7">
        <w:rPr>
          <w:rFonts w:ascii="Times New Roman" w:eastAsia="Times New Roman" w:hAnsi="Times New Roman" w:cs="Times New Roman"/>
          <w:kern w:val="0"/>
          <w:lang w:val="es-ES"/>
          <w14:ligatures w14:val="none"/>
        </w:rPr>
        <w:t xml:space="preserve">realizar. En cada contexto, la oposición es constante. La oposición de las élites al progreso social </w:t>
      </w:r>
      <w:r w:rsidR="00DA6547" w:rsidRPr="009257E7">
        <w:rPr>
          <w:rFonts w:ascii="Times New Roman" w:eastAsia="Times New Roman" w:hAnsi="Times New Roman" w:cs="Times New Roman"/>
          <w:kern w:val="0"/>
          <w:lang w:val="es-ES"/>
          <w14:ligatures w14:val="none"/>
        </w:rPr>
        <w:lastRenderedPageBreak/>
        <w:t xml:space="preserve">puede adoptar una forma activa —intentos abiertos de derrotar una iniciativa o </w:t>
      </w:r>
      <w:r w:rsidRPr="009257E7">
        <w:rPr>
          <w:rFonts w:ascii="Times New Roman" w:eastAsia="Times New Roman" w:hAnsi="Times New Roman" w:cs="Times New Roman"/>
          <w:kern w:val="0"/>
          <w:lang w:val="es-ES"/>
          <w14:ligatures w14:val="none"/>
        </w:rPr>
        <w:t xml:space="preserve">de </w:t>
      </w:r>
      <w:r w:rsidR="00DA6547" w:rsidRPr="009257E7">
        <w:rPr>
          <w:rFonts w:ascii="Times New Roman" w:eastAsia="Times New Roman" w:hAnsi="Times New Roman" w:cs="Times New Roman"/>
          <w:kern w:val="0"/>
          <w:lang w:val="es-ES"/>
          <w14:ligatures w14:val="none"/>
        </w:rPr>
        <w:t>aplastar a un grupo, proyecto o campaña— o una forma más encubierta, como la cooptación.</w:t>
      </w:r>
    </w:p>
    <w:p w14:paraId="7AD8B071" w14:textId="6D48795D" w:rsidR="00DA6547" w:rsidRPr="009257E7" w:rsidRDefault="00DA6547" w:rsidP="005D1470">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 xml:space="preserve">La cooptación o captura es un proceso mediante el cual “los oponentes adoptan aspectos del contenido del discurso de un movimiento, mientras subvierten su </w:t>
      </w:r>
      <w:r w:rsidRPr="009257E7">
        <w:rPr>
          <w:rFonts w:ascii="Times New Roman" w:eastAsia="Times New Roman" w:hAnsi="Times New Roman" w:cs="Times New Roman"/>
          <w:i/>
          <w:iCs/>
          <w:kern w:val="0"/>
          <w:lang w:val="es-ES"/>
          <w14:ligatures w14:val="none"/>
        </w:rPr>
        <w:t>intención</w:t>
      </w:r>
      <w:r w:rsidRPr="009257E7">
        <w:rPr>
          <w:rFonts w:ascii="Times New Roman" w:eastAsia="Times New Roman" w:hAnsi="Times New Roman" w:cs="Times New Roman"/>
          <w:kern w:val="0"/>
          <w:lang w:val="es-ES"/>
          <w14:ligatures w14:val="none"/>
        </w:rPr>
        <w:t>”</w:t>
      </w:r>
      <w:r w:rsidR="001E4969" w:rsidRPr="009257E7">
        <w:rPr>
          <w:rStyle w:val="FootnoteReference"/>
          <w:rFonts w:ascii="Times New Roman" w:eastAsia="Times New Roman" w:hAnsi="Times New Roman" w:cs="Times New Roman"/>
          <w:kern w:val="0"/>
          <w:lang w:val="es-ES"/>
          <w14:ligatures w14:val="none"/>
        </w:rPr>
        <w:footnoteReference w:id="50"/>
      </w:r>
      <w:r w:rsidRPr="009257E7">
        <w:rPr>
          <w:rFonts w:ascii="Times New Roman" w:eastAsia="Times New Roman" w:hAnsi="Times New Roman" w:cs="Times New Roman"/>
          <w:kern w:val="0"/>
          <w:lang w:val="es-ES"/>
          <w14:ligatures w14:val="none"/>
        </w:rPr>
        <w:t>. Así, la cooptación puede tomar la forma de “recomendaciones de política pública y programas específicos, despojados de su filo radical y de su potencial transformador”</w:t>
      </w:r>
      <w:r w:rsidR="00084A63" w:rsidRPr="009257E7">
        <w:rPr>
          <w:rStyle w:val="FootnoteReference"/>
          <w:rFonts w:ascii="Times New Roman" w:eastAsia="Times New Roman" w:hAnsi="Times New Roman" w:cs="Times New Roman"/>
          <w:kern w:val="0"/>
          <w:lang w:val="es-ES"/>
          <w14:ligatures w14:val="none"/>
        </w:rPr>
        <w:footnoteReference w:id="51"/>
      </w:r>
      <w:r w:rsidRPr="009257E7">
        <w:rPr>
          <w:rFonts w:ascii="Times New Roman" w:eastAsia="Times New Roman" w:hAnsi="Times New Roman" w:cs="Times New Roman"/>
          <w:kern w:val="0"/>
          <w:lang w:val="es-ES"/>
          <w14:ligatures w14:val="none"/>
        </w:rPr>
        <w:t xml:space="preserve">. Por ejemplo, las iniciativas de “diversidad” a menudo se consideran una cooptación de iniciativas antirracistas y </w:t>
      </w:r>
      <w:proofErr w:type="spellStart"/>
      <w:r w:rsidRPr="009257E7">
        <w:rPr>
          <w:rFonts w:ascii="Times New Roman" w:eastAsia="Times New Roman" w:hAnsi="Times New Roman" w:cs="Times New Roman"/>
          <w:kern w:val="0"/>
          <w:lang w:val="es-ES"/>
          <w14:ligatures w14:val="none"/>
        </w:rPr>
        <w:t>antisexistas</w:t>
      </w:r>
      <w:proofErr w:type="spellEnd"/>
      <w:r w:rsidRPr="009257E7">
        <w:rPr>
          <w:rFonts w:ascii="Times New Roman" w:eastAsia="Times New Roman" w:hAnsi="Times New Roman" w:cs="Times New Roman"/>
          <w:kern w:val="0"/>
          <w:lang w:val="es-ES"/>
          <w14:ligatures w14:val="none"/>
        </w:rPr>
        <w:t xml:space="preserve"> desde abajo, pues promueven una presencia </w:t>
      </w:r>
      <w:proofErr w:type="spellStart"/>
      <w:r w:rsidRPr="009257E7">
        <w:rPr>
          <w:rFonts w:ascii="Times New Roman" w:eastAsia="Times New Roman" w:hAnsi="Times New Roman" w:cs="Times New Roman"/>
          <w:kern w:val="0"/>
          <w:lang w:val="es-ES"/>
          <w14:ligatures w14:val="none"/>
        </w:rPr>
        <w:t>tokenista</w:t>
      </w:r>
      <w:proofErr w:type="spellEnd"/>
      <w:r w:rsidRPr="009257E7">
        <w:rPr>
          <w:rFonts w:ascii="Times New Roman" w:eastAsia="Times New Roman" w:hAnsi="Times New Roman" w:cs="Times New Roman"/>
          <w:kern w:val="0"/>
          <w:lang w:val="es-ES"/>
          <w14:ligatures w14:val="none"/>
        </w:rPr>
        <w:t xml:space="preserve"> de grupos “diferentes” sin cambiar las ideologías y </w:t>
      </w:r>
      <w:r w:rsidR="00084A63" w:rsidRPr="009257E7">
        <w:rPr>
          <w:rFonts w:ascii="Times New Roman" w:eastAsia="Times New Roman" w:hAnsi="Times New Roman" w:cs="Times New Roman"/>
          <w:kern w:val="0"/>
          <w:lang w:val="es-ES"/>
          <w14:ligatures w14:val="none"/>
        </w:rPr>
        <w:t xml:space="preserve">las </w:t>
      </w:r>
      <w:r w:rsidRPr="009257E7">
        <w:rPr>
          <w:rFonts w:ascii="Times New Roman" w:eastAsia="Times New Roman" w:hAnsi="Times New Roman" w:cs="Times New Roman"/>
          <w:kern w:val="0"/>
          <w:lang w:val="es-ES"/>
          <w14:ligatures w14:val="none"/>
        </w:rPr>
        <w:t>prácticas supremacistas blancas y patriarcales que atraviesan y controlan las instituciones</w:t>
      </w:r>
      <w:r w:rsidR="00626A4A" w:rsidRPr="009257E7">
        <w:rPr>
          <w:rStyle w:val="FootnoteReference"/>
          <w:rFonts w:ascii="Times New Roman" w:eastAsia="Times New Roman" w:hAnsi="Times New Roman" w:cs="Times New Roman"/>
          <w:kern w:val="0"/>
          <w:lang w:val="es-ES"/>
          <w14:ligatures w14:val="none"/>
        </w:rPr>
        <w:footnoteReference w:id="52"/>
      </w:r>
      <w:r w:rsidRPr="009257E7">
        <w:rPr>
          <w:rFonts w:ascii="Times New Roman" w:eastAsia="Times New Roman" w:hAnsi="Times New Roman" w:cs="Times New Roman"/>
          <w:kern w:val="0"/>
          <w:lang w:val="es-ES"/>
          <w14:ligatures w14:val="none"/>
        </w:rPr>
        <w:t>. Las iniciativas de “reforma” pueden ser “superficiales y engañosas” si se sacrifica el cambio profundo mientras se preserva el statu quo</w:t>
      </w:r>
      <w:r w:rsidR="000E276B" w:rsidRPr="009257E7">
        <w:rPr>
          <w:rStyle w:val="FootnoteReference"/>
          <w:rFonts w:ascii="Times New Roman" w:eastAsia="Times New Roman" w:hAnsi="Times New Roman" w:cs="Times New Roman"/>
          <w:kern w:val="0"/>
          <w:lang w:val="es-ES"/>
          <w14:ligatures w14:val="none"/>
        </w:rPr>
        <w:footnoteReference w:id="53"/>
      </w:r>
      <w:r w:rsidRPr="009257E7">
        <w:rPr>
          <w:rFonts w:ascii="Times New Roman" w:eastAsia="Times New Roman" w:hAnsi="Times New Roman" w:cs="Times New Roman"/>
          <w:kern w:val="0"/>
          <w:lang w:val="es-ES"/>
          <w14:ligatures w14:val="none"/>
        </w:rPr>
        <w:t xml:space="preserve">. La cooptación es un peligro constante porque toda lucha por el cambio transformador es </w:t>
      </w:r>
      <w:r w:rsidR="00084A63" w:rsidRPr="009257E7">
        <w:rPr>
          <w:rFonts w:ascii="Times New Roman" w:eastAsia="Times New Roman" w:hAnsi="Times New Roman" w:cs="Times New Roman"/>
          <w:kern w:val="0"/>
          <w:lang w:val="es-ES"/>
          <w14:ligatures w14:val="none"/>
        </w:rPr>
        <w:t>a</w:t>
      </w:r>
      <w:r w:rsidRPr="009257E7">
        <w:rPr>
          <w:rFonts w:ascii="Times New Roman" w:eastAsia="Times New Roman" w:hAnsi="Times New Roman" w:cs="Times New Roman"/>
          <w:kern w:val="0"/>
          <w:lang w:val="es-ES"/>
          <w14:ligatures w14:val="none"/>
        </w:rPr>
        <w:t xml:space="preserve"> largo plazo: se logra con el tiempo mediante pasos incrementales de progreso en contextos caracterizados por la incertidumbre y la complejidad.</w:t>
      </w:r>
    </w:p>
    <w:p w14:paraId="53863893" w14:textId="16C44E05" w:rsidR="00CC231F" w:rsidRPr="009257E7" w:rsidRDefault="00CC231F" w:rsidP="004C4F3F">
      <w:pPr>
        <w:pStyle w:val="NormalWeb"/>
        <w:ind w:firstLine="720"/>
        <w:rPr>
          <w:lang w:val="es-ES"/>
        </w:rPr>
      </w:pPr>
      <w:r w:rsidRPr="009257E7">
        <w:rPr>
          <w:lang w:val="es-ES"/>
        </w:rPr>
        <w:t xml:space="preserve">Al igual que la cooptación o la captura desde arriba, el </w:t>
      </w:r>
      <w:proofErr w:type="spellStart"/>
      <w:r w:rsidRPr="009257E7">
        <w:rPr>
          <w:lang w:val="es-ES"/>
        </w:rPr>
        <w:t>tokenismo</w:t>
      </w:r>
      <w:proofErr w:type="spellEnd"/>
      <w:r w:rsidRPr="009257E7">
        <w:rPr>
          <w:lang w:val="es-ES"/>
        </w:rPr>
        <w:t xml:space="preserve"> puede reducir las metas transformadoras a</w:t>
      </w:r>
      <w:r w:rsidR="004C4F3F" w:rsidRPr="009257E7">
        <w:rPr>
          <w:lang w:val="es-ES"/>
        </w:rPr>
        <w:t xml:space="preserve"> unas</w:t>
      </w:r>
      <w:r w:rsidRPr="009257E7">
        <w:rPr>
          <w:lang w:val="es-ES"/>
        </w:rPr>
        <w:t xml:space="preserve"> cosmétic</w:t>
      </w:r>
      <w:r w:rsidR="004C4F3F" w:rsidRPr="009257E7">
        <w:rPr>
          <w:lang w:val="es-ES"/>
        </w:rPr>
        <w:t>a</w:t>
      </w:r>
      <w:r w:rsidRPr="009257E7">
        <w:rPr>
          <w:lang w:val="es-ES"/>
        </w:rPr>
        <w:t>s atomizad</w:t>
      </w:r>
      <w:r w:rsidR="004C4F3F" w:rsidRPr="009257E7">
        <w:rPr>
          <w:lang w:val="es-ES"/>
        </w:rPr>
        <w:t>a</w:t>
      </w:r>
      <w:r w:rsidRPr="009257E7">
        <w:rPr>
          <w:lang w:val="es-ES"/>
        </w:rPr>
        <w:t xml:space="preserve">s y reformistas. El </w:t>
      </w:r>
      <w:proofErr w:type="spellStart"/>
      <w:r w:rsidRPr="009257E7">
        <w:rPr>
          <w:lang w:val="es-ES"/>
        </w:rPr>
        <w:t>tokenismo</w:t>
      </w:r>
      <w:proofErr w:type="spellEnd"/>
      <w:r w:rsidRPr="009257E7">
        <w:rPr>
          <w:lang w:val="es-ES"/>
        </w:rPr>
        <w:t xml:space="preserve"> </w:t>
      </w:r>
      <w:r w:rsidR="004C4F3F" w:rsidRPr="009257E7">
        <w:rPr>
          <w:lang w:val="es-ES"/>
        </w:rPr>
        <w:t xml:space="preserve">recurre </w:t>
      </w:r>
      <w:r w:rsidRPr="009257E7">
        <w:rPr>
          <w:lang w:val="es-ES"/>
        </w:rPr>
        <w:t xml:space="preserve">a unos pocos ejemplos “de cartel” para retrasar o evitar un cambio sistémico más amplio. Por esta razón, el </w:t>
      </w:r>
      <w:proofErr w:type="spellStart"/>
      <w:r w:rsidRPr="009257E7">
        <w:rPr>
          <w:lang w:val="es-ES"/>
        </w:rPr>
        <w:t>tokenismo</w:t>
      </w:r>
      <w:proofErr w:type="spellEnd"/>
      <w:r w:rsidRPr="009257E7">
        <w:rPr>
          <w:lang w:val="es-ES"/>
        </w:rPr>
        <w:t xml:space="preserve"> es, en el mejor de los casos, reformista; nunca puede ser transformador. Cada una a su manera, estas y otras tácticas socavan el derecho como instrumento de justicia y refuerzan el Desafío Crítico. Con frecuencia, producen “preservación mediante transformación”: es decir, </w:t>
      </w:r>
      <w:r w:rsidR="004C4F3F" w:rsidRPr="009257E7">
        <w:rPr>
          <w:lang w:val="es-ES"/>
        </w:rPr>
        <w:t>un</w:t>
      </w:r>
      <w:r w:rsidRPr="009257E7">
        <w:rPr>
          <w:lang w:val="es-ES"/>
        </w:rPr>
        <w:t xml:space="preserve"> proceso desde arriba mediante el cual el derecho, como sistema, absorbe cambios inconvenientes para alterarse de una manera que niega el progreso y reconstituye la jerarquía</w:t>
      </w:r>
      <w:r w:rsidR="00CE6605" w:rsidRPr="009257E7">
        <w:rPr>
          <w:rStyle w:val="FootnoteReference"/>
          <w:lang w:val="es-ES"/>
        </w:rPr>
        <w:footnoteReference w:id="54"/>
      </w:r>
      <w:r w:rsidRPr="009257E7">
        <w:rPr>
          <w:lang w:val="es-ES"/>
        </w:rPr>
        <w:t>.</w:t>
      </w:r>
    </w:p>
    <w:p w14:paraId="5F353113" w14:textId="0B757C9A" w:rsidR="00CC231F" w:rsidRPr="009257E7" w:rsidRDefault="00CC231F" w:rsidP="00CE6605">
      <w:pPr>
        <w:pStyle w:val="NormalWeb"/>
        <w:ind w:firstLine="720"/>
        <w:rPr>
          <w:lang w:val="es-ES"/>
        </w:rPr>
      </w:pPr>
      <w:r w:rsidRPr="009257E7">
        <w:rPr>
          <w:lang w:val="es-ES"/>
        </w:rPr>
        <w:t xml:space="preserve">Para reimponer la dominación a pesar de la reforma, </w:t>
      </w:r>
      <w:r w:rsidR="00CE6605" w:rsidRPr="009257E7">
        <w:rPr>
          <w:lang w:val="es-ES"/>
        </w:rPr>
        <w:t xml:space="preserve">los </w:t>
      </w:r>
      <w:r w:rsidRPr="009257E7">
        <w:rPr>
          <w:lang w:val="es-ES"/>
        </w:rPr>
        <w:t xml:space="preserve">jueces, </w:t>
      </w:r>
      <w:r w:rsidR="00CE6605" w:rsidRPr="009257E7">
        <w:rPr>
          <w:lang w:val="es-ES"/>
        </w:rPr>
        <w:t xml:space="preserve">los </w:t>
      </w:r>
      <w:r w:rsidRPr="009257E7">
        <w:rPr>
          <w:lang w:val="es-ES"/>
        </w:rPr>
        <w:t xml:space="preserve">responsables de políticas públicas, </w:t>
      </w:r>
      <w:r w:rsidR="00CE6605" w:rsidRPr="009257E7">
        <w:rPr>
          <w:lang w:val="es-ES"/>
        </w:rPr>
        <w:t xml:space="preserve">les </w:t>
      </w:r>
      <w:r w:rsidRPr="009257E7">
        <w:rPr>
          <w:lang w:val="es-ES"/>
        </w:rPr>
        <w:t>funcionaries de agencias y otros actores jurídicos descartan, modifican o inventan reglas para responder al cambio social. Aunque afirman promover el “progreso”, buscan preservar la jerarquía</w:t>
      </w:r>
      <w:r w:rsidR="00CE6605" w:rsidRPr="009257E7">
        <w:rPr>
          <w:lang w:val="es-ES"/>
        </w:rPr>
        <w:t>, ya sea</w:t>
      </w:r>
      <w:r w:rsidRPr="009257E7">
        <w:rPr>
          <w:lang w:val="es-ES"/>
        </w:rPr>
        <w:t xml:space="preserve"> a pesar del cambio inevitable o </w:t>
      </w:r>
      <w:r w:rsidR="00CE6605" w:rsidRPr="009257E7">
        <w:rPr>
          <w:lang w:val="es-ES"/>
        </w:rPr>
        <w:t>a</w:t>
      </w:r>
      <w:r w:rsidRPr="009257E7">
        <w:rPr>
          <w:lang w:val="es-ES"/>
        </w:rPr>
        <w:t xml:space="preserve"> </w:t>
      </w:r>
      <w:r w:rsidR="00CE6605" w:rsidRPr="009257E7">
        <w:rPr>
          <w:lang w:val="es-ES"/>
        </w:rPr>
        <w:t>través</w:t>
      </w:r>
      <w:r w:rsidRPr="009257E7">
        <w:rPr>
          <w:lang w:val="es-ES"/>
        </w:rPr>
        <w:t xml:space="preserve"> de él. En respuesta, la académica del derecho laboral Orly Lobel señala que las reflexiones críticas sobre el derecho —a menudo basadas en escuelas críticas de conocimiento jurídico y enfoques de abogacía— han </w:t>
      </w:r>
      <w:r w:rsidRPr="009257E7">
        <w:rPr>
          <w:lang w:val="es-ES"/>
        </w:rPr>
        <w:lastRenderedPageBreak/>
        <w:t>creado lo que podría llamarse una “conciencia jurídica crítica contemporánea: una sabiduría convencional sobre la ineficacia relativa del derecho”. Lobel sostiene que esta perspectiva es más útil si se reformula. La acción jurídica puede ser insuficiente para lograr por sí sola el cambio transformador, pero sigue siendo necesaria para el progreso. Lo mismo ocurre con la organización y con otras formas de acción extrajurídica</w:t>
      </w:r>
      <w:r w:rsidR="008460EF" w:rsidRPr="009257E7">
        <w:rPr>
          <w:rStyle w:val="FootnoteReference"/>
          <w:lang w:val="es-ES"/>
        </w:rPr>
        <w:footnoteReference w:id="55"/>
      </w:r>
      <w:r w:rsidRPr="009257E7">
        <w:rPr>
          <w:lang w:val="es-ES"/>
        </w:rPr>
        <w:t>. Tanto la organización como el derecho son formas esenciales de acción en la lucha larga por el cambio transformador, y ambas son susceptibles a peligros similares de cooptación:</w:t>
      </w:r>
    </w:p>
    <w:p w14:paraId="16A87F4B" w14:textId="418F1CE2" w:rsidR="00CC231F" w:rsidRPr="009257E7" w:rsidRDefault="00CC231F" w:rsidP="008460EF">
      <w:pPr>
        <w:pStyle w:val="NormalWeb"/>
        <w:ind w:left="720"/>
        <w:rPr>
          <w:lang w:val="es-ES"/>
        </w:rPr>
      </w:pPr>
      <w:r w:rsidRPr="009257E7">
        <w:rPr>
          <w:lang w:val="es-ES"/>
        </w:rPr>
        <w:t xml:space="preserve">[E]l enfoque en la reforma jurídica estrecha la causa, desradicaliza la agenda, legitima las injusticias continuas y desvía energías </w:t>
      </w:r>
      <w:r w:rsidR="008460EF" w:rsidRPr="009257E7">
        <w:rPr>
          <w:lang w:val="es-ES"/>
        </w:rPr>
        <w:t>hacia</w:t>
      </w:r>
      <w:r w:rsidRPr="009257E7">
        <w:rPr>
          <w:lang w:val="es-ES"/>
        </w:rPr>
        <w:t xml:space="preserve"> alternativas m</w:t>
      </w:r>
      <w:r w:rsidR="008460EF" w:rsidRPr="009257E7">
        <w:rPr>
          <w:lang w:val="es-ES"/>
        </w:rPr>
        <w:t>eno</w:t>
      </w:r>
      <w:r w:rsidRPr="009257E7">
        <w:rPr>
          <w:lang w:val="es-ES"/>
        </w:rPr>
        <w:t>s efectivas y transformadoras. [...]</w:t>
      </w:r>
    </w:p>
    <w:p w14:paraId="59282E78" w14:textId="2BCFEBEE" w:rsidR="00CC231F" w:rsidRPr="009257E7" w:rsidRDefault="00CC231F" w:rsidP="008460EF">
      <w:pPr>
        <w:pStyle w:val="NormalWeb"/>
        <w:ind w:left="720"/>
        <w:rPr>
          <w:lang w:val="es-ES"/>
        </w:rPr>
      </w:pPr>
      <w:r w:rsidRPr="009257E7">
        <w:rPr>
          <w:lang w:val="es-ES"/>
        </w:rPr>
        <w:t>[...] [Pero] es posible aceptar la necesidad de diversificar los modos de activismo y las categorías jurídicas</w:t>
      </w:r>
      <w:r w:rsidR="008460EF" w:rsidRPr="009257E7">
        <w:rPr>
          <w:lang w:val="es-ES"/>
        </w:rPr>
        <w:t>,</w:t>
      </w:r>
      <w:r w:rsidRPr="009257E7">
        <w:rPr>
          <w:lang w:val="es-ES"/>
        </w:rPr>
        <w:t xml:space="preserve"> mientras se u</w:t>
      </w:r>
      <w:r w:rsidR="008460EF" w:rsidRPr="009257E7">
        <w:rPr>
          <w:lang w:val="es-ES"/>
        </w:rPr>
        <w:t>tiliz</w:t>
      </w:r>
      <w:r w:rsidRPr="009257E7">
        <w:rPr>
          <w:lang w:val="es-ES"/>
        </w:rPr>
        <w:t>a la reforma jurídica de maneras que respondan a realidades nuevas. [...] Una arquitectura jurídica sensible tiene el potencial de generar formas nuevas de rendición de cuentas y responsabilidad social</w:t>
      </w:r>
      <w:r w:rsidR="008460EF" w:rsidRPr="009257E7">
        <w:rPr>
          <w:lang w:val="es-ES"/>
        </w:rPr>
        <w:t>,</w:t>
      </w:r>
      <w:r w:rsidRPr="009257E7">
        <w:rPr>
          <w:lang w:val="es-ES"/>
        </w:rPr>
        <w:t xml:space="preserve"> y de vincular el derecho duro con prácticas y normatividades “más suaves”. Les reformadores pueden u</w:t>
      </w:r>
      <w:r w:rsidR="008460EF" w:rsidRPr="009257E7">
        <w:rPr>
          <w:lang w:val="es-ES"/>
        </w:rPr>
        <w:t>tilizar</w:t>
      </w:r>
      <w:r w:rsidRPr="009257E7">
        <w:rPr>
          <w:lang w:val="es-ES"/>
        </w:rPr>
        <w:t xml:space="preserve"> potencialmente el derecho para aumentar el poder y el acceso de individuos y grupos vulnerables. [...]</w:t>
      </w:r>
    </w:p>
    <w:p w14:paraId="758BA3B5" w14:textId="1D00AA92" w:rsidR="00CC231F" w:rsidRPr="009257E7" w:rsidRDefault="00CC231F" w:rsidP="008460EF">
      <w:pPr>
        <w:pStyle w:val="NormalWeb"/>
        <w:ind w:left="720"/>
        <w:rPr>
          <w:lang w:val="es-ES"/>
        </w:rPr>
      </w:pPr>
      <w:r w:rsidRPr="009257E7">
        <w:rPr>
          <w:lang w:val="es-ES"/>
        </w:rPr>
        <w:t xml:space="preserve">[...] La crítica siempre ha sido, y sigue siendo, no solo un ejercicio intelectual, sino un acto político y moral. La pregunta que debemos plantear de forma constante es cómo los relatos críticos de los modelos de reforma social contribuyen a nuestra capacidad </w:t>
      </w:r>
      <w:r w:rsidR="008460EF" w:rsidRPr="009257E7">
        <w:rPr>
          <w:lang w:val="es-ES"/>
        </w:rPr>
        <w:t>para</w:t>
      </w:r>
      <w:r w:rsidRPr="009257E7">
        <w:rPr>
          <w:lang w:val="es-ES"/>
        </w:rPr>
        <w:t xml:space="preserve"> producir investigación y acción constructivas. [...]</w:t>
      </w:r>
    </w:p>
    <w:p w14:paraId="09144919" w14:textId="67F23FDF" w:rsidR="00CC231F" w:rsidRPr="009257E7" w:rsidRDefault="00CC231F" w:rsidP="008460EF">
      <w:pPr>
        <w:pStyle w:val="NormalWeb"/>
        <w:ind w:left="720"/>
        <w:rPr>
          <w:lang w:val="es-ES"/>
        </w:rPr>
      </w:pPr>
      <w:r w:rsidRPr="009257E7">
        <w:rPr>
          <w:lang w:val="es-ES"/>
        </w:rPr>
        <w:t>[...] Comprender los límites del cambio jurídico revela los peligros de depender de forma absoluta de un solo sistema y la necesidad, en cualquier esfuerzo de reforma social, de contextualizar el discurso. [...] Los grupos marginados [...] a menudo han logrado proteger sus intereses mediante victorias legislativas y judiciales. En lugar de experimentar un desencanto incapacitante con el sistema jurídico, podemos aprender tanto de los éxitos como de los fracasos de modelos pasados, con el objetivo de redefinir constantemente los límites de la reforma jurídica y hacer visible el amplio alcance del derecho.</w:t>
      </w:r>
      <w:r w:rsidR="003737F5" w:rsidRPr="009257E7">
        <w:rPr>
          <w:rStyle w:val="FootnoteReference"/>
          <w:lang w:val="es-ES"/>
        </w:rPr>
        <w:footnoteReference w:id="56"/>
      </w:r>
    </w:p>
    <w:p w14:paraId="6A44FE99" w14:textId="3FF5131B" w:rsidR="00CC231F" w:rsidRPr="009257E7" w:rsidRDefault="00CC231F" w:rsidP="008F5B70">
      <w:pPr>
        <w:pStyle w:val="NormalWeb"/>
        <w:ind w:firstLine="720"/>
        <w:rPr>
          <w:lang w:val="es-ES"/>
        </w:rPr>
      </w:pPr>
      <w:r w:rsidRPr="009257E7">
        <w:rPr>
          <w:lang w:val="es-ES"/>
        </w:rPr>
        <w:t>Ya sea que se enfoquen en el derecho, en la organización o en ambos, les abogades buscan a</w:t>
      </w:r>
      <w:r w:rsidR="008F5B70" w:rsidRPr="009257E7">
        <w:rPr>
          <w:lang w:val="es-ES"/>
        </w:rPr>
        <w:t>c</w:t>
      </w:r>
      <w:r w:rsidRPr="009257E7">
        <w:rPr>
          <w:lang w:val="es-ES"/>
        </w:rPr>
        <w:t>tivamente oportunidades para pasar a la ofensiva: impulsar el progreso hacia la justicia igualitaria para todes.</w:t>
      </w:r>
    </w:p>
    <w:p w14:paraId="73E82E76" w14:textId="17E0096F" w:rsidR="00CC231F" w:rsidRPr="009257E7" w:rsidRDefault="00CC231F" w:rsidP="008F5B70">
      <w:pPr>
        <w:pStyle w:val="NormalWeb"/>
        <w:ind w:firstLine="720"/>
        <w:rPr>
          <w:lang w:val="es-ES"/>
        </w:rPr>
      </w:pPr>
      <w:r w:rsidRPr="009257E7">
        <w:rPr>
          <w:lang w:val="es-ES"/>
        </w:rPr>
        <w:t xml:space="preserve">Al igual que la cooptación desde arriba, la captura y el </w:t>
      </w:r>
      <w:proofErr w:type="spellStart"/>
      <w:r w:rsidRPr="009257E7">
        <w:rPr>
          <w:lang w:val="es-ES"/>
        </w:rPr>
        <w:t>tokenismo</w:t>
      </w:r>
      <w:proofErr w:type="spellEnd"/>
      <w:r w:rsidRPr="009257E7">
        <w:rPr>
          <w:lang w:val="es-ES"/>
        </w:rPr>
        <w:t xml:space="preserve"> pueden reducir las metas transformadoras a </w:t>
      </w:r>
      <w:r w:rsidR="008F5B70" w:rsidRPr="009257E7">
        <w:rPr>
          <w:lang w:val="es-ES"/>
        </w:rPr>
        <w:t xml:space="preserve">unos cambios </w:t>
      </w:r>
      <w:r w:rsidRPr="009257E7">
        <w:rPr>
          <w:lang w:val="es-ES"/>
        </w:rPr>
        <w:t xml:space="preserve">cosméticos reformistas. Cada una de estas tácticas socava el derecho como instrumento de justicia y preserva el Desafío Crítico. </w:t>
      </w:r>
      <w:r w:rsidR="008F5B70" w:rsidRPr="009257E7">
        <w:rPr>
          <w:lang w:val="es-ES"/>
        </w:rPr>
        <w:t>L</w:t>
      </w:r>
      <w:r w:rsidRPr="009257E7">
        <w:rPr>
          <w:lang w:val="es-ES"/>
        </w:rPr>
        <w:t xml:space="preserve">es abogades enfrentan estos riesgos y participan en la lucha a pesar de ellos. Usan la experiencia personal, el </w:t>
      </w:r>
      <w:r w:rsidRPr="009257E7">
        <w:rPr>
          <w:lang w:val="es-ES"/>
        </w:rPr>
        <w:lastRenderedPageBreak/>
        <w:t xml:space="preserve">conocimiento crítico y otros recursos colectivos para avanzar y evitar la </w:t>
      </w:r>
      <w:r w:rsidR="008F5B70" w:rsidRPr="009257E7">
        <w:rPr>
          <w:lang w:val="es-ES"/>
        </w:rPr>
        <w:t xml:space="preserve">mera </w:t>
      </w:r>
      <w:r w:rsidRPr="009257E7">
        <w:rPr>
          <w:lang w:val="es-ES"/>
        </w:rPr>
        <w:t>preservación mediante</w:t>
      </w:r>
      <w:r w:rsidR="008F5B70" w:rsidRPr="009257E7">
        <w:rPr>
          <w:lang w:val="es-ES"/>
        </w:rPr>
        <w:t xml:space="preserve"> la</w:t>
      </w:r>
      <w:r w:rsidRPr="009257E7">
        <w:rPr>
          <w:lang w:val="es-ES"/>
        </w:rPr>
        <w:t xml:space="preserve"> transformación.</w:t>
      </w:r>
      <w:r w:rsidR="008F5B70" w:rsidRPr="009257E7">
        <w:rPr>
          <w:lang w:val="es-ES"/>
        </w:rPr>
        <w:t xml:space="preserve"> </w:t>
      </w:r>
    </w:p>
    <w:p w14:paraId="1A71EECA" w14:textId="77777777" w:rsidR="006E2F63" w:rsidRPr="009257E7" w:rsidRDefault="006E2F63">
      <w:pPr>
        <w:rPr>
          <w:rFonts w:ascii="Times New Roman" w:eastAsia="Times New Roman" w:hAnsi="Times New Roman" w:cs="Times New Roman"/>
          <w:b/>
          <w:bCs/>
          <w:kern w:val="0"/>
          <w:lang w:val="es-ES"/>
          <w14:ligatures w14:val="none"/>
        </w:rPr>
      </w:pPr>
      <w:r w:rsidRPr="009257E7">
        <w:rPr>
          <w:rFonts w:ascii="Times New Roman" w:eastAsia="Times New Roman" w:hAnsi="Times New Roman" w:cs="Times New Roman"/>
          <w:b/>
          <w:bCs/>
          <w:kern w:val="0"/>
          <w:lang w:val="es-ES"/>
          <w14:ligatures w14:val="none"/>
        </w:rPr>
        <w:br w:type="page"/>
      </w:r>
    </w:p>
    <w:p w14:paraId="6D9DF72C" w14:textId="458F02F9" w:rsidR="008F5B70" w:rsidRPr="009257E7" w:rsidRDefault="008F5B70" w:rsidP="008F5B70">
      <w:pPr>
        <w:spacing w:before="100" w:beforeAutospacing="1" w:after="100" w:afterAutospacing="1" w:line="240" w:lineRule="auto"/>
        <w:outlineLvl w:val="2"/>
        <w:rPr>
          <w:rFonts w:ascii="Times New Roman" w:eastAsia="Times New Roman" w:hAnsi="Times New Roman" w:cs="Times New Roman"/>
          <w:b/>
          <w:bCs/>
          <w:kern w:val="0"/>
          <w:lang w:val="es-ES"/>
          <w14:ligatures w14:val="none"/>
        </w:rPr>
      </w:pPr>
      <w:r w:rsidRPr="009257E7">
        <w:rPr>
          <w:rFonts w:ascii="Times New Roman" w:eastAsia="Times New Roman" w:hAnsi="Times New Roman" w:cs="Times New Roman"/>
          <w:b/>
          <w:bCs/>
          <w:kern w:val="0"/>
          <w:lang w:val="es-ES"/>
          <w14:ligatures w14:val="none"/>
        </w:rPr>
        <w:lastRenderedPageBreak/>
        <w:t>Capítulo 2: Trazar el manual de las élites para el control perpetuo desde arriba</w:t>
      </w:r>
    </w:p>
    <w:p w14:paraId="6E0271BF" w14:textId="63DDFB2F" w:rsidR="007330D1" w:rsidRPr="009257E7" w:rsidRDefault="007330D1" w:rsidP="007330D1">
      <w:pPr>
        <w:spacing w:before="100" w:beforeAutospacing="1" w:after="100" w:afterAutospacing="1" w:line="240" w:lineRule="auto"/>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i/>
          <w:iCs/>
          <w:kern w:val="0"/>
          <w:lang w:val="es-ES"/>
          <w14:ligatures w14:val="none"/>
        </w:rPr>
        <w:t>Hemos progresado en todo, pero nada ha cambiado.</w:t>
      </w:r>
      <w:r w:rsidR="003275FF" w:rsidRPr="009257E7">
        <w:rPr>
          <w:rFonts w:ascii="Times New Roman" w:eastAsia="Times New Roman" w:hAnsi="Times New Roman" w:cs="Times New Roman"/>
          <w:i/>
          <w:iCs/>
          <w:kern w:val="0"/>
          <w:lang w:val="es-ES"/>
          <w14:ligatures w14:val="none"/>
        </w:rPr>
        <w:t xml:space="preserve"> </w:t>
      </w:r>
      <w:r w:rsidRPr="009257E7">
        <w:rPr>
          <w:rFonts w:ascii="Times New Roman" w:eastAsia="Times New Roman" w:hAnsi="Times New Roman" w:cs="Times New Roman"/>
          <w:kern w:val="0"/>
          <w:lang w:val="es-ES"/>
          <w14:ligatures w14:val="none"/>
        </w:rPr>
        <w:t>—Derrick Bell</w:t>
      </w:r>
    </w:p>
    <w:p w14:paraId="6ED29A3B" w14:textId="77777777" w:rsidR="007330D1" w:rsidRPr="009257E7" w:rsidRDefault="007330D1" w:rsidP="007330D1">
      <w:pPr>
        <w:spacing w:before="100" w:beforeAutospacing="1" w:after="100" w:afterAutospacing="1" w:line="240" w:lineRule="auto"/>
        <w:outlineLvl w:val="1"/>
        <w:rPr>
          <w:rFonts w:ascii="Times New Roman" w:eastAsia="Times New Roman" w:hAnsi="Times New Roman" w:cs="Times New Roman"/>
          <w:b/>
          <w:bCs/>
          <w:kern w:val="0"/>
          <w:lang w:val="es-ES"/>
          <w14:ligatures w14:val="none"/>
        </w:rPr>
      </w:pPr>
      <w:r w:rsidRPr="009257E7">
        <w:rPr>
          <w:rFonts w:ascii="Times New Roman" w:eastAsia="Times New Roman" w:hAnsi="Times New Roman" w:cs="Times New Roman"/>
          <w:b/>
          <w:bCs/>
          <w:kern w:val="0"/>
          <w:lang w:val="es-ES"/>
          <w14:ligatures w14:val="none"/>
        </w:rPr>
        <w:t>INTRODUCCIÓN</w:t>
      </w:r>
    </w:p>
    <w:p w14:paraId="70CE63DE" w14:textId="77777777" w:rsidR="00881824" w:rsidRPr="009257E7" w:rsidRDefault="007330D1" w:rsidP="00881824">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 xml:space="preserve">Todos los sistemas tienen un punto de </w:t>
      </w:r>
      <w:proofErr w:type="spellStart"/>
      <w:proofErr w:type="gramStart"/>
      <w:r w:rsidRPr="009257E7">
        <w:rPr>
          <w:rFonts w:ascii="Times New Roman" w:eastAsia="Times New Roman" w:hAnsi="Times New Roman" w:cs="Times New Roman"/>
          <w:kern w:val="0"/>
          <w:lang w:val="es-ES"/>
          <w14:ligatures w14:val="none"/>
        </w:rPr>
        <w:t>origen,y</w:t>
      </w:r>
      <w:proofErr w:type="spellEnd"/>
      <w:proofErr w:type="gramEnd"/>
      <w:r w:rsidRPr="009257E7">
        <w:rPr>
          <w:rFonts w:ascii="Times New Roman" w:eastAsia="Times New Roman" w:hAnsi="Times New Roman" w:cs="Times New Roman"/>
          <w:kern w:val="0"/>
          <w:lang w:val="es-ES"/>
          <w14:ligatures w14:val="none"/>
        </w:rPr>
        <w:t xml:space="preserve"> todos se originan tanto con motivos declarados como con motivos ocultos. Sus diseños originales suelen estar moldeados por las clases, los grupos y los intereses dominantes de </w:t>
      </w:r>
      <w:r w:rsidR="00D13B8E" w:rsidRPr="009257E7">
        <w:rPr>
          <w:rFonts w:ascii="Times New Roman" w:eastAsia="Times New Roman" w:hAnsi="Times New Roman" w:cs="Times New Roman"/>
          <w:kern w:val="0"/>
          <w:lang w:val="es-ES"/>
          <w14:ligatures w14:val="none"/>
        </w:rPr>
        <w:t>su</w:t>
      </w:r>
      <w:r w:rsidRPr="009257E7">
        <w:rPr>
          <w:rFonts w:ascii="Times New Roman" w:eastAsia="Times New Roman" w:hAnsi="Times New Roman" w:cs="Times New Roman"/>
          <w:kern w:val="0"/>
          <w:lang w:val="es-ES"/>
          <w14:ligatures w14:val="none"/>
        </w:rPr>
        <w:t xml:space="preserve"> </w:t>
      </w:r>
      <w:r w:rsidR="00D13B8E" w:rsidRPr="009257E7">
        <w:rPr>
          <w:rFonts w:ascii="Times New Roman" w:eastAsia="Times New Roman" w:hAnsi="Times New Roman" w:cs="Times New Roman"/>
          <w:kern w:val="0"/>
          <w:lang w:val="es-ES"/>
          <w14:ligatures w14:val="none"/>
        </w:rPr>
        <w:t>época</w:t>
      </w:r>
      <w:r w:rsidRPr="009257E7">
        <w:rPr>
          <w:rFonts w:ascii="Times New Roman" w:eastAsia="Times New Roman" w:hAnsi="Times New Roman" w:cs="Times New Roman"/>
          <w:kern w:val="0"/>
          <w:lang w:val="es-ES"/>
          <w14:ligatures w14:val="none"/>
        </w:rPr>
        <w:t xml:space="preserve">. En general, en la mayoría de las sociedades, las clases y los intereses dominantes son elitistas, tanto colectivos como personales. Los sistemas son hechos por las élites y para las élites. </w:t>
      </w:r>
      <w:r w:rsidR="008C2A40" w:rsidRPr="009257E7">
        <w:rPr>
          <w:rFonts w:ascii="Times New Roman" w:hAnsi="Times New Roman" w:cs="Times New Roman"/>
          <w:lang w:val="es-ES"/>
        </w:rPr>
        <w:t>Tras siglos de resultados, la estrategia vertical</w:t>
      </w:r>
      <w:r w:rsidR="00BC5A3A" w:rsidRPr="009257E7">
        <w:rPr>
          <w:rFonts w:ascii="Times New Roman" w:hAnsi="Times New Roman" w:cs="Times New Roman"/>
          <w:lang w:val="es-ES"/>
        </w:rPr>
        <w:t xml:space="preserve"> (de arriba hacia abajo)</w:t>
      </w:r>
      <w:r w:rsidR="008C2A40" w:rsidRPr="009257E7">
        <w:rPr>
          <w:rFonts w:ascii="Times New Roman" w:hAnsi="Times New Roman" w:cs="Times New Roman"/>
          <w:lang w:val="es-ES"/>
        </w:rPr>
        <w:t xml:space="preserve"> de la élite ha quedado lo suficientemente clara como para analizarla y esbozarla.</w:t>
      </w:r>
    </w:p>
    <w:p w14:paraId="071BB08F" w14:textId="77777777" w:rsidR="00763033" w:rsidRPr="009257E7" w:rsidRDefault="007330D1" w:rsidP="00763033">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Controlar el Estado de derecho mediante sus procesos e instituciones</w:t>
      </w:r>
      <w:r w:rsidR="00881824" w:rsidRPr="009257E7">
        <w:rPr>
          <w:rFonts w:ascii="Times New Roman" w:eastAsia="Times New Roman" w:hAnsi="Times New Roman" w:cs="Times New Roman"/>
          <w:kern w:val="0"/>
          <w:lang w:val="es-ES"/>
          <w14:ligatures w14:val="none"/>
        </w:rPr>
        <w:t xml:space="preserve"> múltiples</w:t>
      </w:r>
      <w:r w:rsidRPr="009257E7">
        <w:rPr>
          <w:rFonts w:ascii="Times New Roman" w:eastAsia="Times New Roman" w:hAnsi="Times New Roman" w:cs="Times New Roman"/>
          <w:kern w:val="0"/>
          <w:lang w:val="es-ES"/>
          <w14:ligatures w14:val="none"/>
        </w:rPr>
        <w:t xml:space="preserve">, que van desde la legislación hasta la adjudicación, es clave para controlar también la sociedad y sus frutos. Por medio del derecho y junto con él, las élites basadas en la identidad han usado la educación, la democracia, la propiedad y la economía para construir la sociedad y para convertirse en sus gobernantes enriquecidos y privilegiados. Este </w:t>
      </w:r>
      <w:r w:rsidR="006432FC" w:rsidRPr="009257E7">
        <w:rPr>
          <w:rFonts w:ascii="Times New Roman" w:eastAsia="Times New Roman" w:hAnsi="Times New Roman" w:cs="Times New Roman"/>
          <w:kern w:val="0"/>
          <w:lang w:val="es-ES"/>
          <w14:ligatures w14:val="none"/>
        </w:rPr>
        <w:t>manual, desde arriba, va de lo conceptual a</w:t>
      </w:r>
      <w:r w:rsidRPr="009257E7">
        <w:rPr>
          <w:rFonts w:ascii="Times New Roman" w:eastAsia="Times New Roman" w:hAnsi="Times New Roman" w:cs="Times New Roman"/>
          <w:kern w:val="0"/>
          <w:lang w:val="es-ES"/>
          <w14:ligatures w14:val="none"/>
        </w:rPr>
        <w:t xml:space="preserve"> lo coercitivo.</w:t>
      </w:r>
    </w:p>
    <w:p w14:paraId="17AFBB58" w14:textId="77777777" w:rsidR="002D4D59" w:rsidRPr="009257E7" w:rsidRDefault="007330D1" w:rsidP="002D4D59">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 xml:space="preserve">Como parte de este manual elitista, los sistemas jurídicos modernos del Estado de derecho incorporan y fomentan jerarquías arraigadas basadas en la identidad grupal, mientras prometen justicia igualitaria. Un resultado es el Desafío Crítico continuo, que exige a les abogades y a otras personas usar el derecho de una manera que reconozca, use, interrumpa, desplace y —quizás— elimine este engaño, y que mejore las realidades vividas de les integrantes de grupos subordinados. Por lo tanto, la acción jurídica </w:t>
      </w:r>
      <w:r w:rsidR="008C6016" w:rsidRPr="009257E7">
        <w:rPr>
          <w:rFonts w:ascii="Times New Roman" w:eastAsia="Times New Roman" w:hAnsi="Times New Roman" w:cs="Times New Roman"/>
          <w:kern w:val="0"/>
          <w:lang w:val="es-ES"/>
          <w14:ligatures w14:val="none"/>
        </w:rPr>
        <w:t>en favor de</w:t>
      </w:r>
      <w:r w:rsidRPr="009257E7">
        <w:rPr>
          <w:rFonts w:ascii="Times New Roman" w:eastAsia="Times New Roman" w:hAnsi="Times New Roman" w:cs="Times New Roman"/>
          <w:kern w:val="0"/>
          <w:lang w:val="es-ES"/>
          <w14:ligatures w14:val="none"/>
        </w:rPr>
        <w:t xml:space="preserve"> la igualdad en la educación o en otros contextos con</w:t>
      </w:r>
      <w:r w:rsidR="008C6016" w:rsidRPr="009257E7">
        <w:rPr>
          <w:rFonts w:ascii="Times New Roman" w:eastAsia="Times New Roman" w:hAnsi="Times New Roman" w:cs="Times New Roman"/>
          <w:kern w:val="0"/>
          <w:lang w:val="es-ES"/>
          <w14:ligatures w14:val="none"/>
        </w:rPr>
        <w:t>lleva</w:t>
      </w:r>
      <w:r w:rsidRPr="009257E7">
        <w:rPr>
          <w:rFonts w:ascii="Times New Roman" w:eastAsia="Times New Roman" w:hAnsi="Times New Roman" w:cs="Times New Roman"/>
          <w:kern w:val="0"/>
          <w:lang w:val="es-ES"/>
          <w14:ligatures w14:val="none"/>
        </w:rPr>
        <w:t xml:space="preserve"> tanto “promesas como peligros”</w:t>
      </w:r>
      <w:r w:rsidR="002D4D59" w:rsidRPr="009257E7">
        <w:rPr>
          <w:rStyle w:val="FootnoteReference"/>
          <w:rFonts w:ascii="Times New Roman" w:eastAsia="Times New Roman" w:hAnsi="Times New Roman" w:cs="Times New Roman"/>
          <w:kern w:val="0"/>
          <w:lang w:val="es-ES"/>
          <w14:ligatures w14:val="none"/>
        </w:rPr>
        <w:footnoteReference w:id="57"/>
      </w:r>
      <w:r w:rsidRPr="009257E7">
        <w:rPr>
          <w:rFonts w:ascii="Times New Roman" w:eastAsia="Times New Roman" w:hAnsi="Times New Roman" w:cs="Times New Roman"/>
          <w:kern w:val="0"/>
          <w:lang w:val="es-ES"/>
          <w14:ligatures w14:val="none"/>
        </w:rPr>
        <w:t>. U</w:t>
      </w:r>
      <w:r w:rsidR="008C6016" w:rsidRPr="009257E7">
        <w:rPr>
          <w:rFonts w:ascii="Times New Roman" w:eastAsia="Times New Roman" w:hAnsi="Times New Roman" w:cs="Times New Roman"/>
          <w:kern w:val="0"/>
          <w:lang w:val="es-ES"/>
          <w14:ligatures w14:val="none"/>
        </w:rPr>
        <w:t>tilizar</w:t>
      </w:r>
      <w:r w:rsidRPr="009257E7">
        <w:rPr>
          <w:rFonts w:ascii="Times New Roman" w:eastAsia="Times New Roman" w:hAnsi="Times New Roman" w:cs="Times New Roman"/>
          <w:kern w:val="0"/>
          <w:lang w:val="es-ES"/>
          <w14:ligatures w14:val="none"/>
        </w:rPr>
        <w:t xml:space="preserve"> el derecho </w:t>
      </w:r>
      <w:r w:rsidR="008C6016" w:rsidRPr="009257E7">
        <w:rPr>
          <w:rFonts w:ascii="Times New Roman" w:eastAsia="Times New Roman" w:hAnsi="Times New Roman" w:cs="Times New Roman"/>
          <w:kern w:val="0"/>
          <w:lang w:val="es-ES"/>
          <w14:ligatures w14:val="none"/>
        </w:rPr>
        <w:t>impl</w:t>
      </w:r>
      <w:r w:rsidRPr="009257E7">
        <w:rPr>
          <w:rFonts w:ascii="Times New Roman" w:eastAsia="Times New Roman" w:hAnsi="Times New Roman" w:cs="Times New Roman"/>
          <w:kern w:val="0"/>
          <w:lang w:val="es-ES"/>
          <w14:ligatures w14:val="none"/>
        </w:rPr>
        <w:t xml:space="preserve">ica </w:t>
      </w:r>
      <w:r w:rsidR="008C6016" w:rsidRPr="009257E7">
        <w:rPr>
          <w:rFonts w:ascii="Times New Roman" w:eastAsia="Times New Roman" w:hAnsi="Times New Roman" w:cs="Times New Roman"/>
          <w:kern w:val="0"/>
          <w:lang w:val="es-ES"/>
          <w14:ligatures w14:val="none"/>
        </w:rPr>
        <w:t>recurrir a</w:t>
      </w:r>
      <w:r w:rsidRPr="009257E7">
        <w:rPr>
          <w:rFonts w:ascii="Times New Roman" w:eastAsia="Times New Roman" w:hAnsi="Times New Roman" w:cs="Times New Roman"/>
          <w:kern w:val="0"/>
          <w:lang w:val="es-ES"/>
          <w14:ligatures w14:val="none"/>
        </w:rPr>
        <w:t xml:space="preserve"> un sistema diseñado tanto para promover como para impedir la justicia igualitaria. La eficacia del derecho para la solución de problemas basada en </w:t>
      </w:r>
      <w:proofErr w:type="gramStart"/>
      <w:r w:rsidRPr="009257E7">
        <w:rPr>
          <w:rFonts w:ascii="Times New Roman" w:eastAsia="Times New Roman" w:hAnsi="Times New Roman" w:cs="Times New Roman"/>
          <w:kern w:val="0"/>
          <w:lang w:val="es-ES"/>
          <w14:ligatures w14:val="none"/>
        </w:rPr>
        <w:t>principios,</w:t>
      </w:r>
      <w:proofErr w:type="gramEnd"/>
      <w:r w:rsidRPr="009257E7">
        <w:rPr>
          <w:rFonts w:ascii="Times New Roman" w:eastAsia="Times New Roman" w:hAnsi="Times New Roman" w:cs="Times New Roman"/>
          <w:kern w:val="0"/>
          <w:lang w:val="es-ES"/>
          <w14:ligatures w14:val="none"/>
        </w:rPr>
        <w:t xml:space="preserve"> sujeta a rendición de cuentas y efectiva</w:t>
      </w:r>
      <w:r w:rsidR="008C6016" w:rsidRPr="009257E7">
        <w:rPr>
          <w:rFonts w:ascii="Times New Roman" w:eastAsia="Times New Roman" w:hAnsi="Times New Roman" w:cs="Times New Roman"/>
          <w:kern w:val="0"/>
          <w:lang w:val="es-ES"/>
          <w14:ligatures w14:val="none"/>
        </w:rPr>
        <w:t>,</w:t>
      </w:r>
      <w:r w:rsidRPr="009257E7">
        <w:rPr>
          <w:rFonts w:ascii="Times New Roman" w:eastAsia="Times New Roman" w:hAnsi="Times New Roman" w:cs="Times New Roman"/>
          <w:kern w:val="0"/>
          <w:lang w:val="es-ES"/>
          <w14:ligatures w14:val="none"/>
        </w:rPr>
        <w:t xml:space="preserve"> está impedida por </w:t>
      </w:r>
      <w:r w:rsidR="008C6016" w:rsidRPr="009257E7">
        <w:rPr>
          <w:rFonts w:ascii="Times New Roman" w:eastAsia="Times New Roman" w:hAnsi="Times New Roman" w:cs="Times New Roman"/>
          <w:kern w:val="0"/>
          <w:lang w:val="es-ES"/>
          <w14:ligatures w14:val="none"/>
        </w:rPr>
        <w:t xml:space="preserve">su propio </w:t>
      </w:r>
      <w:r w:rsidRPr="009257E7">
        <w:rPr>
          <w:rFonts w:ascii="Times New Roman" w:eastAsia="Times New Roman" w:hAnsi="Times New Roman" w:cs="Times New Roman"/>
          <w:kern w:val="0"/>
          <w:lang w:val="es-ES"/>
          <w14:ligatures w14:val="none"/>
        </w:rPr>
        <w:t>diseño. La abogacía para promover la justicia igualitaria se construye para igualar y superar el fracaso del derecho por diseño.</w:t>
      </w:r>
    </w:p>
    <w:p w14:paraId="7A7C4375" w14:textId="2F455CA7" w:rsidR="007330D1" w:rsidRPr="009257E7" w:rsidRDefault="007330D1" w:rsidP="002D4D59">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 xml:space="preserve">Esta complejidad incorporada se multiplica mediante sistemas superpuestos e interactivos, tanto </w:t>
      </w:r>
      <w:r w:rsidR="002D4D59" w:rsidRPr="009257E7">
        <w:rPr>
          <w:rFonts w:ascii="Times New Roman" w:eastAsia="Times New Roman" w:hAnsi="Times New Roman" w:cs="Times New Roman"/>
          <w:kern w:val="0"/>
          <w:lang w:val="es-ES"/>
          <w14:ligatures w14:val="none"/>
        </w:rPr>
        <w:t>en</w:t>
      </w:r>
      <w:r w:rsidRPr="009257E7">
        <w:rPr>
          <w:rFonts w:ascii="Times New Roman" w:eastAsia="Times New Roman" w:hAnsi="Times New Roman" w:cs="Times New Roman"/>
          <w:kern w:val="0"/>
          <w:lang w:val="es-ES"/>
          <w14:ligatures w14:val="none"/>
        </w:rPr>
        <w:t xml:space="preserve"> el derecho como en la construcción de la sociedad. Crear y mantener sistemas —y controlar sus resultados— requiere un plan, además de colaboraciones </w:t>
      </w:r>
      <w:r w:rsidR="00861E2F" w:rsidRPr="009257E7">
        <w:rPr>
          <w:rFonts w:ascii="Times New Roman" w:eastAsia="Times New Roman" w:hAnsi="Times New Roman" w:cs="Times New Roman"/>
          <w:kern w:val="0"/>
          <w:lang w:val="es-ES"/>
          <w14:ligatures w14:val="none"/>
        </w:rPr>
        <w:t>a</w:t>
      </w:r>
      <w:r w:rsidRPr="009257E7">
        <w:rPr>
          <w:rFonts w:ascii="Times New Roman" w:eastAsia="Times New Roman" w:hAnsi="Times New Roman" w:cs="Times New Roman"/>
          <w:kern w:val="0"/>
          <w:lang w:val="es-ES"/>
          <w14:ligatures w14:val="none"/>
        </w:rPr>
        <w:t xml:space="preserve"> largo plazo para ejecutarlo. Ese proceso comienza con el control de la conciencia. Este proceso de socialización comienza en los años formativos de una juventud impresionable y se impone simplemente como “crecer”. Como siempre han mostrado las escuelas y los campus, algunas personas jóvenes abrazan con entusiasmo las inculcaciones de este proceso formativo; otras lo hacen menos, y otras no lo hacen en absoluto.</w:t>
      </w:r>
    </w:p>
    <w:p w14:paraId="0C34E8ED" w14:textId="28899534" w:rsidR="007330D1" w:rsidRPr="009257E7" w:rsidRDefault="007330D1" w:rsidP="00861E2F">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 xml:space="preserve">La experiencia histórica con la democracia y la tiranía muestra, por lo tanto, que la educación —el control de la información y, por ende, de la conciencia— es un instrumento clave </w:t>
      </w:r>
      <w:r w:rsidRPr="009257E7">
        <w:rPr>
          <w:rFonts w:ascii="Times New Roman" w:eastAsia="Times New Roman" w:hAnsi="Times New Roman" w:cs="Times New Roman"/>
          <w:kern w:val="0"/>
          <w:lang w:val="es-ES"/>
          <w14:ligatures w14:val="none"/>
        </w:rPr>
        <w:lastRenderedPageBreak/>
        <w:t xml:space="preserve">tanto de dominación como de liberación. A menudo, la educación ha sido la </w:t>
      </w:r>
      <w:r w:rsidR="000136D4" w:rsidRPr="009257E7">
        <w:rPr>
          <w:rFonts w:ascii="Times New Roman" w:eastAsia="Times New Roman" w:hAnsi="Times New Roman" w:cs="Times New Roman"/>
          <w:kern w:val="0"/>
          <w:lang w:val="es-ES"/>
          <w14:ligatures w14:val="none"/>
        </w:rPr>
        <w:t>adoctrinación</w:t>
      </w:r>
      <w:r w:rsidRPr="009257E7">
        <w:rPr>
          <w:rFonts w:ascii="Times New Roman" w:eastAsia="Times New Roman" w:hAnsi="Times New Roman" w:cs="Times New Roman"/>
          <w:kern w:val="0"/>
          <w:lang w:val="es-ES"/>
          <w14:ligatures w14:val="none"/>
        </w:rPr>
        <w:t xml:space="preserve"> de la generación siguiente por parte de las élites dominantes. La educación también puede ser, y a menudo </w:t>
      </w:r>
      <w:r w:rsidR="00861E2F" w:rsidRPr="009257E7">
        <w:rPr>
          <w:rFonts w:ascii="Times New Roman" w:eastAsia="Times New Roman" w:hAnsi="Times New Roman" w:cs="Times New Roman"/>
          <w:kern w:val="0"/>
          <w:lang w:val="es-ES"/>
          <w14:ligatures w14:val="none"/>
        </w:rPr>
        <w:t xml:space="preserve">lo </w:t>
      </w:r>
      <w:r w:rsidRPr="009257E7">
        <w:rPr>
          <w:rFonts w:ascii="Times New Roman" w:eastAsia="Times New Roman" w:hAnsi="Times New Roman" w:cs="Times New Roman"/>
          <w:kern w:val="0"/>
          <w:lang w:val="es-ES"/>
          <w14:ligatures w14:val="none"/>
        </w:rPr>
        <w:t xml:space="preserve">es, una herramienta para ampliar el saber, profundizar la conciencia y </w:t>
      </w:r>
      <w:r w:rsidR="00420C0E" w:rsidRPr="009257E7">
        <w:rPr>
          <w:rFonts w:ascii="Times New Roman" w:eastAsia="Times New Roman" w:hAnsi="Times New Roman" w:cs="Times New Roman"/>
          <w:kern w:val="0"/>
          <w:lang w:val="es-ES"/>
          <w14:ligatures w14:val="none"/>
        </w:rPr>
        <w:t>acrecentar</w:t>
      </w:r>
      <w:r w:rsidRPr="009257E7">
        <w:rPr>
          <w:rFonts w:ascii="Times New Roman" w:eastAsia="Times New Roman" w:hAnsi="Times New Roman" w:cs="Times New Roman"/>
          <w:kern w:val="0"/>
          <w:lang w:val="es-ES"/>
          <w14:ligatures w14:val="none"/>
        </w:rPr>
        <w:t xml:space="preserve"> la agencia. El conocimiento, ya sea adquirido mediante la educación o de otra manera, es poderoso porque puede motivar y </w:t>
      </w:r>
      <w:r w:rsidR="00420C0E" w:rsidRPr="009257E7">
        <w:rPr>
          <w:rFonts w:ascii="Times New Roman" w:eastAsia="Times New Roman" w:hAnsi="Times New Roman" w:cs="Times New Roman"/>
          <w:kern w:val="0"/>
          <w:lang w:val="es-ES"/>
          <w14:ligatures w14:val="none"/>
        </w:rPr>
        <w:t>orienta</w:t>
      </w:r>
      <w:r w:rsidRPr="009257E7">
        <w:rPr>
          <w:rFonts w:ascii="Times New Roman" w:eastAsia="Times New Roman" w:hAnsi="Times New Roman" w:cs="Times New Roman"/>
          <w:kern w:val="0"/>
          <w:lang w:val="es-ES"/>
          <w14:ligatures w14:val="none"/>
        </w:rPr>
        <w:t>r comportamientos —tanto cognitivos como físicos— en contextos sociales, económicos, culturales y políticos. El conocimiento es poderoso porque afecta realidades intelectuales y materiales.</w:t>
      </w:r>
    </w:p>
    <w:p w14:paraId="64D88484" w14:textId="1ACAA4B9" w:rsidR="007330D1" w:rsidRPr="009257E7" w:rsidRDefault="007330D1" w:rsidP="007C4E23">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 xml:space="preserve">En este sentido, la educación es el vehículo para la inducción y la asimilación </w:t>
      </w:r>
      <w:r w:rsidR="007C4E23" w:rsidRPr="009257E7">
        <w:rPr>
          <w:rFonts w:ascii="Times New Roman" w:eastAsia="Times New Roman" w:hAnsi="Times New Roman" w:cs="Times New Roman"/>
          <w:kern w:val="0"/>
          <w:lang w:val="es-ES"/>
          <w14:ligatures w14:val="none"/>
        </w:rPr>
        <w:t>de</w:t>
      </w:r>
      <w:r w:rsidRPr="009257E7">
        <w:rPr>
          <w:rFonts w:ascii="Times New Roman" w:eastAsia="Times New Roman" w:hAnsi="Times New Roman" w:cs="Times New Roman"/>
          <w:kern w:val="0"/>
          <w:lang w:val="es-ES"/>
          <w14:ligatures w14:val="none"/>
        </w:rPr>
        <w:t xml:space="preserve"> normas, reglas, valores y expectativas desde arriba. De ese modo, la educación enseña ideología para legitimar y reforzar la aceptación personal de los arreglos dominantes y </w:t>
      </w:r>
      <w:r w:rsidR="007C4E23" w:rsidRPr="009257E7">
        <w:rPr>
          <w:rFonts w:ascii="Times New Roman" w:eastAsia="Times New Roman" w:hAnsi="Times New Roman" w:cs="Times New Roman"/>
          <w:kern w:val="0"/>
          <w:lang w:val="es-ES"/>
          <w14:ligatures w14:val="none"/>
        </w:rPr>
        <w:t xml:space="preserve">de </w:t>
      </w:r>
      <w:r w:rsidRPr="009257E7">
        <w:rPr>
          <w:rFonts w:ascii="Times New Roman" w:eastAsia="Times New Roman" w:hAnsi="Times New Roman" w:cs="Times New Roman"/>
          <w:kern w:val="0"/>
          <w:lang w:val="es-ES"/>
          <w14:ligatures w14:val="none"/>
        </w:rPr>
        <w:t>sus males sociales. A veces, estas ideologías son abiertamente supremacistas, como ocurre con la supremacía blanca, el patriarcado, el heterosexismo o la xenofobia. Otras veces, estas ideologías justifican o facilitan</w:t>
      </w:r>
      <w:r w:rsidR="007C4E23" w:rsidRPr="009257E7">
        <w:rPr>
          <w:rFonts w:ascii="Times New Roman" w:eastAsia="Times New Roman" w:hAnsi="Times New Roman" w:cs="Times New Roman"/>
          <w:kern w:val="0"/>
          <w:lang w:val="es-ES"/>
          <w14:ligatures w14:val="none"/>
        </w:rPr>
        <w:t>,</w:t>
      </w:r>
      <w:r w:rsidRPr="009257E7">
        <w:rPr>
          <w:rFonts w:ascii="Times New Roman" w:eastAsia="Times New Roman" w:hAnsi="Times New Roman" w:cs="Times New Roman"/>
          <w:kern w:val="0"/>
          <w:lang w:val="es-ES"/>
          <w14:ligatures w14:val="none"/>
        </w:rPr>
        <w:t xml:space="preserve"> de forma encubierta</w:t>
      </w:r>
      <w:r w:rsidR="007C4E23" w:rsidRPr="009257E7">
        <w:rPr>
          <w:rFonts w:ascii="Times New Roman" w:eastAsia="Times New Roman" w:hAnsi="Times New Roman" w:cs="Times New Roman"/>
          <w:kern w:val="0"/>
          <w:lang w:val="es-ES"/>
          <w14:ligatures w14:val="none"/>
        </w:rPr>
        <w:t>,</w:t>
      </w:r>
      <w:r w:rsidRPr="009257E7">
        <w:rPr>
          <w:rFonts w:ascii="Times New Roman" w:eastAsia="Times New Roman" w:hAnsi="Times New Roman" w:cs="Times New Roman"/>
          <w:kern w:val="0"/>
          <w:lang w:val="es-ES"/>
          <w14:ligatures w14:val="none"/>
        </w:rPr>
        <w:t xml:space="preserve"> sistemas supremacistas, ya sea en la educación, en el derecho o en otros ámbitos. La ideología, </w:t>
      </w:r>
      <w:r w:rsidR="007C4E23" w:rsidRPr="009257E7">
        <w:rPr>
          <w:rFonts w:ascii="Times New Roman" w:eastAsia="Times New Roman" w:hAnsi="Times New Roman" w:cs="Times New Roman"/>
          <w:kern w:val="0"/>
          <w:lang w:val="es-ES"/>
          <w14:ligatures w14:val="none"/>
        </w:rPr>
        <w:t xml:space="preserve">tanto </w:t>
      </w:r>
      <w:r w:rsidRPr="009257E7">
        <w:rPr>
          <w:rFonts w:ascii="Times New Roman" w:eastAsia="Times New Roman" w:hAnsi="Times New Roman" w:cs="Times New Roman"/>
          <w:kern w:val="0"/>
          <w:lang w:val="es-ES"/>
          <w14:ligatures w14:val="none"/>
        </w:rPr>
        <w:t xml:space="preserve">dentro </w:t>
      </w:r>
      <w:r w:rsidR="007C4E23" w:rsidRPr="009257E7">
        <w:rPr>
          <w:rFonts w:ascii="Times New Roman" w:eastAsia="Times New Roman" w:hAnsi="Times New Roman" w:cs="Times New Roman"/>
          <w:kern w:val="0"/>
          <w:lang w:val="es-ES"/>
          <w14:ligatures w14:val="none"/>
        </w:rPr>
        <w:t>como</w:t>
      </w:r>
      <w:r w:rsidRPr="009257E7">
        <w:rPr>
          <w:rFonts w:ascii="Times New Roman" w:eastAsia="Times New Roman" w:hAnsi="Times New Roman" w:cs="Times New Roman"/>
          <w:kern w:val="0"/>
          <w:lang w:val="es-ES"/>
          <w14:ligatures w14:val="none"/>
        </w:rPr>
        <w:t xml:space="preserve"> fuera de la educación formal, es un medio principal y de primera línea para la dominación elitista y el control masivo.</w:t>
      </w:r>
    </w:p>
    <w:p w14:paraId="50116B7D" w14:textId="57065817" w:rsidR="0016444B" w:rsidRPr="009257E7" w:rsidRDefault="004B3610" w:rsidP="004B3610">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N</w:t>
      </w:r>
      <w:r w:rsidR="007330D1" w:rsidRPr="009257E7">
        <w:rPr>
          <w:rFonts w:ascii="Times New Roman" w:eastAsia="Times New Roman" w:hAnsi="Times New Roman" w:cs="Times New Roman"/>
          <w:kern w:val="0"/>
          <w:lang w:val="es-ES"/>
          <w14:ligatures w14:val="none"/>
        </w:rPr>
        <w:t xml:space="preserve">o todo el mundo es susceptible. Para imponer su dominio y su privilegio, las élites enriquecidas a veces complementan el control mental con </w:t>
      </w:r>
      <w:r w:rsidRPr="009257E7">
        <w:rPr>
          <w:rFonts w:ascii="Times New Roman" w:eastAsia="Times New Roman" w:hAnsi="Times New Roman" w:cs="Times New Roman"/>
          <w:kern w:val="0"/>
          <w:lang w:val="es-ES"/>
          <w14:ligatures w14:val="none"/>
        </w:rPr>
        <w:t xml:space="preserve">la </w:t>
      </w:r>
      <w:r w:rsidR="007330D1" w:rsidRPr="009257E7">
        <w:rPr>
          <w:rFonts w:ascii="Times New Roman" w:eastAsia="Times New Roman" w:hAnsi="Times New Roman" w:cs="Times New Roman"/>
          <w:kern w:val="0"/>
          <w:lang w:val="es-ES"/>
          <w14:ligatures w14:val="none"/>
        </w:rPr>
        <w:t xml:space="preserve">violencia legalizada: no es coincidencia que las prisiones estén desbordadas y que el encarcelamiento masivo y la deportación se hayan convertido en industrias con fines de lucro. Junto con el control de la democracia y </w:t>
      </w:r>
      <w:r w:rsidRPr="009257E7">
        <w:rPr>
          <w:rFonts w:ascii="Times New Roman" w:eastAsia="Times New Roman" w:hAnsi="Times New Roman" w:cs="Times New Roman"/>
          <w:kern w:val="0"/>
          <w:lang w:val="es-ES"/>
          <w14:ligatures w14:val="none"/>
        </w:rPr>
        <w:t xml:space="preserve">de </w:t>
      </w:r>
      <w:r w:rsidR="007330D1" w:rsidRPr="009257E7">
        <w:rPr>
          <w:rFonts w:ascii="Times New Roman" w:eastAsia="Times New Roman" w:hAnsi="Times New Roman" w:cs="Times New Roman"/>
          <w:kern w:val="0"/>
          <w:lang w:val="es-ES"/>
          <w14:ligatures w14:val="none"/>
        </w:rPr>
        <w:t xml:space="preserve">la propiedad, estos mecanismos de coerción ayudan a completar el manual desde arriba de las élites. Este conjunto de derecho, cultura, educación, ideología y violencia proporciona a las élites palancas de poder que pueden combinar para controlar </w:t>
      </w:r>
      <w:r w:rsidRPr="009257E7">
        <w:rPr>
          <w:rFonts w:ascii="Times New Roman" w:eastAsia="Times New Roman" w:hAnsi="Times New Roman" w:cs="Times New Roman"/>
          <w:kern w:val="0"/>
          <w:lang w:val="es-ES"/>
          <w14:ligatures w14:val="none"/>
        </w:rPr>
        <w:t xml:space="preserve">los </w:t>
      </w:r>
      <w:r w:rsidR="007330D1" w:rsidRPr="009257E7">
        <w:rPr>
          <w:rFonts w:ascii="Times New Roman" w:eastAsia="Times New Roman" w:hAnsi="Times New Roman" w:cs="Times New Roman"/>
          <w:kern w:val="0"/>
          <w:lang w:val="es-ES"/>
          <w14:ligatures w14:val="none"/>
        </w:rPr>
        <w:t xml:space="preserve">resultados y perpetuar su gobierno. De manera notable, lo hacen de </w:t>
      </w:r>
      <w:r w:rsidRPr="009257E7">
        <w:rPr>
          <w:rFonts w:ascii="Times New Roman" w:eastAsia="Times New Roman" w:hAnsi="Times New Roman" w:cs="Times New Roman"/>
          <w:kern w:val="0"/>
          <w:lang w:val="es-ES"/>
          <w14:ligatures w14:val="none"/>
        </w:rPr>
        <w:t>maner</w:t>
      </w:r>
      <w:r w:rsidR="007330D1" w:rsidRPr="009257E7">
        <w:rPr>
          <w:rFonts w:ascii="Times New Roman" w:eastAsia="Times New Roman" w:hAnsi="Times New Roman" w:cs="Times New Roman"/>
          <w:kern w:val="0"/>
          <w:lang w:val="es-ES"/>
          <w14:ligatures w14:val="none"/>
        </w:rPr>
        <w:t xml:space="preserve">a colaborativa para maximizar su enriquecimiento y </w:t>
      </w:r>
      <w:r w:rsidRPr="009257E7">
        <w:rPr>
          <w:rFonts w:ascii="Times New Roman" w:eastAsia="Times New Roman" w:hAnsi="Times New Roman" w:cs="Times New Roman"/>
          <w:kern w:val="0"/>
          <w:lang w:val="es-ES"/>
          <w14:ligatures w14:val="none"/>
        </w:rPr>
        <w:t>su empoderamiento, ta</w:t>
      </w:r>
      <w:r w:rsidR="007330D1" w:rsidRPr="009257E7">
        <w:rPr>
          <w:rFonts w:ascii="Times New Roman" w:eastAsia="Times New Roman" w:hAnsi="Times New Roman" w:cs="Times New Roman"/>
          <w:kern w:val="0"/>
          <w:lang w:val="es-ES"/>
          <w14:ligatures w14:val="none"/>
        </w:rPr>
        <w:t xml:space="preserve">nto colectivos </w:t>
      </w:r>
      <w:r w:rsidRPr="009257E7">
        <w:rPr>
          <w:rFonts w:ascii="Times New Roman" w:eastAsia="Times New Roman" w:hAnsi="Times New Roman" w:cs="Times New Roman"/>
          <w:kern w:val="0"/>
          <w:lang w:val="es-ES"/>
          <w14:ligatures w14:val="none"/>
        </w:rPr>
        <w:t>como</w:t>
      </w:r>
      <w:r w:rsidR="007330D1" w:rsidRPr="009257E7">
        <w:rPr>
          <w:rFonts w:ascii="Times New Roman" w:eastAsia="Times New Roman" w:hAnsi="Times New Roman" w:cs="Times New Roman"/>
          <w:kern w:val="0"/>
          <w:lang w:val="es-ES"/>
          <w14:ligatures w14:val="none"/>
        </w:rPr>
        <w:t xml:space="preserve"> personales.</w:t>
      </w:r>
    </w:p>
    <w:p w14:paraId="7A3949DE" w14:textId="77777777" w:rsidR="009517D8" w:rsidRPr="009257E7" w:rsidRDefault="008F5B70" w:rsidP="008F5B70">
      <w:pPr>
        <w:spacing w:before="100" w:beforeAutospacing="1" w:after="100" w:afterAutospacing="1" w:line="240" w:lineRule="auto"/>
        <w:rPr>
          <w:rFonts w:ascii="Times New Roman" w:eastAsia="Times New Roman" w:hAnsi="Times New Roman" w:cs="Times New Roman"/>
          <w:b/>
          <w:bCs/>
          <w:kern w:val="0"/>
          <w:lang w:val="es-ES"/>
          <w14:ligatures w14:val="none"/>
        </w:rPr>
      </w:pPr>
      <w:r w:rsidRPr="009257E7">
        <w:rPr>
          <w:rFonts w:ascii="Times New Roman" w:eastAsia="Times New Roman" w:hAnsi="Times New Roman" w:cs="Times New Roman"/>
          <w:b/>
          <w:bCs/>
          <w:kern w:val="0"/>
          <w:lang w:val="es-ES"/>
          <w14:ligatures w14:val="none"/>
        </w:rPr>
        <w:t>2.1 Las élites estructuraron el derecho y la sociedad para mantenerse colectivamente siempre en la cima</w:t>
      </w:r>
    </w:p>
    <w:p w14:paraId="543FA835" w14:textId="3A403A6E" w:rsidR="009C3FDD" w:rsidRPr="009257E7" w:rsidRDefault="009C3FDD" w:rsidP="00142892">
      <w:pPr>
        <w:pStyle w:val="NormalWeb"/>
        <w:ind w:firstLine="720"/>
        <w:rPr>
          <w:lang w:val="es-ES"/>
        </w:rPr>
      </w:pPr>
      <w:r w:rsidRPr="009257E7">
        <w:rPr>
          <w:lang w:val="es-ES"/>
        </w:rPr>
        <w:t>L</w:t>
      </w:r>
      <w:r w:rsidR="00142892" w:rsidRPr="009257E7">
        <w:rPr>
          <w:lang w:val="es-ES"/>
        </w:rPr>
        <w:t>o</w:t>
      </w:r>
      <w:r w:rsidRPr="009257E7">
        <w:rPr>
          <w:lang w:val="es-ES"/>
        </w:rPr>
        <w:t>s colonos europeos se establecieron como élites identificables, primero en las colonias y, luego, en los Estados colon</w:t>
      </w:r>
      <w:r w:rsidR="00142892" w:rsidRPr="009257E7">
        <w:rPr>
          <w:lang w:val="es-ES"/>
        </w:rPr>
        <w:t>iale</w:t>
      </w:r>
      <w:r w:rsidRPr="009257E7">
        <w:rPr>
          <w:lang w:val="es-ES"/>
        </w:rPr>
        <w:t xml:space="preserve">s que controlaban. A lo largo de este proceso, las élites organizaron a sus pares en redes y grupos. Las élites usaron su poder colectivizado para crear instituciones y sistemas destinados a mantener sus intereses personales y compartidos a </w:t>
      </w:r>
      <w:r w:rsidR="00872E81" w:rsidRPr="009257E7">
        <w:rPr>
          <w:lang w:val="es-ES"/>
        </w:rPr>
        <w:t>lo largo</w:t>
      </w:r>
      <w:r w:rsidRPr="009257E7">
        <w:rPr>
          <w:lang w:val="es-ES"/>
        </w:rPr>
        <w:t xml:space="preserve"> del tiempo y del cambio. Esta “élite de poder” —o red de élites— consiste en personas, grupos e intereses entrelazados, organizados </w:t>
      </w:r>
      <w:r w:rsidR="00872E81" w:rsidRPr="009257E7">
        <w:rPr>
          <w:lang w:val="es-ES"/>
        </w:rPr>
        <w:t>en</w:t>
      </w:r>
      <w:r w:rsidRPr="009257E7">
        <w:rPr>
          <w:lang w:val="es-ES"/>
        </w:rPr>
        <w:t xml:space="preserve"> </w:t>
      </w:r>
      <w:r w:rsidR="00872E81" w:rsidRPr="009257E7">
        <w:rPr>
          <w:lang w:val="es-ES"/>
        </w:rPr>
        <w:t>torno a</w:t>
      </w:r>
      <w:r w:rsidRPr="009257E7">
        <w:rPr>
          <w:lang w:val="es-ES"/>
        </w:rPr>
        <w:t xml:space="preserve"> los sistemas jurídicos, políticos, económicos, sociales y culturales de la sociedad. Colectivamente, a </w:t>
      </w:r>
      <w:r w:rsidR="00872E81" w:rsidRPr="009257E7">
        <w:rPr>
          <w:lang w:val="es-ES"/>
        </w:rPr>
        <w:t>lo largo</w:t>
      </w:r>
      <w:r w:rsidRPr="009257E7">
        <w:rPr>
          <w:lang w:val="es-ES"/>
        </w:rPr>
        <w:t xml:space="preserve"> del tiempo, las élites organizaron la sociedad misma para perpetuar su dominio.</w:t>
      </w:r>
    </w:p>
    <w:p w14:paraId="2924EED1" w14:textId="06ED0BF6" w:rsidR="009C3FDD" w:rsidRPr="009257E7" w:rsidRDefault="009C3FDD" w:rsidP="00872E81">
      <w:pPr>
        <w:pStyle w:val="NormalWeb"/>
        <w:ind w:firstLine="720"/>
        <w:rPr>
          <w:lang w:val="es-ES"/>
        </w:rPr>
      </w:pPr>
      <w:r w:rsidRPr="009257E7">
        <w:rPr>
          <w:lang w:val="es-ES"/>
        </w:rPr>
        <w:t xml:space="preserve">Por ejemplo, las élites estadounidenses se originaron entre “hombres de asuntos” provenientes de familias ricas que se asentaron durante la era colonial. Gradualmente, crearon redes establecidas a través del derecho, la política, la economía y el ámbito militar. Aquellos “hombres de asuntos” originales, provenientes de Europa, que colonizaron tierras indígenas, pusieron en marcha un proceso de construcción de sistemas que coincidió con la consolidación colectiva de este grupo como clase gobernante. Este proceso continuo muestra que las élites son </w:t>
      </w:r>
      <w:r w:rsidRPr="009257E7">
        <w:rPr>
          <w:lang w:val="es-ES"/>
        </w:rPr>
        <w:lastRenderedPageBreak/>
        <w:t xml:space="preserve">complejas, pero que, con el tiempo, mantienen un propósito: seguir siendo la clase gobernante </w:t>
      </w:r>
      <w:r w:rsidR="00CE3511" w:rsidRPr="009257E7">
        <w:rPr>
          <w:lang w:val="es-ES"/>
        </w:rPr>
        <w:t>y obtener</w:t>
      </w:r>
      <w:r w:rsidRPr="009257E7">
        <w:rPr>
          <w:lang w:val="es-ES"/>
        </w:rPr>
        <w:t xml:space="preserve"> sus ganancias materiales.</w:t>
      </w:r>
    </w:p>
    <w:p w14:paraId="08EAA18B" w14:textId="54304497" w:rsidR="009C3FDD" w:rsidRPr="009257E7" w:rsidRDefault="009C3FDD" w:rsidP="00CE3511">
      <w:pPr>
        <w:pStyle w:val="NormalWeb"/>
        <w:ind w:firstLine="720"/>
        <w:rPr>
          <w:lang w:val="es-ES"/>
        </w:rPr>
      </w:pPr>
      <w:r w:rsidRPr="009257E7">
        <w:rPr>
          <w:lang w:val="es-ES"/>
        </w:rPr>
        <w:t xml:space="preserve">El poder de la propiedad se </w:t>
      </w:r>
      <w:r w:rsidR="00CE3511" w:rsidRPr="009257E7">
        <w:rPr>
          <w:lang w:val="es-ES"/>
        </w:rPr>
        <w:t>consolid</w:t>
      </w:r>
      <w:r w:rsidRPr="009257E7">
        <w:rPr>
          <w:lang w:val="es-ES"/>
        </w:rPr>
        <w:t xml:space="preserve">ó en las décadas posteriores a la adopción de la Constitución de </w:t>
      </w:r>
      <w:r w:rsidR="00CE3511" w:rsidRPr="009257E7">
        <w:rPr>
          <w:lang w:val="es-ES"/>
        </w:rPr>
        <w:t xml:space="preserve">los </w:t>
      </w:r>
      <w:r w:rsidRPr="009257E7">
        <w:rPr>
          <w:lang w:val="es-ES"/>
        </w:rPr>
        <w:t xml:space="preserve">Estados Unidos. Las élites negaron específicamente el acceso a la propiedad a la mayoría de la población con base en identidades sociales, como la raza y el sexo. Luego, usaron la propiedad como apoyo para </w:t>
      </w:r>
      <w:r w:rsidR="00E77654" w:rsidRPr="009257E7">
        <w:rPr>
          <w:lang w:val="es-ES"/>
        </w:rPr>
        <w:t>inclui</w:t>
      </w:r>
      <w:r w:rsidRPr="009257E7">
        <w:rPr>
          <w:lang w:val="es-ES"/>
        </w:rPr>
        <w:t xml:space="preserve">r a quienes no la tenían entre los grupos excluidos de la democracia. Con el tiempo, el requisito de propiedad se convirtió en un requisito de solvencia económica —o </w:t>
      </w:r>
      <w:proofErr w:type="spellStart"/>
      <w:r w:rsidRPr="009257E7">
        <w:rPr>
          <w:lang w:val="es-ES"/>
        </w:rPr>
        <w:t>antipauperismo</w:t>
      </w:r>
      <w:proofErr w:type="spellEnd"/>
      <w:r w:rsidRPr="009257E7">
        <w:rPr>
          <w:lang w:val="es-ES"/>
        </w:rPr>
        <w:t>—, lo que hizo que las personas consideradas pobres fueran legalmente incapaces de participar en la gobernanza. Las élites económicas actuales controlan el derecho y la sociedad como sucesoras en interés de los colonos. Al igual que las élites coloniales, las élites modernas controlan los conceptos fundacionales y las reglas del sistema. Por tanto, controlan de manera efectiva los resultados del sistema marcados por la identidad.</w:t>
      </w:r>
    </w:p>
    <w:p w14:paraId="2C440E44" w14:textId="3A9AA391" w:rsidR="009C3FDD" w:rsidRPr="009257E7" w:rsidRDefault="009C3FDD" w:rsidP="004F268F">
      <w:pPr>
        <w:pStyle w:val="NormalWeb"/>
        <w:ind w:firstLine="720"/>
        <w:rPr>
          <w:lang w:val="es-ES"/>
        </w:rPr>
      </w:pPr>
      <w:r w:rsidRPr="009257E7">
        <w:rPr>
          <w:lang w:val="es-ES"/>
        </w:rPr>
        <w:t>Este statu quo duradero es el legado de un proceso histórico complejo</w:t>
      </w:r>
      <w:r w:rsidR="004F268F" w:rsidRPr="009257E7">
        <w:rPr>
          <w:lang w:val="es-ES"/>
        </w:rPr>
        <w:t>,</w:t>
      </w:r>
      <w:r w:rsidRPr="009257E7">
        <w:rPr>
          <w:lang w:val="es-ES"/>
        </w:rPr>
        <w:t xml:space="preserve"> resumido por el sociólogo C. Wright Mills en 1956 en </w:t>
      </w:r>
      <w:r w:rsidRPr="009257E7">
        <w:rPr>
          <w:rStyle w:val="Emphasis"/>
          <w:lang w:val="es-ES"/>
        </w:rPr>
        <w:t>The Power Elite</w:t>
      </w:r>
      <w:r w:rsidRPr="009257E7">
        <w:rPr>
          <w:lang w:val="es-ES"/>
        </w:rPr>
        <w:t>, una obra que generó</w:t>
      </w:r>
      <w:r w:rsidR="004F268F" w:rsidRPr="009257E7">
        <w:rPr>
          <w:lang w:val="es-ES"/>
        </w:rPr>
        <w:t xml:space="preserve"> un</w:t>
      </w:r>
      <w:r w:rsidRPr="009257E7">
        <w:rPr>
          <w:lang w:val="es-ES"/>
        </w:rPr>
        <w:t xml:space="preserve"> mayor escrutinio de las élites estadounidenses. La “élite de poder” se originó en </w:t>
      </w:r>
      <w:r w:rsidR="004F268F" w:rsidRPr="009257E7">
        <w:rPr>
          <w:lang w:val="es-ES"/>
        </w:rPr>
        <w:t xml:space="preserve">los </w:t>
      </w:r>
      <w:r w:rsidRPr="009257E7">
        <w:rPr>
          <w:lang w:val="es-ES"/>
        </w:rPr>
        <w:t xml:space="preserve">Estados Unidos </w:t>
      </w:r>
      <w:r w:rsidR="004F268F" w:rsidRPr="009257E7">
        <w:rPr>
          <w:lang w:val="es-ES"/>
        </w:rPr>
        <w:t>durante</w:t>
      </w:r>
      <w:r w:rsidRPr="009257E7">
        <w:rPr>
          <w:lang w:val="es-ES"/>
        </w:rPr>
        <w:t xml:space="preserve"> el colonialismo y se desarrolló en cuatro —o más— períodos</w:t>
      </w:r>
      <w:r w:rsidR="00681D9E" w:rsidRPr="009257E7">
        <w:rPr>
          <w:rStyle w:val="FootnoteReference"/>
          <w:lang w:val="es-ES"/>
        </w:rPr>
        <w:footnoteReference w:id="58"/>
      </w:r>
      <w:r w:rsidRPr="009257E7">
        <w:rPr>
          <w:lang w:val="es-ES"/>
        </w:rPr>
        <w:t>. Durante la primera época de formación elitista, bajo la Constitución original de 1789, “las instituciones sociales y económicas, políticas y militares estaban más o menos unificadas de una manera simple y directa: los hombres individuales de estas diversas élites se movían con facilidad de un rol a otro en la cima de cada uno de los órdenes institucionales principales”. La mayoría de la población en ese momento estaba excluida por ley, sobre la base de castas identitarias, del liderazgo o incluso de la participación en “la vida social, las instituciones económicas, el establecimiento militar y el orden político”. Como resultado, las élites coloniales originales de Europa se instalaron como élites colon</w:t>
      </w:r>
      <w:r w:rsidR="00F77960" w:rsidRPr="009257E7">
        <w:rPr>
          <w:lang w:val="es-ES"/>
        </w:rPr>
        <w:t>iale</w:t>
      </w:r>
      <w:r w:rsidRPr="009257E7">
        <w:rPr>
          <w:lang w:val="es-ES"/>
        </w:rPr>
        <w:t>s locales al fundar el nuevo Estado colono bajo el Estado de derecho.</w:t>
      </w:r>
    </w:p>
    <w:p w14:paraId="1FA86561" w14:textId="30761411" w:rsidR="00067D38" w:rsidRPr="009257E7" w:rsidRDefault="009C3FDD" w:rsidP="009C3FDD">
      <w:pPr>
        <w:pStyle w:val="NormalWeb"/>
        <w:rPr>
          <w:lang w:val="es-ES"/>
        </w:rPr>
      </w:pPr>
      <w:r w:rsidRPr="009257E7">
        <w:rPr>
          <w:lang w:val="es-ES"/>
        </w:rPr>
        <w:t xml:space="preserve">Durante la segunda etapa, que condujo a la Guerra Civil, estos “órdenes económicos, políticos y militares” se consolidaron y entrelazaron </w:t>
      </w:r>
      <w:r w:rsidR="009625D3" w:rsidRPr="009257E7">
        <w:rPr>
          <w:lang w:val="es-ES"/>
        </w:rPr>
        <w:t xml:space="preserve">aún </w:t>
      </w:r>
      <w:r w:rsidRPr="009257E7">
        <w:rPr>
          <w:lang w:val="es-ES"/>
        </w:rPr>
        <w:t xml:space="preserve">más: “En esta sociedad, la ‘élite’ se convirtió en una pluralidad de grupos superiores, cada uno compuesto, a su vez, de manera laxa”. Las élites expandieron el alcance territorial de la nación mediante más conquistas militares y asentamientos, incluso mientras disputaban entre sí sobre la política racial y la política identitaria relacionada. En las primeras décadas de este período, “la élite era, como mucho, una coalición </w:t>
      </w:r>
      <w:r w:rsidR="007D12B8" w:rsidRPr="009257E7">
        <w:rPr>
          <w:lang w:val="es-ES"/>
        </w:rPr>
        <w:t>poco cohesionada</w:t>
      </w:r>
      <w:r w:rsidRPr="009257E7">
        <w:rPr>
          <w:lang w:val="es-ES"/>
        </w:rPr>
        <w:t>” de personas y grupos poderosos</w:t>
      </w:r>
      <w:r w:rsidR="009625D3" w:rsidRPr="009257E7">
        <w:rPr>
          <w:lang w:val="es-ES"/>
        </w:rPr>
        <w:t>,</w:t>
      </w:r>
      <w:r w:rsidRPr="009257E7">
        <w:rPr>
          <w:lang w:val="es-ES"/>
        </w:rPr>
        <w:t xml:space="preserve"> con intereses complejos</w:t>
      </w:r>
      <w:r w:rsidR="00067D38" w:rsidRPr="009257E7">
        <w:rPr>
          <w:lang w:val="es-ES"/>
        </w:rPr>
        <w:t xml:space="preserve"> que a menudo coincidían. </w:t>
      </w:r>
      <w:r w:rsidRPr="009257E7">
        <w:rPr>
          <w:lang w:val="es-ES"/>
        </w:rPr>
        <w:t>Con el tiempo, esas camarillas “laxas” fueron cerr</w:t>
      </w:r>
      <w:r w:rsidR="009625D3" w:rsidRPr="009257E7">
        <w:rPr>
          <w:lang w:val="es-ES"/>
        </w:rPr>
        <w:t>ándose</w:t>
      </w:r>
      <w:r w:rsidRPr="009257E7">
        <w:rPr>
          <w:lang w:val="es-ES"/>
        </w:rPr>
        <w:t>.</w:t>
      </w:r>
    </w:p>
    <w:p w14:paraId="2F16B4D2" w14:textId="0B609713" w:rsidR="00597278" w:rsidRPr="009257E7" w:rsidRDefault="009C3FDD" w:rsidP="00597278">
      <w:pPr>
        <w:pStyle w:val="NormalWeb"/>
        <w:ind w:firstLine="720"/>
        <w:rPr>
          <w:lang w:val="es-ES"/>
        </w:rPr>
      </w:pPr>
      <w:r w:rsidRPr="009257E7">
        <w:rPr>
          <w:lang w:val="es-ES"/>
        </w:rPr>
        <w:t>La tercera fase, después de la Guerra Civil y hasta la Primera Guerra Mundial, estableció “la supremacía del poder económico corporativo”, con la ayuda de la Corte Suprema de Estados Unidos, que en 1886</w:t>
      </w:r>
      <w:r w:rsidR="000A0778" w:rsidRPr="009257E7">
        <w:rPr>
          <w:lang w:val="es-ES"/>
        </w:rPr>
        <w:t xml:space="preserve"> declaró</w:t>
      </w:r>
      <w:r w:rsidRPr="009257E7">
        <w:rPr>
          <w:lang w:val="es-ES"/>
        </w:rPr>
        <w:t xml:space="preserve"> que la Decimocuarta Enmienda protegía a las corporaciones. En consecuencia, “[e]se período presenció la transferencia de </w:t>
      </w:r>
      <w:r w:rsidR="00355A03" w:rsidRPr="009257E7">
        <w:rPr>
          <w:lang w:val="es-ES"/>
        </w:rPr>
        <w:t xml:space="preserve">la </w:t>
      </w:r>
      <w:r w:rsidRPr="009257E7">
        <w:rPr>
          <w:lang w:val="es-ES"/>
        </w:rPr>
        <w:t>iniciativa del gobierno a la corporación” e inauguró “una era de asaltos al gobierno por parte de la élite económica y una época de corrupción simple, en la que senadores y jueces eran simplemente comprados” por “intereses adinerados”. El resultado fue que “la élite económica eclipsó a la élite política”. Muchas personas creen que esta era fue la “edad dorada” de la clase gobernante estadounidense. Las élites colon</w:t>
      </w:r>
      <w:r w:rsidR="00355A03" w:rsidRPr="009257E7">
        <w:rPr>
          <w:lang w:val="es-ES"/>
        </w:rPr>
        <w:t>iale</w:t>
      </w:r>
      <w:r w:rsidRPr="009257E7">
        <w:rPr>
          <w:lang w:val="es-ES"/>
        </w:rPr>
        <w:t xml:space="preserve">s </w:t>
      </w:r>
      <w:r w:rsidR="00597278" w:rsidRPr="009257E7">
        <w:rPr>
          <w:lang w:val="es-ES"/>
        </w:rPr>
        <w:t xml:space="preserve">ya establecidas se integraron cada vez más a nivel nacional para perseguir </w:t>
      </w:r>
      <w:r w:rsidR="00597278" w:rsidRPr="009257E7">
        <w:rPr>
          <w:lang w:val="es-ES"/>
        </w:rPr>
        <w:lastRenderedPageBreak/>
        <w:t>su autodenominado “Destino Manifiesto”, conquistando a más pueblos y colonizando más territorios.</w:t>
      </w:r>
    </w:p>
    <w:p w14:paraId="3595B59B" w14:textId="21A24EAF" w:rsidR="009C3FDD" w:rsidRPr="009257E7" w:rsidRDefault="009C3FDD" w:rsidP="00597278">
      <w:pPr>
        <w:pStyle w:val="NormalWeb"/>
        <w:ind w:firstLine="720"/>
        <w:rPr>
          <w:lang w:val="es-ES"/>
        </w:rPr>
      </w:pPr>
      <w:r w:rsidRPr="009257E7">
        <w:rPr>
          <w:lang w:val="es-ES"/>
        </w:rPr>
        <w:t xml:space="preserve">La cuarta etapa, resultado de la Gran Depresión y, más tarde, de la Segunda Guerra Mundial, </w:t>
      </w:r>
      <w:r w:rsidR="00300FA5" w:rsidRPr="009257E7">
        <w:rPr>
          <w:lang w:val="es-ES"/>
        </w:rPr>
        <w:t>di</w:t>
      </w:r>
      <w:r w:rsidRPr="009257E7">
        <w:rPr>
          <w:lang w:val="es-ES"/>
        </w:rPr>
        <w:t xml:space="preserve">o </w:t>
      </w:r>
      <w:r w:rsidR="00300FA5" w:rsidRPr="009257E7">
        <w:rPr>
          <w:lang w:val="es-ES"/>
        </w:rPr>
        <w:t>lugar a</w:t>
      </w:r>
      <w:r w:rsidRPr="009257E7">
        <w:rPr>
          <w:lang w:val="es-ES"/>
        </w:rPr>
        <w:t xml:space="preserve">l </w:t>
      </w:r>
      <w:r w:rsidRPr="009257E7">
        <w:rPr>
          <w:rStyle w:val="Emphasis"/>
          <w:lang w:val="es-ES"/>
        </w:rPr>
        <w:t>New Deal</w:t>
      </w:r>
      <w:r w:rsidR="00300FA5" w:rsidRPr="009257E7">
        <w:rPr>
          <w:rStyle w:val="Emphasis"/>
          <w:lang w:val="es-ES"/>
        </w:rPr>
        <w:t xml:space="preserve">, </w:t>
      </w:r>
      <w:r w:rsidR="00300FA5" w:rsidRPr="009257E7">
        <w:rPr>
          <w:rStyle w:val="Emphasis"/>
          <w:i w:val="0"/>
          <w:iCs w:val="0"/>
          <w:lang w:val="es-ES"/>
        </w:rPr>
        <w:t>un conjunto</w:t>
      </w:r>
      <w:r w:rsidRPr="009257E7">
        <w:rPr>
          <w:lang w:val="es-ES"/>
        </w:rPr>
        <w:t xml:space="preserve"> de programas federales </w:t>
      </w:r>
      <w:r w:rsidR="00300FA5" w:rsidRPr="009257E7">
        <w:rPr>
          <w:lang w:val="es-ES"/>
        </w:rPr>
        <w:t xml:space="preserve">destinados </w:t>
      </w:r>
      <w:r w:rsidRPr="009257E7">
        <w:rPr>
          <w:lang w:val="es-ES"/>
        </w:rPr>
        <w:t xml:space="preserve">a promover la prosperidad. Este “no revirtió las relaciones políticas y económicas de la tercera era, pero sí creó [...] centros de poder competidores que desafiaron a los directores corporativos”. Al comienzo de esta era, “la élite económica, que en el tercer período había luchado contra el crecimiento del ‘gobierno’ mientras lo saqueaba en busca de privilegios astutos, intentó tardíamente unirse [al </w:t>
      </w:r>
      <w:r w:rsidRPr="009257E7">
        <w:rPr>
          <w:rStyle w:val="Emphasis"/>
          <w:lang w:val="es-ES"/>
        </w:rPr>
        <w:t>New Deal</w:t>
      </w:r>
      <w:r w:rsidRPr="009257E7">
        <w:rPr>
          <w:lang w:val="es-ES"/>
        </w:rPr>
        <w:t xml:space="preserve">] en los niveles superiores”. Con el tiempo, “sí llegaron a controlar y a usar para sus propios fines las instituciones del </w:t>
      </w:r>
      <w:r w:rsidRPr="009257E7">
        <w:rPr>
          <w:rStyle w:val="Emphasis"/>
          <w:lang w:val="es-ES"/>
        </w:rPr>
        <w:t>New Deal</w:t>
      </w:r>
      <w:r w:rsidRPr="009257E7">
        <w:rPr>
          <w:lang w:val="es-ES"/>
        </w:rPr>
        <w:t xml:space="preserve"> cuya creación habían denunciado con tanta amargura”. Estas élites basadas en la identidad comenzaron a internacionalizarse </w:t>
      </w:r>
      <w:r w:rsidR="00E801B4" w:rsidRPr="009257E7">
        <w:rPr>
          <w:lang w:val="es-ES"/>
        </w:rPr>
        <w:t>seriamente</w:t>
      </w:r>
      <w:r w:rsidRPr="009257E7">
        <w:rPr>
          <w:lang w:val="es-ES"/>
        </w:rPr>
        <w:t xml:space="preserve">. </w:t>
      </w:r>
      <w:r w:rsidR="00E801B4" w:rsidRPr="009257E7">
        <w:rPr>
          <w:lang w:val="es-ES"/>
        </w:rPr>
        <w:t>L</w:t>
      </w:r>
      <w:r w:rsidRPr="009257E7">
        <w:rPr>
          <w:lang w:val="es-ES"/>
        </w:rPr>
        <w:t>as instituciones globalizadas que ahora dominan el derecho y otros sistemas</w:t>
      </w:r>
      <w:r w:rsidR="00E801B4" w:rsidRPr="009257E7">
        <w:rPr>
          <w:lang w:val="es-ES"/>
        </w:rPr>
        <w:t xml:space="preserve"> las produjeron</w:t>
      </w:r>
      <w:r w:rsidRPr="009257E7">
        <w:rPr>
          <w:lang w:val="es-ES"/>
        </w:rPr>
        <w:t xml:space="preserve"> como una totalidad transnacional. Identidades, intereses y grupos nuevos fueron incorporados a la ecuación del poder para mantener la continuidad de los resultados sistémicos.</w:t>
      </w:r>
    </w:p>
    <w:p w14:paraId="19E6C467" w14:textId="36896E44" w:rsidR="003670CB" w:rsidRPr="009257E7" w:rsidRDefault="009C3FDD" w:rsidP="003A7C56">
      <w:pPr>
        <w:pStyle w:val="NormalWeb"/>
        <w:ind w:firstLine="720"/>
        <w:rPr>
          <w:lang w:val="es-ES"/>
        </w:rPr>
      </w:pPr>
      <w:r w:rsidRPr="009257E7">
        <w:rPr>
          <w:lang w:val="es-ES"/>
        </w:rPr>
        <w:t xml:space="preserve">El bosquejo anterior sobre Estados Unidos fue presentado en 1956. En cada paso de este proceso complejo y extendido, las élites y los sistemas se reproducen según plantillas originales establecidas con el Estado de derecho y por medio de él. Mantener jerarquías basadas en la identidad sirvió al propósito constante del enriquecimiento personal y colectivo de las élites. El análisis de 1956 concluyó con los siguientes pronósticos sobre una “quinta época”, que surgió después de la Segunda Guerra Mundial. Esta quinta época condujo a la forma actual de </w:t>
      </w:r>
      <w:r w:rsidR="00B1314D" w:rsidRPr="009257E7">
        <w:rPr>
          <w:lang w:val="es-ES"/>
        </w:rPr>
        <w:t xml:space="preserve">la </w:t>
      </w:r>
      <w:r w:rsidRPr="009257E7">
        <w:rPr>
          <w:lang w:val="es-ES"/>
        </w:rPr>
        <w:t xml:space="preserve">globalización corporativa, en la cual el entrelazamiento de los negocios y el gobierno “alcanzó un nuevo </w:t>
      </w:r>
      <w:r w:rsidR="00FE23D2" w:rsidRPr="009257E7">
        <w:rPr>
          <w:lang w:val="es-ES"/>
        </w:rPr>
        <w:t>nivel de evidencia</w:t>
      </w:r>
      <w:r w:rsidRPr="009257E7">
        <w:rPr>
          <w:lang w:val="es-ES"/>
        </w:rPr>
        <w:t xml:space="preserve">” que “aceleró </w:t>
      </w:r>
      <w:r w:rsidR="00FE23D2" w:rsidRPr="009257E7">
        <w:rPr>
          <w:lang w:val="es-ES"/>
        </w:rPr>
        <w:t>el desplazamiento a largo plazo de los políticos profesionales del Congreso hacia los niveles intermedios del poder</w:t>
      </w:r>
      <w:r w:rsidRPr="009257E7">
        <w:rPr>
          <w:lang w:val="es-ES"/>
        </w:rPr>
        <w:t xml:space="preserve">”. </w:t>
      </w:r>
    </w:p>
    <w:p w14:paraId="4B64DEBD" w14:textId="4593895B" w:rsidR="009C3FDD" w:rsidRPr="009257E7" w:rsidRDefault="00626851" w:rsidP="00626851">
      <w:pPr>
        <w:pStyle w:val="NormalWeb"/>
        <w:ind w:firstLine="720"/>
        <w:rPr>
          <w:lang w:val="es-ES"/>
        </w:rPr>
      </w:pPr>
      <w:r w:rsidRPr="009257E7">
        <w:rPr>
          <w:lang w:val="es-ES"/>
        </w:rPr>
        <w:t xml:space="preserve">Este dominio económico se sustenta en un “dominio militar” asociado, en el que “una amenaza militar aparentemente permanente otorga un valor primordial a las fuerzas armadas y a su control sobre los hombres, el material, el dinero y el poder; [por lo tanto] prácticamente todas las acciones políticas y militares se juzgan ahora en función de las definiciones militares de la realidad”. </w:t>
      </w:r>
      <w:r w:rsidR="009C3FDD" w:rsidRPr="009257E7">
        <w:rPr>
          <w:lang w:val="es-ES"/>
        </w:rPr>
        <w:t xml:space="preserve">La doble ascendencia de los órdenes económico y militar produce una economía de guerra permanente y una economía corporativa privada, mediante las cuales cada sector alimenta al otro a expensas de la sociedad en su conjunto. Así, la globalización corporativa </w:t>
      </w:r>
      <w:r w:rsidR="00984DE7" w:rsidRPr="009257E7">
        <w:rPr>
          <w:lang w:val="es-ES"/>
        </w:rPr>
        <w:t>predomina</w:t>
      </w:r>
      <w:r w:rsidR="009C3FDD" w:rsidRPr="009257E7">
        <w:rPr>
          <w:lang w:val="es-ES"/>
        </w:rPr>
        <w:t xml:space="preserve"> bajo el Estado de derecho.</w:t>
      </w:r>
    </w:p>
    <w:p w14:paraId="7A141F3F" w14:textId="0DAE8DF2" w:rsidR="004252A4" w:rsidRPr="009257E7" w:rsidRDefault="004252A4" w:rsidP="0018198D">
      <w:pPr>
        <w:pStyle w:val="NormalWeb"/>
        <w:ind w:firstLine="720"/>
        <w:rPr>
          <w:lang w:val="es-ES"/>
        </w:rPr>
      </w:pPr>
      <w:r w:rsidRPr="009257E7">
        <w:rPr>
          <w:lang w:val="es-ES"/>
        </w:rPr>
        <w:t>El resultado, como predijo Mills en 1956, es que el capitalismo estadounidense es “en gran medida un capitalismo militar, y la relación más importante de la gran corporación con el Estado descansa en una coincidencia de intereses entre las necesidades militares y corporativas, tal como las definen los señores de la guerra y [les] ricos corporativos”. Este nuevo ordenamiento elitista subordina el papel de “los hombres meramente políticos”, de modo que son l</w:t>
      </w:r>
      <w:r w:rsidR="004431F2" w:rsidRPr="009257E7">
        <w:rPr>
          <w:lang w:val="es-ES"/>
        </w:rPr>
        <w:t>o</w:t>
      </w:r>
      <w:r w:rsidRPr="009257E7">
        <w:rPr>
          <w:lang w:val="es-ES"/>
        </w:rPr>
        <w:t>s ejecutiv</w:t>
      </w:r>
      <w:r w:rsidR="004431F2" w:rsidRPr="009257E7">
        <w:rPr>
          <w:lang w:val="es-ES"/>
        </w:rPr>
        <w:t>o</w:t>
      </w:r>
      <w:r w:rsidRPr="009257E7">
        <w:rPr>
          <w:lang w:val="es-ES"/>
        </w:rPr>
        <w:t>s corporativ</w:t>
      </w:r>
      <w:r w:rsidR="004431F2" w:rsidRPr="009257E7">
        <w:rPr>
          <w:lang w:val="es-ES"/>
        </w:rPr>
        <w:t>o</w:t>
      </w:r>
      <w:r w:rsidRPr="009257E7">
        <w:rPr>
          <w:lang w:val="es-ES"/>
        </w:rPr>
        <w:t>s, y no les políti</w:t>
      </w:r>
      <w:r w:rsidR="004431F2" w:rsidRPr="009257E7">
        <w:rPr>
          <w:lang w:val="es-ES"/>
        </w:rPr>
        <w:t>co</w:t>
      </w:r>
      <w:r w:rsidRPr="009257E7">
        <w:rPr>
          <w:lang w:val="es-ES"/>
        </w:rPr>
        <w:t>s, quienes “se sientan con los militares y planifican” el futuro de la humanidad.</w:t>
      </w:r>
    </w:p>
    <w:p w14:paraId="70FFBF8D" w14:textId="1A919DF4" w:rsidR="004252A4" w:rsidRPr="009257E7" w:rsidRDefault="004252A4" w:rsidP="004431F2">
      <w:pPr>
        <w:pStyle w:val="NormalWeb"/>
        <w:ind w:firstLine="720"/>
        <w:rPr>
          <w:lang w:val="es-ES"/>
        </w:rPr>
      </w:pPr>
      <w:r w:rsidRPr="009257E7">
        <w:rPr>
          <w:lang w:val="es-ES"/>
        </w:rPr>
        <w:t xml:space="preserve">Por lo tanto, la “élite de poder” estadounidense consiste en intereses dominantes </w:t>
      </w:r>
      <w:r w:rsidR="00677C08" w:rsidRPr="009257E7">
        <w:rPr>
          <w:lang w:val="es-ES"/>
        </w:rPr>
        <w:t>que</w:t>
      </w:r>
      <w:r w:rsidR="004431F2" w:rsidRPr="009257E7">
        <w:rPr>
          <w:lang w:val="es-ES"/>
        </w:rPr>
        <w:t>,</w:t>
      </w:r>
      <w:r w:rsidRPr="009257E7">
        <w:rPr>
          <w:lang w:val="es-ES"/>
        </w:rPr>
        <w:t xml:space="preserve"> con frecuencia</w:t>
      </w:r>
      <w:r w:rsidR="004431F2" w:rsidRPr="009257E7">
        <w:rPr>
          <w:lang w:val="es-ES"/>
        </w:rPr>
        <w:t>,</w:t>
      </w:r>
      <w:r w:rsidRPr="009257E7">
        <w:rPr>
          <w:lang w:val="es-ES"/>
        </w:rPr>
        <w:t xml:space="preserve"> coinciden </w:t>
      </w:r>
      <w:r w:rsidR="004431F2" w:rsidRPr="009257E7">
        <w:rPr>
          <w:lang w:val="es-ES"/>
        </w:rPr>
        <w:t>en</w:t>
      </w:r>
      <w:r w:rsidRPr="009257E7">
        <w:rPr>
          <w:lang w:val="es-ES"/>
        </w:rPr>
        <w:t xml:space="preserve"> cuatro “órdenes institucionales principales”: “la vida social, las instituciones económicas, el establecimiento militar y el orden político”. Estos órdenes han sido </w:t>
      </w:r>
      <w:r w:rsidRPr="009257E7">
        <w:rPr>
          <w:lang w:val="es-ES"/>
        </w:rPr>
        <w:lastRenderedPageBreak/>
        <w:t xml:space="preserve">establecidos bajo los auspicios del derecho y </w:t>
      </w:r>
      <w:r w:rsidR="00677C08" w:rsidRPr="009257E7">
        <w:rPr>
          <w:lang w:val="es-ES"/>
        </w:rPr>
        <w:t>emple</w:t>
      </w:r>
      <w:r w:rsidRPr="009257E7">
        <w:rPr>
          <w:lang w:val="es-ES"/>
        </w:rPr>
        <w:t>an el derecho para imponer órdenes que se refuerzan mutuamente. Este proceso histórico complejo ha sido moldeado —distorsionado— por la ausencia forzada de la mayor parte de la población mediante exclusiones grupales basadas en la raza, el sexo y la clase, también impuestas por el derecho. En consecuencia, los sistemas</w:t>
      </w:r>
      <w:r w:rsidR="00677C08" w:rsidRPr="009257E7">
        <w:rPr>
          <w:lang w:val="es-ES"/>
        </w:rPr>
        <w:t xml:space="preserve"> </w:t>
      </w:r>
      <w:r w:rsidRPr="009257E7">
        <w:rPr>
          <w:lang w:val="es-ES"/>
        </w:rPr>
        <w:t>omiten las perspectivas de los grupos excluidos y borran o subordinan sus intereses frente a los intereses de los grupos identitarios representados entre las élites. En este esquema de control perpetuo desde arriba, el derecho</w:t>
      </w:r>
      <w:r w:rsidR="009E160C" w:rsidRPr="009257E7">
        <w:rPr>
          <w:lang w:val="es-ES"/>
        </w:rPr>
        <w:t>,</w:t>
      </w:r>
      <w:r w:rsidRPr="009257E7">
        <w:rPr>
          <w:lang w:val="es-ES"/>
        </w:rPr>
        <w:t xml:space="preserve"> como sistema</w:t>
      </w:r>
      <w:r w:rsidR="009E160C" w:rsidRPr="009257E7">
        <w:rPr>
          <w:lang w:val="es-ES"/>
        </w:rPr>
        <w:t>,</w:t>
      </w:r>
      <w:r w:rsidRPr="009257E7">
        <w:rPr>
          <w:lang w:val="es-ES"/>
        </w:rPr>
        <w:t xml:space="preserve"> es una pieza clave de enlace. Cada </w:t>
      </w:r>
      <w:r w:rsidR="009E160C" w:rsidRPr="009257E7">
        <w:rPr>
          <w:lang w:val="es-ES"/>
        </w:rPr>
        <w:t>e</w:t>
      </w:r>
      <w:r w:rsidRPr="009257E7">
        <w:rPr>
          <w:lang w:val="es-ES"/>
        </w:rPr>
        <w:t>stado nación existente tiene su propia versión particular de esta misma historia básica.</w:t>
      </w:r>
    </w:p>
    <w:p w14:paraId="1E64743E" w14:textId="670F18A2" w:rsidR="004252A4" w:rsidRPr="009257E7" w:rsidRDefault="004252A4" w:rsidP="00F374F9">
      <w:pPr>
        <w:pStyle w:val="NormalWeb"/>
        <w:ind w:firstLine="720"/>
        <w:rPr>
          <w:lang w:val="es-ES"/>
        </w:rPr>
      </w:pPr>
      <w:r w:rsidRPr="009257E7">
        <w:rPr>
          <w:lang w:val="es-ES"/>
        </w:rPr>
        <w:t xml:space="preserve">Las élites construyen el derecho para que falle por diseño, tanto al levantar infraestructura para proteger sus intereses como al “eliminar adversarios”: privar a los individuos, grupos e instituciones que podrían desafiar a las élites de los mismos recursos y capacidades. Este “doble golpe” asegura a las élites una ventaja en toda contienda, incluso antes de que comience. Comenzamos con el examen de la “gestión patrimonial”, que abarca la especialidad de práctica jurídica </w:t>
      </w:r>
      <w:r w:rsidR="00257CA1" w:rsidRPr="009257E7">
        <w:rPr>
          <w:lang w:val="es-ES"/>
        </w:rPr>
        <w:t>en</w:t>
      </w:r>
      <w:r w:rsidRPr="009257E7">
        <w:rPr>
          <w:lang w:val="es-ES"/>
        </w:rPr>
        <w:t xml:space="preserve"> planificación de fideicomisos y </w:t>
      </w:r>
      <w:r w:rsidR="00257CA1" w:rsidRPr="009257E7">
        <w:rPr>
          <w:lang w:val="es-ES"/>
        </w:rPr>
        <w:t xml:space="preserve">de </w:t>
      </w:r>
      <w:r w:rsidRPr="009257E7">
        <w:rPr>
          <w:lang w:val="es-ES"/>
        </w:rPr>
        <w:t>herencias. La socióloga económica Brooke Harrington examina cómo las especialidades jurídicas y financieras que componen la gestión patrimonial operan “en la parte más profunda del capitalismo”</w:t>
      </w:r>
      <w:r w:rsidR="009A6B4B" w:rsidRPr="009257E7">
        <w:rPr>
          <w:rStyle w:val="FootnoteReference"/>
          <w:lang w:val="es-ES"/>
        </w:rPr>
        <w:footnoteReference w:id="59"/>
      </w:r>
      <w:r w:rsidRPr="009257E7">
        <w:rPr>
          <w:lang w:val="es-ES"/>
        </w:rPr>
        <w:t xml:space="preserve"> para preservar la riqueza entre generaciones mediante el derecho y, a veces, a pesar de él. L</w:t>
      </w:r>
      <w:r w:rsidR="00C17768" w:rsidRPr="009257E7">
        <w:rPr>
          <w:lang w:val="es-ES"/>
        </w:rPr>
        <w:t>o</w:t>
      </w:r>
      <w:r w:rsidRPr="009257E7">
        <w:rPr>
          <w:lang w:val="es-ES"/>
        </w:rPr>
        <w:t xml:space="preserve">s profesionales de la gestión patrimonial usan las herramientas del derecho, la evasión del derecho y el poder de influir en el derecho </w:t>
      </w:r>
      <w:r w:rsidR="00C17768" w:rsidRPr="009257E7">
        <w:rPr>
          <w:lang w:val="es-ES"/>
        </w:rPr>
        <w:t>en</w:t>
      </w:r>
      <w:r w:rsidRPr="009257E7">
        <w:rPr>
          <w:lang w:val="es-ES"/>
        </w:rPr>
        <w:t xml:space="preserve"> beneficio de las élites. El poder público del derecho privado —contratos, fideicomisos, propiedad— sirve como “esposas doradas” atadas a intereses elitistas. El trabajo de les gestores patrimoniales es “algo parecido al de </w:t>
      </w:r>
      <w:r w:rsidR="00C17768" w:rsidRPr="009257E7">
        <w:rPr>
          <w:lang w:val="es-ES"/>
        </w:rPr>
        <w:t xml:space="preserve">los </w:t>
      </w:r>
      <w:r w:rsidRPr="009257E7">
        <w:rPr>
          <w:lang w:val="es-ES"/>
        </w:rPr>
        <w:t>arquitectos, en tanto diseñan estructuras complejas y multifuncionales [...] compuestas por entidades organizativas vinculadas, como fideicomisos, corporaciones y fundaciones”</w:t>
      </w:r>
      <w:r w:rsidR="008956A3" w:rsidRPr="009257E7">
        <w:rPr>
          <w:rStyle w:val="FootnoteReference"/>
          <w:lang w:val="es-ES"/>
        </w:rPr>
        <w:footnoteReference w:id="60"/>
      </w:r>
      <w:r w:rsidRPr="009257E7">
        <w:rPr>
          <w:lang w:val="es-ES"/>
        </w:rPr>
        <w:t>. Estas estructuras usan documentos jurídicamente vinculantes para ayudar a familias ricas a evitar impuestos y regulación, mantener el control de negocios y activos, planificar la sucesión e invertir:</w:t>
      </w:r>
    </w:p>
    <w:p w14:paraId="0ECC3748" w14:textId="3570FEDD" w:rsidR="004252A4" w:rsidRPr="009257E7" w:rsidRDefault="004252A4" w:rsidP="008956A3">
      <w:pPr>
        <w:pStyle w:val="NormalWeb"/>
        <w:ind w:left="720"/>
        <w:rPr>
          <w:lang w:val="es-ES"/>
        </w:rPr>
      </w:pPr>
      <w:r w:rsidRPr="009257E7">
        <w:rPr>
          <w:lang w:val="es-ES"/>
        </w:rPr>
        <w:t>Desde sus orígenes en la Inglaterra medieval, las prácticas que s</w:t>
      </w:r>
      <w:r w:rsidR="008956A3" w:rsidRPr="009257E7">
        <w:rPr>
          <w:lang w:val="es-ES"/>
        </w:rPr>
        <w:t>ubyacen</w:t>
      </w:r>
      <w:r w:rsidRPr="009257E7">
        <w:rPr>
          <w:lang w:val="es-ES"/>
        </w:rPr>
        <w:t xml:space="preserve"> a la gestión patrimonial han servido a dos fines relacionados: la protección de </w:t>
      </w:r>
      <w:r w:rsidR="008956A3" w:rsidRPr="009257E7">
        <w:rPr>
          <w:lang w:val="es-ES"/>
        </w:rPr>
        <w:t xml:space="preserve">las </w:t>
      </w:r>
      <w:r w:rsidRPr="009257E7">
        <w:rPr>
          <w:lang w:val="es-ES"/>
        </w:rPr>
        <w:t>fortunas familiares y la reproducción de las élites. [...]</w:t>
      </w:r>
    </w:p>
    <w:p w14:paraId="4B7186F1" w14:textId="09C54E52" w:rsidR="004252A4" w:rsidRPr="009257E7" w:rsidRDefault="004252A4" w:rsidP="008956A3">
      <w:pPr>
        <w:pStyle w:val="NormalWeb"/>
        <w:ind w:left="720"/>
        <w:rPr>
          <w:lang w:val="es-ES"/>
        </w:rPr>
      </w:pPr>
      <w:r w:rsidRPr="009257E7">
        <w:rPr>
          <w:lang w:val="es-ES"/>
        </w:rPr>
        <w:t>[...] En efecto, est</w:t>
      </w:r>
      <w:r w:rsidR="008956A3" w:rsidRPr="009257E7">
        <w:rPr>
          <w:lang w:val="es-ES"/>
        </w:rPr>
        <w:t>o</w:t>
      </w:r>
      <w:r w:rsidRPr="009257E7">
        <w:rPr>
          <w:lang w:val="es-ES"/>
        </w:rPr>
        <w:t>s profesionales separan los activos de los Estados que desean gravar y regular, y crean una forma de capital que, al igual que sus dueñ</w:t>
      </w:r>
      <w:r w:rsidR="008956A3" w:rsidRPr="009257E7">
        <w:rPr>
          <w:lang w:val="es-ES"/>
        </w:rPr>
        <w:t>o</w:t>
      </w:r>
      <w:r w:rsidRPr="009257E7">
        <w:rPr>
          <w:lang w:val="es-ES"/>
        </w:rPr>
        <w:t>s, es “transnacional” e “</w:t>
      </w:r>
      <w:proofErr w:type="spellStart"/>
      <w:r w:rsidRPr="009257E7">
        <w:rPr>
          <w:lang w:val="es-ES"/>
        </w:rPr>
        <w:t>hipermóvil</w:t>
      </w:r>
      <w:proofErr w:type="spellEnd"/>
      <w:r w:rsidRPr="009257E7">
        <w:rPr>
          <w:lang w:val="es-ES"/>
        </w:rPr>
        <w:t>”. Al “manipular artificialmente los rastros documentales del dinero a través de fronteras”, l</w:t>
      </w:r>
      <w:r w:rsidR="008956A3" w:rsidRPr="009257E7">
        <w:rPr>
          <w:lang w:val="es-ES"/>
        </w:rPr>
        <w:t>o</w:t>
      </w:r>
      <w:r w:rsidRPr="009257E7">
        <w:rPr>
          <w:lang w:val="es-ES"/>
        </w:rPr>
        <w:t xml:space="preserve">s gestores patrimoniales crean no solo estructuras de tenencia de activos y </w:t>
      </w:r>
      <w:r w:rsidR="008956A3" w:rsidRPr="009257E7">
        <w:rPr>
          <w:lang w:val="es-ES"/>
        </w:rPr>
        <w:t xml:space="preserve">de </w:t>
      </w:r>
      <w:r w:rsidRPr="009257E7">
        <w:rPr>
          <w:lang w:val="es-ES"/>
        </w:rPr>
        <w:t xml:space="preserve">evasión fiscal, sino también un cuerpo </w:t>
      </w:r>
      <w:r w:rsidR="008956A3" w:rsidRPr="009257E7">
        <w:rPr>
          <w:lang w:val="es-ES"/>
        </w:rPr>
        <w:t xml:space="preserve">nuevo </w:t>
      </w:r>
      <w:r w:rsidRPr="009257E7">
        <w:rPr>
          <w:lang w:val="es-ES"/>
        </w:rPr>
        <w:t>de instituciones transnacionales que se expanden fuera de cualquier proceso democrático de controles y contrapesos. [...]</w:t>
      </w:r>
    </w:p>
    <w:p w14:paraId="5D52B7D2" w14:textId="17919347" w:rsidR="004252A4" w:rsidRPr="009257E7" w:rsidRDefault="004252A4" w:rsidP="008956A3">
      <w:pPr>
        <w:pStyle w:val="NormalWeb"/>
        <w:ind w:left="720"/>
        <w:rPr>
          <w:lang w:val="es-ES"/>
        </w:rPr>
      </w:pPr>
      <w:r w:rsidRPr="009257E7">
        <w:rPr>
          <w:lang w:val="es-ES"/>
        </w:rPr>
        <w:t>Gran parte de lo que hacen l</w:t>
      </w:r>
      <w:r w:rsidR="008956A3" w:rsidRPr="009257E7">
        <w:rPr>
          <w:lang w:val="es-ES"/>
        </w:rPr>
        <w:t>o</w:t>
      </w:r>
      <w:r w:rsidRPr="009257E7">
        <w:rPr>
          <w:lang w:val="es-ES"/>
        </w:rPr>
        <w:t xml:space="preserve">s gestores patrimoniales </w:t>
      </w:r>
      <w:r w:rsidR="00E03691" w:rsidRPr="009257E7">
        <w:rPr>
          <w:lang w:val="es-ES"/>
        </w:rPr>
        <w:t>en</w:t>
      </w:r>
      <w:r w:rsidRPr="009257E7">
        <w:rPr>
          <w:lang w:val="es-ES"/>
        </w:rPr>
        <w:t xml:space="preserve"> su práctica cotidiana ocurre en [esta] “zona gris ética”: un ámbito de actividad que es formalmente legal, pero socialmente ilegítimo. Esto incluye no solo la evasión fiscal, sino también el uso de fideicomisos, corporaciones extraterritoriales y otras herramientas para [proteger la riqueza]. [...]</w:t>
      </w:r>
    </w:p>
    <w:p w14:paraId="4962DF30" w14:textId="52094363" w:rsidR="004252A4" w:rsidRPr="009257E7" w:rsidRDefault="004252A4" w:rsidP="00E03691">
      <w:pPr>
        <w:pStyle w:val="NormalWeb"/>
        <w:ind w:left="720"/>
        <w:rPr>
          <w:lang w:val="es-ES"/>
        </w:rPr>
      </w:pPr>
      <w:r w:rsidRPr="009257E7">
        <w:rPr>
          <w:lang w:val="es-ES"/>
        </w:rPr>
        <w:lastRenderedPageBreak/>
        <w:t xml:space="preserve">Una revisión reciente de la historia económica y política mundial, que </w:t>
      </w:r>
      <w:r w:rsidR="00E03691" w:rsidRPr="009257E7">
        <w:rPr>
          <w:lang w:val="es-ES"/>
        </w:rPr>
        <w:t>abarca</w:t>
      </w:r>
      <w:r w:rsidRPr="009257E7">
        <w:rPr>
          <w:lang w:val="es-ES"/>
        </w:rPr>
        <w:t xml:space="preserve"> miles de años </w:t>
      </w:r>
      <w:r w:rsidR="00E03691" w:rsidRPr="009257E7">
        <w:rPr>
          <w:lang w:val="es-ES"/>
        </w:rPr>
        <w:t>en</w:t>
      </w:r>
      <w:r w:rsidRPr="009257E7">
        <w:rPr>
          <w:lang w:val="es-ES"/>
        </w:rPr>
        <w:t xml:space="preserve"> Europa, África y las Américas, sugiere que el mayor peligro de la desigualdad de riqueza no es económico, sino la captura del sistema político por las élites. [...]</w:t>
      </w:r>
    </w:p>
    <w:p w14:paraId="7118FD7D" w14:textId="63804DD9" w:rsidR="004252A4" w:rsidRPr="009257E7" w:rsidRDefault="004252A4" w:rsidP="00E03691">
      <w:pPr>
        <w:pStyle w:val="NormalWeb"/>
        <w:ind w:left="720"/>
        <w:rPr>
          <w:lang w:val="es-ES"/>
        </w:rPr>
      </w:pPr>
      <w:r w:rsidRPr="009257E7">
        <w:rPr>
          <w:lang w:val="es-ES"/>
        </w:rPr>
        <w:t>[...] [El acontecimiento] más significativo en términos estructurales [es la] transmisión intergeneracional de la riqueza. Al convertir el excedente de una generación —quizás</w:t>
      </w:r>
      <w:r w:rsidR="00E03691" w:rsidRPr="009257E7">
        <w:rPr>
          <w:lang w:val="es-ES"/>
        </w:rPr>
        <w:t xml:space="preserve"> creado</w:t>
      </w:r>
      <w:r w:rsidRPr="009257E7">
        <w:rPr>
          <w:lang w:val="es-ES"/>
        </w:rPr>
        <w:t xml:space="preserve"> mediante evasión fiscal y oportunidades de inversión especiales— en una fortuna dinástica, l</w:t>
      </w:r>
      <w:r w:rsidR="00E03691" w:rsidRPr="009257E7">
        <w:rPr>
          <w:lang w:val="es-ES"/>
        </w:rPr>
        <w:t>o</w:t>
      </w:r>
      <w:r w:rsidRPr="009257E7">
        <w:rPr>
          <w:lang w:val="es-ES"/>
        </w:rPr>
        <w:t xml:space="preserve">s gestores patrimoniales contribuyen al endurecimiento de las divisiones de clase a </w:t>
      </w:r>
      <w:r w:rsidR="00E03691" w:rsidRPr="009257E7">
        <w:rPr>
          <w:lang w:val="es-ES"/>
        </w:rPr>
        <w:t>lo largo</w:t>
      </w:r>
      <w:r w:rsidRPr="009257E7">
        <w:rPr>
          <w:lang w:val="es-ES"/>
        </w:rPr>
        <w:t xml:space="preserve"> del tiempo. Mediante fideicomisos, empresas extraterritoriales y fundaciones, l</w:t>
      </w:r>
      <w:r w:rsidR="0023792F" w:rsidRPr="009257E7">
        <w:rPr>
          <w:lang w:val="es-ES"/>
        </w:rPr>
        <w:t>o</w:t>
      </w:r>
      <w:r w:rsidRPr="009257E7">
        <w:rPr>
          <w:lang w:val="es-ES"/>
        </w:rPr>
        <w:t>s profesionales pueden asegurar que la desigualdad perdure y crezca de manera difícil de revertir, salvo mediante una revolución. [...]</w:t>
      </w:r>
    </w:p>
    <w:p w14:paraId="66C1A86F" w14:textId="512E2173" w:rsidR="004252A4" w:rsidRPr="009257E7" w:rsidRDefault="004252A4" w:rsidP="00BB3134">
      <w:pPr>
        <w:pStyle w:val="NormalWeb"/>
        <w:ind w:left="720"/>
        <w:rPr>
          <w:lang w:val="es-ES"/>
        </w:rPr>
      </w:pPr>
      <w:r w:rsidRPr="009257E7">
        <w:rPr>
          <w:lang w:val="es-ES"/>
        </w:rPr>
        <w:t>Cualquiera puede ser infractore de la ley, pero derrotar el espíritu de las leyes sin violarlas formalmente es un privilegio especial. Por el precio de emplear a une gestore patrimonial, algunas élites pueden alcanzar esta condición y también disfrutar los beneficios de leyes escritas específicamente con sus intereses en mente.</w:t>
      </w:r>
      <w:r w:rsidR="00BB3134" w:rsidRPr="009257E7">
        <w:rPr>
          <w:rStyle w:val="FootnoteReference"/>
          <w:lang w:val="es-ES"/>
        </w:rPr>
        <w:footnoteReference w:id="61"/>
      </w:r>
    </w:p>
    <w:p w14:paraId="780AE18C" w14:textId="601975A6" w:rsidR="00EF1CE7" w:rsidRPr="009257E7" w:rsidRDefault="00EF1CE7" w:rsidP="006C2E34">
      <w:pPr>
        <w:pStyle w:val="NormalWeb"/>
        <w:ind w:firstLine="720"/>
        <w:rPr>
          <w:lang w:val="es-ES"/>
        </w:rPr>
      </w:pPr>
      <w:r w:rsidRPr="009257E7">
        <w:rPr>
          <w:lang w:val="es-ES"/>
        </w:rPr>
        <w:t>Este poder de hacer o deshacer el derecho es el privilegio que las élites buscan arrogarse para siempre, porque sirve para controlar la educación, la cultura, la economía y otras esferas sociales en términos culturales y materiales. En consecuencia, “el derecho del excepcionalismo de la gran riqueza” favorece a las élites. Después de crear constituciones familiares para alinear las actividades familiares con las metas de acumulación de riqueza, las élites usan tres marcos jurídicos —el derecho de fideicomisos, el derecho de inversiones y el derecho de donaciones caritativas— como “piezas entrelazadas de una estrategia financiera compl</w:t>
      </w:r>
      <w:r w:rsidR="00D40C41" w:rsidRPr="009257E7">
        <w:rPr>
          <w:lang w:val="es-ES"/>
        </w:rPr>
        <w:t>ej</w:t>
      </w:r>
      <w:r w:rsidRPr="009257E7">
        <w:rPr>
          <w:lang w:val="es-ES"/>
        </w:rPr>
        <w:t xml:space="preserve">a”. La estructura asegura la consolidación de la riqueza mediante </w:t>
      </w:r>
      <w:r w:rsidR="006D275A" w:rsidRPr="009257E7">
        <w:rPr>
          <w:lang w:val="es-ES"/>
        </w:rPr>
        <w:t>el uso</w:t>
      </w:r>
      <w:r w:rsidRPr="009257E7">
        <w:rPr>
          <w:lang w:val="es-ES"/>
        </w:rPr>
        <w:t xml:space="preserve"> del poder económico y político</w:t>
      </w:r>
      <w:r w:rsidR="006D275A" w:rsidRPr="009257E7">
        <w:rPr>
          <w:lang w:val="es-ES"/>
        </w:rPr>
        <w:t>,</w:t>
      </w:r>
      <w:r w:rsidRPr="009257E7">
        <w:rPr>
          <w:lang w:val="es-ES"/>
        </w:rPr>
        <w:t xml:space="preserve"> que se refuerzan mutuamente. Las familias de riqueza baja u ordinaria, con frecuencia familias de color, sufren recursos públicos reducidos, cargas tributarias relativas mayores y riesgos sistémicos aumentados de los males sociales asociados con el racismo, el sexismo y otros ismos o fobias.</w:t>
      </w:r>
    </w:p>
    <w:p w14:paraId="547BBBCF" w14:textId="0D9D58B1" w:rsidR="00EF1CE7" w:rsidRPr="009257E7" w:rsidRDefault="00EF1CE7" w:rsidP="006D275A">
      <w:pPr>
        <w:pStyle w:val="NormalWeb"/>
        <w:ind w:firstLine="720"/>
        <w:rPr>
          <w:lang w:val="es-ES"/>
        </w:rPr>
      </w:pPr>
      <w:r w:rsidRPr="009257E7">
        <w:rPr>
          <w:lang w:val="es-ES"/>
        </w:rPr>
        <w:t>Al mismo tiempo, las élites arraigadas están decididas a negar esa misma capacidad de actuar mediante colectividades organizadas a cualquier persona que consideren adversaria. En cambio, adversari</w:t>
      </w:r>
      <w:r w:rsidR="006D275A" w:rsidRPr="009257E7">
        <w:rPr>
          <w:lang w:val="es-ES"/>
        </w:rPr>
        <w:t>o</w:t>
      </w:r>
      <w:r w:rsidRPr="009257E7">
        <w:rPr>
          <w:lang w:val="es-ES"/>
        </w:rPr>
        <w:t>s, disidentes y no conformistas deben ser “eliminad</w:t>
      </w:r>
      <w:r w:rsidR="006A7246" w:rsidRPr="009257E7">
        <w:rPr>
          <w:lang w:val="es-ES"/>
        </w:rPr>
        <w:t>o</w:t>
      </w:r>
      <w:r w:rsidRPr="009257E7">
        <w:rPr>
          <w:lang w:val="es-ES"/>
        </w:rPr>
        <w:t>s”. Como señala David Luban, académico del derecho y la filosofía, las élites diseñan y rediseñan el derecho y sus reglas básicas no solo para construir, sino también para derribar el sistema según su sentido —cambiante— del interés propio. Estas tácticas “forman un patrón peligroso” en el que “el sistema adversarial se convierte en poco más que un campo de mentiras”</w:t>
      </w:r>
      <w:r w:rsidR="00BA4EF8" w:rsidRPr="009257E7">
        <w:rPr>
          <w:rStyle w:val="FootnoteReference"/>
          <w:lang w:val="es-ES"/>
        </w:rPr>
        <w:footnoteReference w:id="62"/>
      </w:r>
      <w:r w:rsidRPr="009257E7">
        <w:rPr>
          <w:lang w:val="es-ES"/>
        </w:rPr>
        <w:t>. Las élites que promueven “doctrinas silenciadoras” y tácticas similares “preferirían amordazar [a sus adversari</w:t>
      </w:r>
      <w:r w:rsidR="00BA4EF8" w:rsidRPr="009257E7">
        <w:rPr>
          <w:lang w:val="es-ES"/>
        </w:rPr>
        <w:t>o</w:t>
      </w:r>
      <w:r w:rsidRPr="009257E7">
        <w:rPr>
          <w:lang w:val="es-ES"/>
        </w:rPr>
        <w:t>s] antes que debatir con ell</w:t>
      </w:r>
      <w:r w:rsidR="00BA4EF8" w:rsidRPr="009257E7">
        <w:rPr>
          <w:lang w:val="es-ES"/>
        </w:rPr>
        <w:t>o</w:t>
      </w:r>
      <w:r w:rsidRPr="009257E7">
        <w:rPr>
          <w:lang w:val="es-ES"/>
        </w:rPr>
        <w:t>s sobre los méritos</w:t>
      </w:r>
      <w:r w:rsidR="00BA4EF8" w:rsidRPr="009257E7">
        <w:rPr>
          <w:lang w:val="es-ES"/>
        </w:rPr>
        <w:t>”</w:t>
      </w:r>
      <w:r w:rsidRPr="009257E7">
        <w:rPr>
          <w:lang w:val="es-ES"/>
        </w:rPr>
        <w:t>. Su eliminación intencional de la oposición o la disidencia —“eliminar” al abogade de la otra parte en el contexto de un sistema adversarial— “despoja al sistema adversarial de su reclamo más fuerte de legitimidad”</w:t>
      </w:r>
      <w:r w:rsidR="006A1E7B" w:rsidRPr="009257E7">
        <w:rPr>
          <w:rStyle w:val="FootnoteReference"/>
          <w:lang w:val="es-ES"/>
        </w:rPr>
        <w:footnoteReference w:id="63"/>
      </w:r>
      <w:r w:rsidRPr="009257E7">
        <w:rPr>
          <w:lang w:val="es-ES"/>
        </w:rPr>
        <w:t xml:space="preserve">. Bajo estas circunstancias, Luban concluye que el derecho “amenaza con disolverse en farsa o fraude”, impuesto por el poder </w:t>
      </w:r>
      <w:r w:rsidRPr="009257E7">
        <w:rPr>
          <w:lang w:val="es-ES"/>
        </w:rPr>
        <w:lastRenderedPageBreak/>
        <w:t>crudo de las élites gobernantes. Aunque esta realidad es ineludible, les abogades sistémiques deben anticipar sus complejidades para adelantarse a sus giros.</w:t>
      </w:r>
    </w:p>
    <w:p w14:paraId="29E0C918" w14:textId="043F3D45" w:rsidR="00EF1CE7" w:rsidRPr="009257E7" w:rsidRDefault="00EF1CE7" w:rsidP="00197510">
      <w:pPr>
        <w:pStyle w:val="NormalWeb"/>
        <w:ind w:firstLine="720"/>
        <w:rPr>
          <w:lang w:val="es-ES"/>
        </w:rPr>
      </w:pPr>
      <w:r w:rsidRPr="009257E7">
        <w:rPr>
          <w:lang w:val="es-ES"/>
        </w:rPr>
        <w:t xml:space="preserve">La Legal </w:t>
      </w:r>
      <w:proofErr w:type="spellStart"/>
      <w:r w:rsidRPr="009257E7">
        <w:rPr>
          <w:lang w:val="es-ES"/>
        </w:rPr>
        <w:t>Services</w:t>
      </w:r>
      <w:proofErr w:type="spellEnd"/>
      <w:r w:rsidRPr="009257E7">
        <w:rPr>
          <w:lang w:val="es-ES"/>
        </w:rPr>
        <w:t xml:space="preserve"> </w:t>
      </w:r>
      <w:proofErr w:type="spellStart"/>
      <w:r w:rsidRPr="009257E7">
        <w:rPr>
          <w:lang w:val="es-ES"/>
        </w:rPr>
        <w:t>Corporation</w:t>
      </w:r>
      <w:proofErr w:type="spellEnd"/>
      <w:r w:rsidRPr="009257E7">
        <w:rPr>
          <w:lang w:val="es-ES"/>
        </w:rPr>
        <w:t xml:space="preserve"> (LSC) es un ejemplo adecuado. Cada año, l</w:t>
      </w:r>
      <w:r w:rsidR="00466882" w:rsidRPr="009257E7">
        <w:rPr>
          <w:lang w:val="es-ES"/>
        </w:rPr>
        <w:t>o</w:t>
      </w:r>
      <w:r w:rsidRPr="009257E7">
        <w:rPr>
          <w:lang w:val="es-ES"/>
        </w:rPr>
        <w:t xml:space="preserve">s opositores de los servicios jurídicos para personas pobres buscan recortar el financiamiento de la LSC. Este esfuerzo no ha tenido éxito total. </w:t>
      </w:r>
      <w:r w:rsidR="006D600F" w:rsidRPr="009257E7">
        <w:rPr>
          <w:lang w:val="es-ES"/>
        </w:rPr>
        <w:t xml:space="preserve">Sin embargo, el número de abogados que prestan servicios financiados por el gobierno a personas sin recursos sigue siendo extremadamente bajo en comparación con la demanda. Se ha seguido socavando las estrategias colectivas y las colaboraciones entre los ámbitos jurídico y organizativo. </w:t>
      </w:r>
      <w:r w:rsidRPr="009257E7">
        <w:rPr>
          <w:lang w:val="es-ES"/>
        </w:rPr>
        <w:t>Los ataques contra grupos de abogacía de interés público mediante demandas SLAPP —</w:t>
      </w:r>
      <w:proofErr w:type="spellStart"/>
      <w:r w:rsidRPr="009257E7">
        <w:rPr>
          <w:rStyle w:val="Emphasis"/>
          <w:lang w:val="es-ES"/>
        </w:rPr>
        <w:t>Strategic</w:t>
      </w:r>
      <w:proofErr w:type="spellEnd"/>
      <w:r w:rsidRPr="009257E7">
        <w:rPr>
          <w:rStyle w:val="Emphasis"/>
          <w:lang w:val="es-ES"/>
        </w:rPr>
        <w:t xml:space="preserve"> </w:t>
      </w:r>
      <w:proofErr w:type="spellStart"/>
      <w:r w:rsidRPr="009257E7">
        <w:rPr>
          <w:rStyle w:val="Emphasis"/>
          <w:lang w:val="es-ES"/>
        </w:rPr>
        <w:t>Lawsuit</w:t>
      </w:r>
      <w:proofErr w:type="spellEnd"/>
      <w:r w:rsidRPr="009257E7">
        <w:rPr>
          <w:rStyle w:val="Emphasis"/>
          <w:lang w:val="es-ES"/>
        </w:rPr>
        <w:t xml:space="preserve"> </w:t>
      </w:r>
      <w:proofErr w:type="spellStart"/>
      <w:r w:rsidRPr="009257E7">
        <w:rPr>
          <w:rStyle w:val="Emphasis"/>
          <w:lang w:val="es-ES"/>
        </w:rPr>
        <w:t>Against</w:t>
      </w:r>
      <w:proofErr w:type="spellEnd"/>
      <w:r w:rsidRPr="009257E7">
        <w:rPr>
          <w:rStyle w:val="Emphasis"/>
          <w:lang w:val="es-ES"/>
        </w:rPr>
        <w:t xml:space="preserve"> Public </w:t>
      </w:r>
      <w:proofErr w:type="spellStart"/>
      <w:r w:rsidRPr="009257E7">
        <w:rPr>
          <w:rStyle w:val="Emphasis"/>
          <w:lang w:val="es-ES"/>
        </w:rPr>
        <w:t>Participation</w:t>
      </w:r>
      <w:proofErr w:type="spellEnd"/>
      <w:r w:rsidRPr="009257E7">
        <w:rPr>
          <w:lang w:val="es-ES"/>
        </w:rPr>
        <w:t xml:space="preserve">— y los intentos de retirarles fondos </w:t>
      </w:r>
      <w:r w:rsidR="006D600F" w:rsidRPr="009257E7">
        <w:rPr>
          <w:lang w:val="es-ES"/>
        </w:rPr>
        <w:t>continúan</w:t>
      </w:r>
      <w:r w:rsidRPr="009257E7">
        <w:rPr>
          <w:lang w:val="es-ES"/>
        </w:rPr>
        <w:t>. También contin</w:t>
      </w:r>
      <w:r w:rsidR="006D600F" w:rsidRPr="009257E7">
        <w:rPr>
          <w:lang w:val="es-ES"/>
        </w:rPr>
        <w:t>úan</w:t>
      </w:r>
      <w:r w:rsidRPr="009257E7">
        <w:rPr>
          <w:lang w:val="es-ES"/>
        </w:rPr>
        <w:t xml:space="preserve"> otros esfuerzos desde arriba para cerrar o limitar las actividades de las clínicas de las facultades de derecho. Rebecca Smith, del </w:t>
      </w:r>
      <w:proofErr w:type="spellStart"/>
      <w:r w:rsidRPr="009257E7">
        <w:rPr>
          <w:lang w:val="es-ES"/>
        </w:rPr>
        <w:t>National</w:t>
      </w:r>
      <w:proofErr w:type="spellEnd"/>
      <w:r w:rsidRPr="009257E7">
        <w:rPr>
          <w:lang w:val="es-ES"/>
        </w:rPr>
        <w:t xml:space="preserve"> </w:t>
      </w:r>
      <w:proofErr w:type="spellStart"/>
      <w:r w:rsidRPr="009257E7">
        <w:rPr>
          <w:lang w:val="es-ES"/>
        </w:rPr>
        <w:t>Employment</w:t>
      </w:r>
      <w:proofErr w:type="spellEnd"/>
      <w:r w:rsidRPr="009257E7">
        <w:rPr>
          <w:lang w:val="es-ES"/>
        </w:rPr>
        <w:t xml:space="preserve"> Law Project, señala que las demandas SLAPP suelen aumentar cuando las luchas colectivas comienzan a lograr victorias, como cuando los centros de trabajadores empezaron a usar con éxito litigios y acción directa para recuperar salarios no pagados:</w:t>
      </w:r>
    </w:p>
    <w:p w14:paraId="7A1733E2" w14:textId="73D50F3B" w:rsidR="00954384" w:rsidRPr="009257E7" w:rsidRDefault="00954384" w:rsidP="00197510">
      <w:pPr>
        <w:pStyle w:val="NormalWeb"/>
        <w:ind w:left="720"/>
        <w:rPr>
          <w:lang w:val="es-ES"/>
        </w:rPr>
      </w:pPr>
      <w:r w:rsidRPr="009257E7">
        <w:rPr>
          <w:lang w:val="es-ES"/>
        </w:rPr>
        <w:t>[L]</w:t>
      </w:r>
      <w:r w:rsidR="00197510" w:rsidRPr="009257E7">
        <w:rPr>
          <w:lang w:val="es-ES"/>
        </w:rPr>
        <w:t>o</w:t>
      </w:r>
      <w:r w:rsidRPr="009257E7">
        <w:rPr>
          <w:lang w:val="es-ES"/>
        </w:rPr>
        <w:t xml:space="preserve">s patronos que se burlan de las leyes sobre salario y horas han desarrollado cierto “respeto” por otras leyes, y algunos centros de trabajadores han visto cómo elles y sus integrantes han sido demandades por presunta “difamación”, “interferencia con negocios”, o incluso acusades de ser “cobradores de deudas”. El propósito principal de estas demandas es inmovilizar los recursos de un centro de trabajadores durante un tiempo suficiente para que los centros sean silenciados por miedo al litigio o para que el desvío de recursos les impida perseguir con firmeza sus metas organizativas. Estas demandas han fracasado en gran medida en </w:t>
      </w:r>
      <w:r w:rsidR="00197510" w:rsidRPr="009257E7">
        <w:rPr>
          <w:lang w:val="es-ES"/>
        </w:rPr>
        <w:t>su</w:t>
      </w:r>
      <w:r w:rsidRPr="009257E7">
        <w:rPr>
          <w:lang w:val="es-ES"/>
        </w:rPr>
        <w:t xml:space="preserve"> fondo. Pueden ser enormemente disruptivas para el trabajo real de los centros de trabajadores, pues requieren que integrantes del personal busquen asesoría jurídica externa, respondan preguntas escritas onerosas, comparezcan ante el tribunal para testificar y hagan que los centros teman participar en técnicas de acción directa altamente efectivas.</w:t>
      </w:r>
      <w:r w:rsidR="00343CDE" w:rsidRPr="009257E7">
        <w:rPr>
          <w:rStyle w:val="FootnoteReference"/>
          <w:lang w:val="es-ES"/>
        </w:rPr>
        <w:footnoteReference w:id="64"/>
      </w:r>
    </w:p>
    <w:p w14:paraId="672E6E38" w14:textId="079D22C2" w:rsidR="00954384" w:rsidRPr="009257E7" w:rsidRDefault="00954384" w:rsidP="00743C12">
      <w:pPr>
        <w:pStyle w:val="NormalWeb"/>
        <w:ind w:firstLine="720"/>
        <w:rPr>
          <w:lang w:val="es-ES"/>
        </w:rPr>
      </w:pPr>
      <w:r w:rsidRPr="009257E7">
        <w:rPr>
          <w:lang w:val="es-ES"/>
        </w:rPr>
        <w:t>Las demandas SLAPP pueden convertirse en batallas jurídicas largas y agotadoras. Demandantes y demandad</w:t>
      </w:r>
      <w:r w:rsidR="00743C12" w:rsidRPr="009257E7">
        <w:rPr>
          <w:lang w:val="es-ES"/>
        </w:rPr>
        <w:t>e</w:t>
      </w:r>
      <w:r w:rsidRPr="009257E7">
        <w:rPr>
          <w:lang w:val="es-ES"/>
        </w:rPr>
        <w:t xml:space="preserve">s </w:t>
      </w:r>
      <w:r w:rsidR="00743C12" w:rsidRPr="009257E7">
        <w:rPr>
          <w:lang w:val="es-ES"/>
        </w:rPr>
        <w:t>adopt</w:t>
      </w:r>
      <w:r w:rsidRPr="009257E7">
        <w:rPr>
          <w:lang w:val="es-ES"/>
        </w:rPr>
        <w:t xml:space="preserve">an </w:t>
      </w:r>
      <w:r w:rsidR="00743C12" w:rsidRPr="009257E7">
        <w:rPr>
          <w:lang w:val="es-ES"/>
        </w:rPr>
        <w:t>medidas</w:t>
      </w:r>
      <w:r w:rsidRPr="009257E7">
        <w:rPr>
          <w:lang w:val="es-ES"/>
        </w:rPr>
        <w:t xml:space="preserve"> para cambiar el cálculo de costos y beneficios, como presentar demandas anti-SLAPP para responder a los esfuerzos dirigidos a sofocar la protesta pública. En 2011, por ejemplo, la Junta de la Olympia </w:t>
      </w:r>
      <w:proofErr w:type="spellStart"/>
      <w:r w:rsidRPr="009257E7">
        <w:rPr>
          <w:lang w:val="es-ES"/>
        </w:rPr>
        <w:t>Food</w:t>
      </w:r>
      <w:proofErr w:type="spellEnd"/>
      <w:r w:rsidRPr="009257E7">
        <w:rPr>
          <w:lang w:val="es-ES"/>
        </w:rPr>
        <w:t xml:space="preserve"> Co-</w:t>
      </w:r>
      <w:proofErr w:type="spellStart"/>
      <w:r w:rsidRPr="009257E7">
        <w:rPr>
          <w:lang w:val="es-ES"/>
        </w:rPr>
        <w:t>op</w:t>
      </w:r>
      <w:proofErr w:type="spellEnd"/>
      <w:r w:rsidRPr="009257E7">
        <w:rPr>
          <w:lang w:val="es-ES"/>
        </w:rPr>
        <w:t xml:space="preserve"> fue demandada por cinco integrantes de la cooperativa después de que integrantes de la Junta votar</w:t>
      </w:r>
      <w:r w:rsidR="00DF08FF" w:rsidRPr="009257E7">
        <w:rPr>
          <w:lang w:val="es-ES"/>
        </w:rPr>
        <w:t>o</w:t>
      </w:r>
      <w:r w:rsidRPr="009257E7">
        <w:rPr>
          <w:lang w:val="es-ES"/>
        </w:rPr>
        <w:t xml:space="preserve">n a favor de boicotear productos hechos en Israel para mostrar apoyo a los derechos palestinos. La cooperativa de alimentos había tomado medidas similares antes, al prohibir en sus estantes productos de China para protestar contra </w:t>
      </w:r>
      <w:r w:rsidR="00DF08FF" w:rsidRPr="009257E7">
        <w:rPr>
          <w:lang w:val="es-ES"/>
        </w:rPr>
        <w:t xml:space="preserve">los </w:t>
      </w:r>
      <w:r w:rsidRPr="009257E7">
        <w:rPr>
          <w:lang w:val="es-ES"/>
        </w:rPr>
        <w:t>abusos de derechos humanos en el Tíbet y productos de Colorado en reacción a una política estatal de discriminación legalizada contra</w:t>
      </w:r>
      <w:r w:rsidR="00DF08FF" w:rsidRPr="009257E7">
        <w:rPr>
          <w:lang w:val="es-ES"/>
        </w:rPr>
        <w:t xml:space="preserve"> las</w:t>
      </w:r>
      <w:r w:rsidRPr="009257E7">
        <w:rPr>
          <w:lang w:val="es-ES"/>
        </w:rPr>
        <w:t xml:space="preserve"> personas LGBTQ. Sin embargo, les demandantes argumentaron que l</w:t>
      </w:r>
      <w:r w:rsidR="006C14CA" w:rsidRPr="009257E7">
        <w:rPr>
          <w:lang w:val="es-ES"/>
        </w:rPr>
        <w:t>o</w:t>
      </w:r>
      <w:r w:rsidRPr="009257E7">
        <w:rPr>
          <w:lang w:val="es-ES"/>
        </w:rPr>
        <w:t xml:space="preserve">s integrantes de la Junta habían actuado más allá de su autoridad y habían incumplido deberes fiduciarios al respaldar el boicot y solicitaron daños monetarios. El Center </w:t>
      </w:r>
      <w:proofErr w:type="spellStart"/>
      <w:r w:rsidRPr="009257E7">
        <w:rPr>
          <w:lang w:val="es-ES"/>
        </w:rPr>
        <w:t>for</w:t>
      </w:r>
      <w:proofErr w:type="spellEnd"/>
      <w:r w:rsidRPr="009257E7">
        <w:rPr>
          <w:lang w:val="es-ES"/>
        </w:rPr>
        <w:t xml:space="preserve"> </w:t>
      </w:r>
      <w:proofErr w:type="spellStart"/>
      <w:r w:rsidRPr="009257E7">
        <w:rPr>
          <w:lang w:val="es-ES"/>
        </w:rPr>
        <w:t>Constitutional</w:t>
      </w:r>
      <w:proofErr w:type="spellEnd"/>
      <w:r w:rsidRPr="009257E7">
        <w:rPr>
          <w:lang w:val="es-ES"/>
        </w:rPr>
        <w:t xml:space="preserve"> </w:t>
      </w:r>
      <w:proofErr w:type="spellStart"/>
      <w:r w:rsidRPr="009257E7">
        <w:rPr>
          <w:lang w:val="es-ES"/>
        </w:rPr>
        <w:t>Rights</w:t>
      </w:r>
      <w:proofErr w:type="spellEnd"/>
      <w:r w:rsidRPr="009257E7">
        <w:rPr>
          <w:lang w:val="es-ES"/>
        </w:rPr>
        <w:t xml:space="preserve"> (CCR) trabajó con abogades privades para atender la demanda SLAPP. Argumentó que l</w:t>
      </w:r>
      <w:r w:rsidR="006C14CA" w:rsidRPr="009257E7">
        <w:rPr>
          <w:lang w:val="es-ES"/>
        </w:rPr>
        <w:t>e</w:t>
      </w:r>
      <w:r w:rsidRPr="009257E7">
        <w:rPr>
          <w:lang w:val="es-ES"/>
        </w:rPr>
        <w:t xml:space="preserve">s integrantes de la Junta habían </w:t>
      </w:r>
      <w:r w:rsidRPr="009257E7">
        <w:rPr>
          <w:lang w:val="es-ES"/>
        </w:rPr>
        <w:lastRenderedPageBreak/>
        <w:t xml:space="preserve">actuado dentro de sus deberes y que la demanda buscaba obstaculizar sus derechos de libre expresión </w:t>
      </w:r>
      <w:r w:rsidR="006C14CA" w:rsidRPr="009257E7">
        <w:rPr>
          <w:lang w:val="es-ES"/>
        </w:rPr>
        <w:t>al</w:t>
      </w:r>
      <w:r w:rsidRPr="009257E7">
        <w:rPr>
          <w:lang w:val="es-ES"/>
        </w:rPr>
        <w:t xml:space="preserve"> participar en un movimiento de boicot de alcance nacional</w:t>
      </w:r>
      <w:r w:rsidR="00C763E3" w:rsidRPr="009257E7">
        <w:rPr>
          <w:rStyle w:val="FootnoteReference"/>
          <w:lang w:val="es-ES"/>
        </w:rPr>
        <w:footnoteReference w:id="65"/>
      </w:r>
      <w:r w:rsidRPr="009257E7">
        <w:rPr>
          <w:lang w:val="es-ES"/>
        </w:rPr>
        <w:t xml:space="preserve">. Luego, les integrantes de la Junta presentaron una demanda anti-SLAPP, que fue desestimada en 2015, tras lo cual la demanda SLAPP fue restablecida. En conjunto, el caso tomó nueve años de esfuerzo, requirió una firmeza extraordinaria y costó recursos enormes para la defensa. Como muestra este caso, las élites usan el tiempo de manera consciente como elemento integral de </w:t>
      </w:r>
      <w:r w:rsidR="004C76F1" w:rsidRPr="009257E7">
        <w:rPr>
          <w:lang w:val="es-ES"/>
        </w:rPr>
        <w:t xml:space="preserve">la </w:t>
      </w:r>
      <w:r w:rsidRPr="009257E7">
        <w:rPr>
          <w:lang w:val="es-ES"/>
        </w:rPr>
        <w:t>estrategia; en este caso, para drenar energía y recursos —y, por tanto, poder y capacidad— de sus adversari</w:t>
      </w:r>
      <w:r w:rsidR="004C76F1" w:rsidRPr="009257E7">
        <w:rPr>
          <w:lang w:val="es-ES"/>
        </w:rPr>
        <w:t>o</w:t>
      </w:r>
      <w:r w:rsidRPr="009257E7">
        <w:rPr>
          <w:lang w:val="es-ES"/>
        </w:rPr>
        <w:t>s.</w:t>
      </w:r>
    </w:p>
    <w:p w14:paraId="7B47439D" w14:textId="5047ADF0" w:rsidR="00954384" w:rsidRPr="009257E7" w:rsidRDefault="00954384" w:rsidP="00C763E3">
      <w:pPr>
        <w:pStyle w:val="NormalWeb"/>
        <w:ind w:firstLine="720"/>
        <w:rPr>
          <w:lang w:val="es-ES"/>
        </w:rPr>
      </w:pPr>
      <w:r w:rsidRPr="009257E7">
        <w:rPr>
          <w:lang w:val="es-ES"/>
        </w:rPr>
        <w:t xml:space="preserve">Más allá de las demandas SLAPP, los ataques contra las clínicas de las facultades de derecho que </w:t>
      </w:r>
      <w:r w:rsidR="00C763E3" w:rsidRPr="009257E7">
        <w:rPr>
          <w:lang w:val="es-ES"/>
        </w:rPr>
        <w:t>atiend</w:t>
      </w:r>
      <w:r w:rsidRPr="009257E7">
        <w:rPr>
          <w:lang w:val="es-ES"/>
        </w:rPr>
        <w:t>en a personas pobres han continuado durante décadas, mientras las élites organizadas buscan suprimir los desafíos. Robert Kuehn, clínico jurídico, y Bridget McCormack, ex clínica jurídica y ahora jueza, señalan que las clínicas de las facultades de derecho que sirven a personas pobres han sufrido décadas de ataques u otros esfuerzos para influir en su toma de decisiones. Los ataques actuales desde arriba forman parte de este patrón histórico:</w:t>
      </w:r>
    </w:p>
    <w:p w14:paraId="77F9E61A" w14:textId="088379FF" w:rsidR="00954384" w:rsidRPr="009257E7" w:rsidRDefault="00954384" w:rsidP="0030050B">
      <w:pPr>
        <w:pStyle w:val="NormalWeb"/>
        <w:ind w:left="720"/>
        <w:rPr>
          <w:lang w:val="es-ES"/>
        </w:rPr>
      </w:pPr>
      <w:r w:rsidRPr="009257E7">
        <w:rPr>
          <w:lang w:val="es-ES"/>
        </w:rPr>
        <w:t>[L]a interferencia es una preocupación con</w:t>
      </w:r>
      <w:r w:rsidR="0030050B" w:rsidRPr="009257E7">
        <w:rPr>
          <w:lang w:val="es-ES"/>
        </w:rPr>
        <w:t>stante</w:t>
      </w:r>
      <w:r w:rsidRPr="009257E7">
        <w:rPr>
          <w:lang w:val="es-ES"/>
        </w:rPr>
        <w:t>. Incluso las clínicas que quizá no atiendan casos o clientes controver</w:t>
      </w:r>
      <w:r w:rsidR="0030050B" w:rsidRPr="009257E7">
        <w:rPr>
          <w:lang w:val="es-ES"/>
        </w:rPr>
        <w:t>tido</w:t>
      </w:r>
      <w:r w:rsidRPr="009257E7">
        <w:rPr>
          <w:lang w:val="es-ES"/>
        </w:rPr>
        <w:t>s son vulnerables a la ira de un abogad</w:t>
      </w:r>
      <w:r w:rsidR="0030050B" w:rsidRPr="009257E7">
        <w:rPr>
          <w:lang w:val="es-ES"/>
        </w:rPr>
        <w:t>o</w:t>
      </w:r>
      <w:r w:rsidRPr="009257E7">
        <w:rPr>
          <w:lang w:val="es-ES"/>
        </w:rPr>
        <w:t xml:space="preserve"> o </w:t>
      </w:r>
      <w:r w:rsidR="0030050B" w:rsidRPr="009257E7">
        <w:rPr>
          <w:lang w:val="es-ES"/>
        </w:rPr>
        <w:t xml:space="preserve">de una </w:t>
      </w:r>
      <w:r w:rsidRPr="009257E7">
        <w:rPr>
          <w:lang w:val="es-ES"/>
        </w:rPr>
        <w:t>parte contraria con conexión con la facultad de derecho o</w:t>
      </w:r>
      <w:r w:rsidR="0030050B" w:rsidRPr="009257E7">
        <w:rPr>
          <w:lang w:val="es-ES"/>
        </w:rPr>
        <w:t xml:space="preserve"> con</w:t>
      </w:r>
      <w:r w:rsidRPr="009257E7">
        <w:rPr>
          <w:lang w:val="es-ES"/>
        </w:rPr>
        <w:t xml:space="preserve"> influencia en la legislatura. Como demuestran los casos publicitados de interferencia en clínicas jurídicas, “[c]</w:t>
      </w:r>
      <w:proofErr w:type="spellStart"/>
      <w:r w:rsidRPr="009257E7">
        <w:rPr>
          <w:lang w:val="es-ES"/>
        </w:rPr>
        <w:t>ualquier</w:t>
      </w:r>
      <w:proofErr w:type="spellEnd"/>
      <w:r w:rsidRPr="009257E7">
        <w:rPr>
          <w:lang w:val="es-ES"/>
        </w:rPr>
        <w:t xml:space="preserve"> clínica de una facultad de derecho está a solo un caso controversial, </w:t>
      </w:r>
      <w:r w:rsidR="00E33155" w:rsidRPr="009257E7">
        <w:rPr>
          <w:lang w:val="es-ES"/>
        </w:rPr>
        <w:t>un cliente impopular, un legislador, exalumno o abogade contrario enfadado, o un decano o funcionario universitario</w:t>
      </w:r>
      <w:r w:rsidRPr="009257E7">
        <w:rPr>
          <w:lang w:val="es-ES"/>
        </w:rPr>
        <w:t xml:space="preserve"> sin apoyo, de intentos de interferir en su selección de casos y clientes”.</w:t>
      </w:r>
    </w:p>
    <w:p w14:paraId="48FD6E41" w14:textId="6E362D5D" w:rsidR="00954384" w:rsidRPr="009257E7" w:rsidRDefault="00954384" w:rsidP="00E33155">
      <w:pPr>
        <w:pStyle w:val="NormalWeb"/>
        <w:ind w:left="720"/>
        <w:rPr>
          <w:lang w:val="es-ES"/>
        </w:rPr>
      </w:pPr>
      <w:r w:rsidRPr="009257E7">
        <w:rPr>
          <w:lang w:val="es-ES"/>
        </w:rPr>
        <w:t>[...] [L]es abogades de clínicas a menudo reaccionan a</w:t>
      </w:r>
      <w:r w:rsidR="00E33155" w:rsidRPr="009257E7">
        <w:rPr>
          <w:lang w:val="es-ES"/>
        </w:rPr>
        <w:t>nte e</w:t>
      </w:r>
      <w:r w:rsidRPr="009257E7">
        <w:rPr>
          <w:lang w:val="es-ES"/>
        </w:rPr>
        <w:t xml:space="preserve">l espectro de la interferencia mediante la autocensura </w:t>
      </w:r>
      <w:r w:rsidR="00E33155" w:rsidRPr="009257E7">
        <w:rPr>
          <w:lang w:val="es-ES"/>
        </w:rPr>
        <w:t>en</w:t>
      </w:r>
      <w:r w:rsidRPr="009257E7">
        <w:rPr>
          <w:lang w:val="es-ES"/>
        </w:rPr>
        <w:t xml:space="preserve"> lo que hacen con casos potenciales o </w:t>
      </w:r>
      <w:r w:rsidR="00E33155" w:rsidRPr="009257E7">
        <w:rPr>
          <w:lang w:val="es-ES"/>
        </w:rPr>
        <w:t>en</w:t>
      </w:r>
      <w:r w:rsidRPr="009257E7">
        <w:rPr>
          <w:lang w:val="es-ES"/>
        </w:rPr>
        <w:t xml:space="preserve"> lo que dicen en asuntos de gobernanza de la facultad de derecho. La menor seguridad de puesto y estatus de l</w:t>
      </w:r>
      <w:r w:rsidR="00E33155" w:rsidRPr="009257E7">
        <w:rPr>
          <w:lang w:val="es-ES"/>
        </w:rPr>
        <w:t>a</w:t>
      </w:r>
      <w:r w:rsidRPr="009257E7">
        <w:rPr>
          <w:lang w:val="es-ES"/>
        </w:rPr>
        <w:t>s abogad</w:t>
      </w:r>
      <w:r w:rsidR="00E33155" w:rsidRPr="009257E7">
        <w:rPr>
          <w:lang w:val="es-ES"/>
        </w:rPr>
        <w:t>a</w:t>
      </w:r>
      <w:r w:rsidRPr="009257E7">
        <w:rPr>
          <w:lang w:val="es-ES"/>
        </w:rPr>
        <w:t>s de clínicas dentro de la academia jurídica agrava estas preocupaciones, pues l</w:t>
      </w:r>
      <w:r w:rsidR="00E33155" w:rsidRPr="009257E7">
        <w:rPr>
          <w:lang w:val="es-ES"/>
        </w:rPr>
        <w:t>a</w:t>
      </w:r>
      <w:r w:rsidRPr="009257E7">
        <w:rPr>
          <w:lang w:val="es-ES"/>
        </w:rPr>
        <w:t xml:space="preserve">s hace más vulnerables a sanciones </w:t>
      </w:r>
      <w:r w:rsidR="00E33155" w:rsidRPr="009257E7">
        <w:rPr>
          <w:lang w:val="es-ES"/>
        </w:rPr>
        <w:t>laborales</w:t>
      </w:r>
      <w:r w:rsidRPr="009257E7">
        <w:rPr>
          <w:lang w:val="es-ES"/>
        </w:rPr>
        <w:t xml:space="preserve"> y menos capaces de expresarse internamente sobre asuntos de la facultad de derecho.</w:t>
      </w:r>
      <w:r w:rsidR="00F53E55" w:rsidRPr="009257E7">
        <w:rPr>
          <w:rStyle w:val="FootnoteReference"/>
          <w:lang w:val="es-ES"/>
        </w:rPr>
        <w:footnoteReference w:id="66"/>
      </w:r>
    </w:p>
    <w:p w14:paraId="3D7B825D" w14:textId="77777777" w:rsidR="00954384" w:rsidRPr="009257E7" w:rsidRDefault="00954384" w:rsidP="0021552A">
      <w:pPr>
        <w:pStyle w:val="NormalWeb"/>
        <w:ind w:left="720"/>
        <w:rPr>
          <w:lang w:val="es-ES"/>
        </w:rPr>
      </w:pPr>
      <w:r w:rsidRPr="009257E7">
        <w:rPr>
          <w:lang w:val="es-ES"/>
        </w:rPr>
        <w:t xml:space="preserve">Contrarrestar esta interferencia es responsabilidad de la profesión jurídica, de [la </w:t>
      </w:r>
      <w:proofErr w:type="spellStart"/>
      <w:r w:rsidRPr="009257E7">
        <w:rPr>
          <w:lang w:val="es-ES"/>
        </w:rPr>
        <w:t>Association</w:t>
      </w:r>
      <w:proofErr w:type="spellEnd"/>
      <w:r w:rsidRPr="009257E7">
        <w:rPr>
          <w:lang w:val="es-ES"/>
        </w:rPr>
        <w:t xml:space="preserve"> </w:t>
      </w:r>
      <w:proofErr w:type="spellStart"/>
      <w:r w:rsidRPr="009257E7">
        <w:rPr>
          <w:lang w:val="es-ES"/>
        </w:rPr>
        <w:t>of</w:t>
      </w:r>
      <w:proofErr w:type="spellEnd"/>
      <w:r w:rsidRPr="009257E7">
        <w:rPr>
          <w:lang w:val="es-ES"/>
        </w:rPr>
        <w:t xml:space="preserve"> American Law Schools] y de las propias facultades de derecho.</w:t>
      </w:r>
    </w:p>
    <w:p w14:paraId="66FF1D8F" w14:textId="77777777" w:rsidR="006F639E" w:rsidRPr="009257E7" w:rsidRDefault="00954384" w:rsidP="006F639E">
      <w:pPr>
        <w:pStyle w:val="NormalWeb"/>
        <w:rPr>
          <w:b/>
          <w:bCs/>
          <w:lang w:val="es-ES"/>
        </w:rPr>
      </w:pPr>
      <w:r w:rsidRPr="009257E7">
        <w:rPr>
          <w:lang w:val="es-ES"/>
        </w:rPr>
        <w:t xml:space="preserve">Las élites usan estrategias concurrentes para mantener una ventaja: fortalecen instituciones e individuos que proporcionan infraestructura para la ventaja en las luchas grupales, mientras eliminan adversaries —personas e instituciones— que podrían amenazar sus intereses. </w:t>
      </w:r>
      <w:r w:rsidR="006F639E" w:rsidRPr="009257E7">
        <w:rPr>
          <w:lang w:val="es-ES"/>
        </w:rPr>
        <w:t>Para lograrlo y mantenerlo así, colaboran sin descanso tanto dentro de sus fronteras como más allá de ellas.</w:t>
      </w:r>
      <w:r w:rsidR="006F639E" w:rsidRPr="009257E7">
        <w:rPr>
          <w:lang w:val="es-ES"/>
        </w:rPr>
        <w:br/>
      </w:r>
      <w:r w:rsidR="008F5B70" w:rsidRPr="009257E7">
        <w:rPr>
          <w:b/>
          <w:bCs/>
          <w:lang w:val="es-ES"/>
        </w:rPr>
        <w:br/>
      </w:r>
      <w:r w:rsidR="008F5B70" w:rsidRPr="009257E7">
        <w:rPr>
          <w:b/>
          <w:bCs/>
          <w:lang w:val="es-ES"/>
        </w:rPr>
        <w:lastRenderedPageBreak/>
        <w:t>2.2 Las élites orquestan de forma continua el poder, el privilegio y la ganancia para el dominio local-global</w:t>
      </w:r>
    </w:p>
    <w:p w14:paraId="419172DC" w14:textId="4B22AE69" w:rsidR="00A832A0" w:rsidRPr="009257E7" w:rsidRDefault="00A832A0" w:rsidP="00CB1D15">
      <w:pPr>
        <w:pStyle w:val="NormalWeb"/>
        <w:ind w:firstLine="720"/>
        <w:rPr>
          <w:lang w:val="es-ES"/>
        </w:rPr>
      </w:pPr>
      <w:r w:rsidRPr="009257E7">
        <w:rPr>
          <w:lang w:val="es-ES"/>
        </w:rPr>
        <w:t>Las élites se han mantenido en la cima porque han creado redes y se han organizado de manera continua para desarrollar planes y acciones colectiv</w:t>
      </w:r>
      <w:r w:rsidR="00CB1D15" w:rsidRPr="009257E7">
        <w:rPr>
          <w:lang w:val="es-ES"/>
        </w:rPr>
        <w:t>o</w:t>
      </w:r>
      <w:r w:rsidRPr="009257E7">
        <w:rPr>
          <w:lang w:val="es-ES"/>
        </w:rPr>
        <w:t xml:space="preserve">s con desenlaces estratégicos. De generación en generación, las élites han construido redes que les ayudan a perseguir intereses comunes, y esas redes han creado las instituciones que constituyen los sistemas actuales. Los esfuerzos de las élites incluyen decisiones muy personales relacionadas con el matrimonio y la formación familiar, así como con la sucesión intergeneracional de </w:t>
      </w:r>
      <w:r w:rsidR="0050091A" w:rsidRPr="009257E7">
        <w:rPr>
          <w:lang w:val="es-ES"/>
        </w:rPr>
        <w:t xml:space="preserve">la </w:t>
      </w:r>
      <w:r w:rsidRPr="009257E7">
        <w:rPr>
          <w:lang w:val="es-ES"/>
        </w:rPr>
        <w:t>riqueza y</w:t>
      </w:r>
      <w:r w:rsidR="0050091A" w:rsidRPr="009257E7">
        <w:rPr>
          <w:lang w:val="es-ES"/>
        </w:rPr>
        <w:t xml:space="preserve"> del</w:t>
      </w:r>
      <w:r w:rsidRPr="009257E7">
        <w:rPr>
          <w:lang w:val="es-ES"/>
        </w:rPr>
        <w:t xml:space="preserve"> conocimiento. El dominio elitista depende de esta capacidad colectivizada para aprovechar la ventaja material en acciones estratégicas que abarcan generaciones.</w:t>
      </w:r>
    </w:p>
    <w:p w14:paraId="03F03D57" w14:textId="110CD68A" w:rsidR="00A832A0" w:rsidRPr="009257E7" w:rsidRDefault="00A832A0" w:rsidP="0050091A">
      <w:pPr>
        <w:pStyle w:val="NormalWeb"/>
        <w:ind w:firstLine="720"/>
        <w:rPr>
          <w:lang w:val="es-ES"/>
        </w:rPr>
      </w:pPr>
      <w:r w:rsidRPr="009257E7">
        <w:rPr>
          <w:lang w:val="es-ES"/>
        </w:rPr>
        <w:t xml:space="preserve">En este proceso, las élites se enfocan de forma continua en conceptos fundacionales y </w:t>
      </w:r>
      <w:r w:rsidR="0050091A" w:rsidRPr="009257E7">
        <w:rPr>
          <w:lang w:val="es-ES"/>
        </w:rPr>
        <w:t xml:space="preserve">en </w:t>
      </w:r>
      <w:r w:rsidRPr="009257E7">
        <w:rPr>
          <w:lang w:val="es-ES"/>
        </w:rPr>
        <w:t xml:space="preserve">reglas básicas. Estos conceptos fundacionales incluyen ideas jurídicas como justicia, igualdad, debido proceso, soberanía, conquista, propiedad, contrato, la distinción público-privada, antidiscriminación —en oposición a </w:t>
      </w:r>
      <w:r w:rsidR="0050091A" w:rsidRPr="009257E7">
        <w:rPr>
          <w:lang w:val="es-ES"/>
        </w:rPr>
        <w:t>la</w:t>
      </w:r>
      <w:r w:rsidR="0050091A" w:rsidRPr="009257E7">
        <w:rPr>
          <w:i/>
          <w:iCs/>
          <w:lang w:val="es-ES"/>
        </w:rPr>
        <w:t xml:space="preserve"> </w:t>
      </w:r>
      <w:proofErr w:type="spellStart"/>
      <w:r w:rsidRPr="009257E7">
        <w:rPr>
          <w:i/>
          <w:iCs/>
          <w:lang w:val="es-ES"/>
        </w:rPr>
        <w:t>antisubordinación</w:t>
      </w:r>
      <w:proofErr w:type="spellEnd"/>
      <w:r w:rsidR="00147CC4" w:rsidRPr="009257E7">
        <w:rPr>
          <w:rStyle w:val="FootnoteReference"/>
          <w:i/>
          <w:iCs/>
          <w:lang w:val="es-ES"/>
        </w:rPr>
        <w:footnoteReference w:id="67"/>
      </w:r>
      <w:r w:rsidRPr="009257E7">
        <w:rPr>
          <w:lang w:val="es-ES"/>
        </w:rPr>
        <w:t>— y otras. Las reglas básicas determinan los términos y los medios de acceso a la toma de decisiones adjudicativa</w:t>
      </w:r>
      <w:r w:rsidR="009B28A3" w:rsidRPr="009257E7">
        <w:rPr>
          <w:lang w:val="es-ES"/>
        </w:rPr>
        <w:t>s</w:t>
      </w:r>
      <w:r w:rsidRPr="009257E7">
        <w:rPr>
          <w:lang w:val="es-ES"/>
        </w:rPr>
        <w:t xml:space="preserve"> y democrática</w:t>
      </w:r>
      <w:r w:rsidR="009B28A3" w:rsidRPr="009257E7">
        <w:rPr>
          <w:lang w:val="es-ES"/>
        </w:rPr>
        <w:t>s</w:t>
      </w:r>
      <w:r w:rsidRPr="009257E7">
        <w:rPr>
          <w:lang w:val="es-ES"/>
        </w:rPr>
        <w:t xml:space="preserve">. En el ámbito de la adjudicación, estas reglas definen la jurisdicción, atomizan las reclamaciones, estructuran el procedimiento, regulan los </w:t>
      </w:r>
      <w:r w:rsidR="009B28A3" w:rsidRPr="009257E7">
        <w:rPr>
          <w:lang w:val="es-ES"/>
        </w:rPr>
        <w:t>plaz</w:t>
      </w:r>
      <w:r w:rsidRPr="009257E7">
        <w:rPr>
          <w:lang w:val="es-ES"/>
        </w:rPr>
        <w:t xml:space="preserve">os, limitan lo que cuenta como evidencia, determinan los remedios permitidos y, en general, facilitan la explotación de la ventaja por parte de quienes ya </w:t>
      </w:r>
      <w:r w:rsidR="009B28A3" w:rsidRPr="009257E7">
        <w:rPr>
          <w:lang w:val="es-ES"/>
        </w:rPr>
        <w:t>la</w:t>
      </w:r>
      <w:r w:rsidRPr="009257E7">
        <w:rPr>
          <w:lang w:val="es-ES"/>
        </w:rPr>
        <w:t xml:space="preserve"> </w:t>
      </w:r>
      <w:r w:rsidR="009B28A3" w:rsidRPr="009257E7">
        <w:rPr>
          <w:lang w:val="es-ES"/>
        </w:rPr>
        <w:t>tienen</w:t>
      </w:r>
      <w:r w:rsidRPr="009257E7">
        <w:rPr>
          <w:lang w:val="es-ES"/>
        </w:rPr>
        <w:t xml:space="preserve">. En la toma de decisiones democrática, las reglas básicas establecen los derechos al voto, los métodos electorales, el financiamiento de </w:t>
      </w:r>
      <w:r w:rsidR="009B28A3" w:rsidRPr="009257E7">
        <w:rPr>
          <w:lang w:val="es-ES"/>
        </w:rPr>
        <w:t xml:space="preserve">las </w:t>
      </w:r>
      <w:r w:rsidRPr="009257E7">
        <w:rPr>
          <w:lang w:val="es-ES"/>
        </w:rPr>
        <w:t xml:space="preserve">campañas electorales y la estructura de los procedimientos, </w:t>
      </w:r>
      <w:r w:rsidR="009B28A3" w:rsidRPr="009257E7">
        <w:rPr>
          <w:lang w:val="es-ES"/>
        </w:rPr>
        <w:t xml:space="preserve">las </w:t>
      </w:r>
      <w:r w:rsidRPr="009257E7">
        <w:rPr>
          <w:lang w:val="es-ES"/>
        </w:rPr>
        <w:t>reglas y</w:t>
      </w:r>
      <w:r w:rsidR="009B28A3" w:rsidRPr="009257E7">
        <w:rPr>
          <w:lang w:val="es-ES"/>
        </w:rPr>
        <w:t xml:space="preserve"> los</w:t>
      </w:r>
      <w:r w:rsidRPr="009257E7">
        <w:rPr>
          <w:lang w:val="es-ES"/>
        </w:rPr>
        <w:t xml:space="preserve"> accesos para la formulación de políticas, </w:t>
      </w:r>
      <w:r w:rsidR="009B28A3" w:rsidRPr="009257E7">
        <w:rPr>
          <w:lang w:val="es-ES"/>
        </w:rPr>
        <w:t xml:space="preserve">así como para </w:t>
      </w:r>
      <w:r w:rsidRPr="009257E7">
        <w:rPr>
          <w:lang w:val="es-ES"/>
        </w:rPr>
        <w:t>l</w:t>
      </w:r>
      <w:r w:rsidR="009B28A3" w:rsidRPr="009257E7">
        <w:rPr>
          <w:lang w:val="es-ES"/>
        </w:rPr>
        <w:t>o</w:t>
      </w:r>
      <w:r w:rsidRPr="009257E7">
        <w:rPr>
          <w:lang w:val="es-ES"/>
        </w:rPr>
        <w:t xml:space="preserve">s legisladores y los procesos legislativos. Los conceptos fundacionales y las reglas básicas definen, y redefinen, el terreno en el que trabajan les abogades sistémiques. Generan efectos inmediatos y </w:t>
      </w:r>
      <w:r w:rsidR="009B28A3" w:rsidRPr="009257E7">
        <w:rPr>
          <w:lang w:val="es-ES"/>
        </w:rPr>
        <w:t>a</w:t>
      </w:r>
      <w:r w:rsidRPr="009257E7">
        <w:rPr>
          <w:lang w:val="es-ES"/>
        </w:rPr>
        <w:t xml:space="preserve"> largo plazo. Cuando se dejan en manos de las élites, estos conceptos y reglas solo sirven a </w:t>
      </w:r>
      <w:r w:rsidR="009B28A3" w:rsidRPr="009257E7">
        <w:rPr>
          <w:lang w:val="es-ES"/>
        </w:rPr>
        <w:t>su</w:t>
      </w:r>
      <w:r w:rsidRPr="009257E7">
        <w:rPr>
          <w:lang w:val="es-ES"/>
        </w:rPr>
        <w:t>s intereses.</w:t>
      </w:r>
    </w:p>
    <w:p w14:paraId="326DD6CC" w14:textId="5BFDE8CC" w:rsidR="00A832A0" w:rsidRPr="009257E7" w:rsidRDefault="00A832A0" w:rsidP="00AE32FE">
      <w:pPr>
        <w:pStyle w:val="NormalWeb"/>
        <w:ind w:firstLine="720"/>
        <w:rPr>
          <w:lang w:val="es-ES"/>
        </w:rPr>
      </w:pPr>
      <w:r w:rsidRPr="009257E7">
        <w:rPr>
          <w:lang w:val="es-ES"/>
        </w:rPr>
        <w:t xml:space="preserve">Un ejemplo relativamente reciente y claro de esta planificación </w:t>
      </w:r>
      <w:r w:rsidR="00AE32FE" w:rsidRPr="009257E7">
        <w:rPr>
          <w:lang w:val="es-ES"/>
        </w:rPr>
        <w:t>a</w:t>
      </w:r>
      <w:r w:rsidRPr="009257E7">
        <w:rPr>
          <w:lang w:val="es-ES"/>
        </w:rPr>
        <w:t xml:space="preserve"> largo plazo para el control sistémico proviene de 1971, cuando Lewis Powell, futuro juez de la Corte Suprema —donde sirvió de 1972 a 1987—, </w:t>
      </w:r>
      <w:r w:rsidR="007471D4" w:rsidRPr="009257E7">
        <w:rPr>
          <w:lang w:val="es-ES"/>
        </w:rPr>
        <w:t>redact</w:t>
      </w:r>
      <w:r w:rsidRPr="009257E7">
        <w:rPr>
          <w:lang w:val="es-ES"/>
        </w:rPr>
        <w:t xml:space="preserve">ó un memorando encargado por la U.S. Chamber </w:t>
      </w:r>
      <w:proofErr w:type="spellStart"/>
      <w:r w:rsidRPr="009257E7">
        <w:rPr>
          <w:lang w:val="es-ES"/>
        </w:rPr>
        <w:t>of</w:t>
      </w:r>
      <w:proofErr w:type="spellEnd"/>
      <w:r w:rsidRPr="009257E7">
        <w:rPr>
          <w:lang w:val="es-ES"/>
        </w:rPr>
        <w:t xml:space="preserve"> Commerce</w:t>
      </w:r>
      <w:r w:rsidR="00262C87" w:rsidRPr="009257E7">
        <w:rPr>
          <w:rStyle w:val="FootnoteReference"/>
          <w:lang w:val="es-ES"/>
        </w:rPr>
        <w:footnoteReference w:id="68"/>
      </w:r>
      <w:r w:rsidRPr="009257E7">
        <w:rPr>
          <w:lang w:val="es-ES"/>
        </w:rPr>
        <w:t>. Su memorando comienza así: “Ninguna persona reflexiva puede cuestionar que el sistema económico estadounidense está bajo un ataque amplio”. El memorando también incluye una nota al pie: “El sistema político estadounidense de democracia bajo el Estado de derecho también está bajo ataque, a menudo por parte de los mismos individuos y organizaciones que buscan socavar el sistema empresarial”. Desde la perspectiva elitista de Powell como abogado corporativo y de la industria tabacalera, esos adversarios son movimientos “socialistas” que buscan “derechos civiles, regulación ambiental, derechos laborales, protección del consumidor e intentos de hacer retroceder el complejo militar-industrial”</w:t>
      </w:r>
      <w:r w:rsidR="006762C2" w:rsidRPr="009257E7">
        <w:rPr>
          <w:rStyle w:val="FootnoteReference"/>
          <w:lang w:val="es-ES"/>
        </w:rPr>
        <w:footnoteReference w:id="69"/>
      </w:r>
      <w:r w:rsidRPr="009257E7">
        <w:rPr>
          <w:lang w:val="es-ES"/>
        </w:rPr>
        <w:t xml:space="preserve">. La lista de objetivos de Powell identifica grupos organizados que impulsan reclamaciones colectivizadas por la justicia </w:t>
      </w:r>
      <w:r w:rsidRPr="009257E7">
        <w:rPr>
          <w:lang w:val="es-ES"/>
        </w:rPr>
        <w:lastRenderedPageBreak/>
        <w:t>igualitaria y muestra cómo las élites orquestan la adjudicación, la democracia y la riqueza para gobernar la sociedad.</w:t>
      </w:r>
    </w:p>
    <w:p w14:paraId="45575039" w14:textId="398F8DC1" w:rsidR="00CC5FB4" w:rsidRPr="009257E7" w:rsidRDefault="00CC5FB4" w:rsidP="00CC5FB4">
      <w:pPr>
        <w:pStyle w:val="NormalWeb"/>
        <w:ind w:firstLine="720"/>
        <w:rPr>
          <w:lang w:val="es-ES"/>
        </w:rPr>
      </w:pPr>
      <w:r w:rsidRPr="009257E7">
        <w:rPr>
          <w:lang w:val="es-ES"/>
        </w:rPr>
        <w:t xml:space="preserve">Powell esbozó “posibles vías de acción” para que la Cámara y sus miembros corporativos las pusieran en marcha. Después de criticar a las corporaciones por su “apaciguamiento, ineptitud e indiferencia ante el problema”, Powell sugirió acciones para retomar el control de los sistemas educativos estadounidenses, porque “hay razones para creer que el campus es la fuente singular más dinámica” de resistencia frente a las agendas corporativas. Powell reconoció que las élites ven el conocimiento como concomitante del poder, en particular el conocimiento crítico, </w:t>
      </w:r>
      <w:r w:rsidR="00F83BD3" w:rsidRPr="009257E7">
        <w:rPr>
          <w:lang w:val="es-ES"/>
        </w:rPr>
        <w:t>lo cual</w:t>
      </w:r>
      <w:r w:rsidRPr="009257E7">
        <w:rPr>
          <w:lang w:val="es-ES"/>
        </w:rPr>
        <w:t xml:space="preserve"> se refleja en las escuelas críticas de</w:t>
      </w:r>
      <w:r w:rsidR="00F83BD3" w:rsidRPr="009257E7">
        <w:rPr>
          <w:lang w:val="es-ES"/>
        </w:rPr>
        <w:t>l</w:t>
      </w:r>
      <w:r w:rsidRPr="009257E7">
        <w:rPr>
          <w:lang w:val="es-ES"/>
        </w:rPr>
        <w:t xml:space="preserve"> conocimiento jurídico y en los enfoques de</w:t>
      </w:r>
      <w:r w:rsidR="00F83BD3" w:rsidRPr="009257E7">
        <w:rPr>
          <w:lang w:val="es-ES"/>
        </w:rPr>
        <w:t xml:space="preserve"> la</w:t>
      </w:r>
      <w:r w:rsidRPr="009257E7">
        <w:rPr>
          <w:lang w:val="es-ES"/>
        </w:rPr>
        <w:t xml:space="preserve"> abogacía. Powell delineó una agenda corporativa de largo plazo para el control de la adjudicación y la democracia, diseñada para concentrar el poder y las ganancias corporativas.</w:t>
      </w:r>
    </w:p>
    <w:p w14:paraId="41AD705A" w14:textId="0817E2DE" w:rsidR="00CC5FB4" w:rsidRPr="009257E7" w:rsidRDefault="00CC5FB4" w:rsidP="00CA5353">
      <w:pPr>
        <w:pStyle w:val="NormalWeb"/>
        <w:ind w:firstLine="720"/>
        <w:rPr>
          <w:lang w:val="es-ES"/>
        </w:rPr>
      </w:pPr>
      <w:r w:rsidRPr="009257E7">
        <w:rPr>
          <w:lang w:val="es-ES"/>
        </w:rPr>
        <w:t xml:space="preserve">Powell elaboró el plan general, pero este fue puesto en práctica durante décadas por muchos actores que trabajaron en coordinación cruzada. La implementación del plan muestra cómo se construye el poder colectivo. Muestra cómo la coordinación sostenida </w:t>
      </w:r>
      <w:r w:rsidR="00CA5353" w:rsidRPr="009257E7">
        <w:rPr>
          <w:lang w:val="es-ES"/>
        </w:rPr>
        <w:t xml:space="preserve">entre la adjudicación y la democracia puede empoderar a algunos y </w:t>
      </w:r>
      <w:proofErr w:type="spellStart"/>
      <w:r w:rsidR="00CA5353" w:rsidRPr="009257E7">
        <w:rPr>
          <w:lang w:val="es-ES"/>
        </w:rPr>
        <w:t>desempoderar</w:t>
      </w:r>
      <w:proofErr w:type="spellEnd"/>
      <w:r w:rsidR="00CA5353" w:rsidRPr="009257E7">
        <w:rPr>
          <w:lang w:val="es-ES"/>
        </w:rPr>
        <w:t xml:space="preserve"> a otros.</w:t>
      </w:r>
      <w:r w:rsidRPr="009257E7">
        <w:rPr>
          <w:lang w:val="es-ES"/>
        </w:rPr>
        <w:t xml:space="preserve"> Sin embargo, igualmente importante es que una parte esencial —y una consecuencia— de ese plan ha sido el debilitamiento de los derechos de las personas promedio. Las élites han </w:t>
      </w:r>
      <w:r w:rsidR="00CA5353" w:rsidRPr="009257E7">
        <w:rPr>
          <w:lang w:val="es-ES"/>
        </w:rPr>
        <w:t>amplia</w:t>
      </w:r>
      <w:r w:rsidRPr="009257E7">
        <w:rPr>
          <w:lang w:val="es-ES"/>
        </w:rPr>
        <w:t xml:space="preserve">do los derechos de personalidad jurídica corporativa mientras restringen la capacidad de los individuos subordinados para </w:t>
      </w:r>
      <w:r w:rsidR="00CA5353" w:rsidRPr="009257E7">
        <w:rPr>
          <w:lang w:val="es-ES"/>
        </w:rPr>
        <w:t>oponerse a</w:t>
      </w:r>
      <w:r w:rsidRPr="009257E7">
        <w:rPr>
          <w:lang w:val="es-ES"/>
        </w:rPr>
        <w:t xml:space="preserve"> los abusos corporativos </w:t>
      </w:r>
      <w:r w:rsidRPr="009257E7">
        <w:rPr>
          <w:i/>
          <w:iCs/>
          <w:lang w:val="es-ES"/>
        </w:rPr>
        <w:t>como grupo</w:t>
      </w:r>
      <w:r w:rsidRPr="009257E7">
        <w:rPr>
          <w:lang w:val="es-ES"/>
        </w:rPr>
        <w:t>. Bajo este plan, limitar los desafíos jurídicos colectivos, reducir los derechos de organización, suprimir los derechos de protesta y minimizar las protecciones contra represalias son mecanismos centrales del dominio elitista.</w:t>
      </w:r>
      <w:r w:rsidR="00CA5353" w:rsidRPr="009257E7">
        <w:rPr>
          <w:lang w:val="es-ES"/>
        </w:rPr>
        <w:t xml:space="preserve">  </w:t>
      </w:r>
    </w:p>
    <w:p w14:paraId="35BBF7C6" w14:textId="2D57E82A" w:rsidR="00CC5FB4" w:rsidRPr="009257E7" w:rsidRDefault="00CC5FB4" w:rsidP="00CA5353">
      <w:pPr>
        <w:pStyle w:val="NormalWeb"/>
        <w:ind w:firstLine="720"/>
        <w:rPr>
          <w:lang w:val="es-ES"/>
        </w:rPr>
      </w:pPr>
      <w:r w:rsidRPr="009257E7">
        <w:rPr>
          <w:lang w:val="es-ES"/>
        </w:rPr>
        <w:t xml:space="preserve">Escrito unos meses antes de que el presidente Nixon nombrara a Powell a la Corte Suprema de </w:t>
      </w:r>
      <w:r w:rsidR="00CA5353" w:rsidRPr="009257E7">
        <w:rPr>
          <w:lang w:val="es-ES"/>
        </w:rPr>
        <w:t xml:space="preserve">los </w:t>
      </w:r>
      <w:r w:rsidRPr="009257E7">
        <w:rPr>
          <w:lang w:val="es-ES"/>
        </w:rPr>
        <w:t>Estados Unidos, el memorando de Powell instó a las grandes corporaciones y a sus simpatizantes a invertir recursos sustanciales en una campaña colectiva p</w:t>
      </w:r>
      <w:r w:rsidR="00CA5353" w:rsidRPr="009257E7">
        <w:rPr>
          <w:lang w:val="es-ES"/>
        </w:rPr>
        <w:t>ara obtene</w:t>
      </w:r>
      <w:r w:rsidRPr="009257E7">
        <w:rPr>
          <w:lang w:val="es-ES"/>
        </w:rPr>
        <w:t>r mayor poder y m</w:t>
      </w:r>
      <w:r w:rsidR="00CA5353" w:rsidRPr="009257E7">
        <w:rPr>
          <w:lang w:val="es-ES"/>
        </w:rPr>
        <w:t>ayore</w:t>
      </w:r>
      <w:r w:rsidRPr="009257E7">
        <w:rPr>
          <w:lang w:val="es-ES"/>
        </w:rPr>
        <w:t xml:space="preserve">s ganancias. Este plan trazó acciones coordinadas </w:t>
      </w:r>
      <w:r w:rsidR="00CA5353" w:rsidRPr="009257E7">
        <w:rPr>
          <w:lang w:val="es-ES"/>
        </w:rPr>
        <w:t>a</w:t>
      </w:r>
      <w:r w:rsidRPr="009257E7">
        <w:rPr>
          <w:lang w:val="es-ES"/>
        </w:rPr>
        <w:t xml:space="preserve"> largo plazo, apoyadas en financiamiento y dirección conjuntos </w:t>
      </w:r>
      <w:r w:rsidR="00CA5353" w:rsidRPr="009257E7">
        <w:rPr>
          <w:lang w:val="es-ES"/>
        </w:rPr>
        <w:t>por</w:t>
      </w:r>
      <w:r w:rsidRPr="009257E7">
        <w:rPr>
          <w:lang w:val="es-ES"/>
        </w:rPr>
        <w:t xml:space="preserve"> la U.S. Chamber </w:t>
      </w:r>
      <w:proofErr w:type="spellStart"/>
      <w:r w:rsidRPr="009257E7">
        <w:rPr>
          <w:lang w:val="es-ES"/>
        </w:rPr>
        <w:t>of</w:t>
      </w:r>
      <w:proofErr w:type="spellEnd"/>
      <w:r w:rsidRPr="009257E7">
        <w:rPr>
          <w:lang w:val="es-ES"/>
        </w:rPr>
        <w:t xml:space="preserve"> Commerce y la </w:t>
      </w:r>
      <w:proofErr w:type="spellStart"/>
      <w:r w:rsidRPr="009257E7">
        <w:rPr>
          <w:lang w:val="es-ES"/>
        </w:rPr>
        <w:t>National</w:t>
      </w:r>
      <w:proofErr w:type="spellEnd"/>
      <w:r w:rsidRPr="009257E7">
        <w:rPr>
          <w:lang w:val="es-ES"/>
        </w:rPr>
        <w:t xml:space="preserve"> </w:t>
      </w:r>
      <w:proofErr w:type="spellStart"/>
      <w:r w:rsidRPr="009257E7">
        <w:rPr>
          <w:lang w:val="es-ES"/>
        </w:rPr>
        <w:t>Association</w:t>
      </w:r>
      <w:proofErr w:type="spellEnd"/>
      <w:r w:rsidRPr="009257E7">
        <w:rPr>
          <w:lang w:val="es-ES"/>
        </w:rPr>
        <w:t xml:space="preserve"> </w:t>
      </w:r>
      <w:proofErr w:type="spellStart"/>
      <w:r w:rsidRPr="009257E7">
        <w:rPr>
          <w:lang w:val="es-ES"/>
        </w:rPr>
        <w:t>of</w:t>
      </w:r>
      <w:proofErr w:type="spellEnd"/>
      <w:r w:rsidRPr="009257E7">
        <w:rPr>
          <w:lang w:val="es-ES"/>
        </w:rPr>
        <w:t xml:space="preserve"> </w:t>
      </w:r>
      <w:proofErr w:type="spellStart"/>
      <w:r w:rsidRPr="009257E7">
        <w:rPr>
          <w:lang w:val="es-ES"/>
        </w:rPr>
        <w:t>Manufacturers</w:t>
      </w:r>
      <w:proofErr w:type="spellEnd"/>
      <w:r w:rsidRPr="009257E7">
        <w:rPr>
          <w:lang w:val="es-ES"/>
        </w:rPr>
        <w:t xml:space="preserve">. Powell propuso que las corporaciones crearan y financiaran una multitud de instituciones </w:t>
      </w:r>
      <w:proofErr w:type="spellStart"/>
      <w:r w:rsidRPr="009257E7">
        <w:rPr>
          <w:lang w:val="es-ES"/>
        </w:rPr>
        <w:t>procorporativas</w:t>
      </w:r>
      <w:proofErr w:type="spellEnd"/>
      <w:r w:rsidRPr="009257E7">
        <w:rPr>
          <w:lang w:val="es-ES"/>
        </w:rPr>
        <w:t xml:space="preserve"> —por ejemplo, firmas jurídicas de “interés público”, centros de pensamiento, oficinas de conferenciantes, brazos de cabildeo y fundaciones— para revertir la fuerza de las ideas y políticas liberales y de izquierda liberal. Desde el comienzo, esta campaña condujo a la creación de entidades nuevas, diseñadas para llevar a cabo diversas actividades continuas, incluidas, quizás, otras campañas.</w:t>
      </w:r>
    </w:p>
    <w:p w14:paraId="071D40EC" w14:textId="3B356CED" w:rsidR="00CC5FB4" w:rsidRPr="009257E7" w:rsidRDefault="00CC5FB4" w:rsidP="005571E3">
      <w:pPr>
        <w:pStyle w:val="NormalWeb"/>
        <w:ind w:firstLine="720"/>
        <w:rPr>
          <w:lang w:val="es-ES"/>
        </w:rPr>
      </w:pPr>
      <w:r w:rsidRPr="009257E7">
        <w:rPr>
          <w:lang w:val="es-ES"/>
        </w:rPr>
        <w:t>Este encuadre desde arriba centró de manera deliberada a las grandes corporaciones y sus intereses, tanto en los sistemas democráticos como en los adjudicativos que hacen y rehacen el derecho. Hizo que las corporaciones fueran cada vez más políticas en términos de interés propio. Así, las corporaciones se convirtieron en abogadas y beneficiarias del enfoque dominante actual de la política social: el neoliberalismo. Con los intereses corporativos en el centro, el impulso de la ganancia se convirtió en la directriz principal. En Estados Unidos, el mandato de maximizar las ganancias para l</w:t>
      </w:r>
      <w:r w:rsidR="00E71B32" w:rsidRPr="009257E7">
        <w:rPr>
          <w:lang w:val="es-ES"/>
        </w:rPr>
        <w:t>o</w:t>
      </w:r>
      <w:r w:rsidRPr="009257E7">
        <w:rPr>
          <w:lang w:val="es-ES"/>
        </w:rPr>
        <w:t xml:space="preserve">s accionistas ya había sido establecido por </w:t>
      </w:r>
      <w:r w:rsidR="00E71B32" w:rsidRPr="009257E7">
        <w:rPr>
          <w:lang w:val="es-ES"/>
        </w:rPr>
        <w:t>la</w:t>
      </w:r>
      <w:r w:rsidRPr="009257E7">
        <w:rPr>
          <w:lang w:val="es-ES"/>
        </w:rPr>
        <w:t xml:space="preserve"> </w:t>
      </w:r>
      <w:r w:rsidR="00E71B32" w:rsidRPr="009257E7">
        <w:rPr>
          <w:lang w:val="es-ES"/>
        </w:rPr>
        <w:t>ley</w:t>
      </w:r>
      <w:r w:rsidRPr="009257E7">
        <w:rPr>
          <w:lang w:val="es-ES"/>
        </w:rPr>
        <w:t xml:space="preserve"> décadas antes</w:t>
      </w:r>
      <w:r w:rsidR="00F3795D" w:rsidRPr="009257E7">
        <w:rPr>
          <w:rStyle w:val="FootnoteReference"/>
          <w:lang w:val="es-ES"/>
        </w:rPr>
        <w:footnoteReference w:id="70"/>
      </w:r>
      <w:r w:rsidRPr="009257E7">
        <w:rPr>
          <w:lang w:val="es-ES"/>
        </w:rPr>
        <w:t xml:space="preserve">. </w:t>
      </w:r>
      <w:r w:rsidR="00611F5C" w:rsidRPr="009257E7">
        <w:rPr>
          <w:lang w:val="es-ES"/>
        </w:rPr>
        <w:t>E</w:t>
      </w:r>
      <w:r w:rsidRPr="009257E7">
        <w:rPr>
          <w:lang w:val="es-ES"/>
        </w:rPr>
        <w:t xml:space="preserve">ste </w:t>
      </w:r>
      <w:r w:rsidRPr="009257E7">
        <w:rPr>
          <w:lang w:val="es-ES"/>
        </w:rPr>
        <w:lastRenderedPageBreak/>
        <w:t xml:space="preserve">memorando delineó un plan de acción relativamente concreto, que preparó el terreno para convertir todo lo demás en la sociedad en un “costo” que debía reducirse: la educación pública, la salud, </w:t>
      </w:r>
      <w:r w:rsidR="0032345D" w:rsidRPr="009257E7">
        <w:rPr>
          <w:lang w:val="es-ES"/>
        </w:rPr>
        <w:t>la gestión</w:t>
      </w:r>
      <w:r w:rsidRPr="009257E7">
        <w:rPr>
          <w:lang w:val="es-ES"/>
        </w:rPr>
        <w:t xml:space="preserve"> de desastres, la infraestructura y más, excepto el gasto público en prisiones, seguridad y el ejército. Estas son las condiciones del neoliberalismo.</w:t>
      </w:r>
    </w:p>
    <w:p w14:paraId="6EF182DC" w14:textId="64D762CA" w:rsidR="004B1CB4" w:rsidRPr="009257E7" w:rsidRDefault="004B1CB4" w:rsidP="00230894">
      <w:pPr>
        <w:pStyle w:val="NormalWeb"/>
        <w:ind w:firstLine="720"/>
        <w:rPr>
          <w:lang w:val="es-ES"/>
        </w:rPr>
      </w:pPr>
      <w:r w:rsidRPr="009257E7">
        <w:rPr>
          <w:lang w:val="es-ES"/>
        </w:rPr>
        <w:t xml:space="preserve">En 1971, el plan de acción de Powell partió de su diagnóstico de un problema sistémico visto desde arriba. Contempló un punto de partida para soluciones sistémicas desde esa perspectiva, propuso una serie de acciones planificadas para implementarlas, proporcionó </w:t>
      </w:r>
      <w:r w:rsidR="00230894" w:rsidRPr="009257E7">
        <w:rPr>
          <w:lang w:val="es-ES"/>
        </w:rPr>
        <w:t xml:space="preserve">los </w:t>
      </w:r>
      <w:r w:rsidRPr="009257E7">
        <w:rPr>
          <w:lang w:val="es-ES"/>
        </w:rPr>
        <w:t>recursos</w:t>
      </w:r>
      <w:r w:rsidR="00230894" w:rsidRPr="009257E7">
        <w:rPr>
          <w:lang w:val="es-ES"/>
        </w:rPr>
        <w:t xml:space="preserve"> necesarios</w:t>
      </w:r>
      <w:r w:rsidRPr="009257E7">
        <w:rPr>
          <w:lang w:val="es-ES"/>
        </w:rPr>
        <w:t xml:space="preserve"> para </w:t>
      </w:r>
      <w:r w:rsidR="00230894" w:rsidRPr="009257E7">
        <w:rPr>
          <w:lang w:val="es-ES"/>
        </w:rPr>
        <w:t>implementar</w:t>
      </w:r>
      <w:r w:rsidRPr="009257E7">
        <w:rPr>
          <w:lang w:val="es-ES"/>
        </w:rPr>
        <w:t xml:space="preserve">las y especificó </w:t>
      </w:r>
      <w:r w:rsidR="00230894" w:rsidRPr="009257E7">
        <w:rPr>
          <w:lang w:val="es-ES"/>
        </w:rPr>
        <w:t xml:space="preserve">los </w:t>
      </w:r>
      <w:r w:rsidRPr="009257E7">
        <w:rPr>
          <w:lang w:val="es-ES"/>
        </w:rPr>
        <w:t xml:space="preserve">puntos finales. Su memorando bosqueja los elementos esenciales de cualquier campaña bien concebida y ejecutada. En particular, esta campaña resultó en la creación de la Heritage </w:t>
      </w:r>
      <w:proofErr w:type="spellStart"/>
      <w:r w:rsidRPr="009257E7">
        <w:rPr>
          <w:lang w:val="es-ES"/>
        </w:rPr>
        <w:t>Foundation</w:t>
      </w:r>
      <w:proofErr w:type="spellEnd"/>
      <w:r w:rsidRPr="009257E7">
        <w:rPr>
          <w:lang w:val="es-ES"/>
        </w:rPr>
        <w:t xml:space="preserve"> y </w:t>
      </w:r>
      <w:r w:rsidR="00230894" w:rsidRPr="009257E7">
        <w:rPr>
          <w:lang w:val="es-ES"/>
        </w:rPr>
        <w:t>de</w:t>
      </w:r>
      <w:r w:rsidRPr="009257E7">
        <w:rPr>
          <w:lang w:val="es-ES"/>
        </w:rPr>
        <w:t xml:space="preserve"> un American Enterprise </w:t>
      </w:r>
      <w:proofErr w:type="spellStart"/>
      <w:r w:rsidRPr="009257E7">
        <w:rPr>
          <w:lang w:val="es-ES"/>
        </w:rPr>
        <w:t>Institute</w:t>
      </w:r>
      <w:proofErr w:type="spellEnd"/>
      <w:r w:rsidRPr="009257E7">
        <w:rPr>
          <w:lang w:val="es-ES"/>
        </w:rPr>
        <w:t xml:space="preserve"> revitalizado, en el financiamiento de capítulos de la </w:t>
      </w:r>
      <w:proofErr w:type="spellStart"/>
      <w:r w:rsidRPr="009257E7">
        <w:rPr>
          <w:lang w:val="es-ES"/>
        </w:rPr>
        <w:t>Federalist</w:t>
      </w:r>
      <w:proofErr w:type="spellEnd"/>
      <w:r w:rsidRPr="009257E7">
        <w:rPr>
          <w:lang w:val="es-ES"/>
        </w:rPr>
        <w:t xml:space="preserve"> </w:t>
      </w:r>
      <w:proofErr w:type="spellStart"/>
      <w:r w:rsidRPr="009257E7">
        <w:rPr>
          <w:lang w:val="es-ES"/>
        </w:rPr>
        <w:t>Society</w:t>
      </w:r>
      <w:proofErr w:type="spellEnd"/>
      <w:r w:rsidRPr="009257E7">
        <w:rPr>
          <w:lang w:val="es-ES"/>
        </w:rPr>
        <w:t xml:space="preserve"> en todo el país para influir en estudiantes de derecho y —con el tiempo— en las decisiones judiciales, y en la creación de las llamadas firmas jurídicas de “interés público” para impulsar litigios e iniciativas de política pública </w:t>
      </w:r>
      <w:proofErr w:type="spellStart"/>
      <w:r w:rsidRPr="009257E7">
        <w:rPr>
          <w:lang w:val="es-ES"/>
        </w:rPr>
        <w:t>procorporativas</w:t>
      </w:r>
      <w:proofErr w:type="spellEnd"/>
      <w:r w:rsidR="00647B23" w:rsidRPr="009257E7">
        <w:rPr>
          <w:rStyle w:val="FootnoteReference"/>
          <w:lang w:val="es-ES"/>
        </w:rPr>
        <w:footnoteReference w:id="71"/>
      </w:r>
      <w:r w:rsidRPr="009257E7">
        <w:rPr>
          <w:lang w:val="es-ES"/>
        </w:rPr>
        <w:t xml:space="preserve">. En 2010, la campaña adjudicativa </w:t>
      </w:r>
      <w:r w:rsidR="001C7CFF" w:rsidRPr="009257E7">
        <w:rPr>
          <w:lang w:val="es-ES"/>
        </w:rPr>
        <w:t>dio</w:t>
      </w:r>
      <w:r w:rsidRPr="009257E7">
        <w:rPr>
          <w:lang w:val="es-ES"/>
        </w:rPr>
        <w:t xml:space="preserve"> </w:t>
      </w:r>
      <w:r w:rsidR="001C7CFF" w:rsidRPr="009257E7">
        <w:rPr>
          <w:lang w:val="es-ES"/>
        </w:rPr>
        <w:t>lugar</w:t>
      </w:r>
      <w:r w:rsidRPr="009257E7">
        <w:rPr>
          <w:lang w:val="es-ES"/>
        </w:rPr>
        <w:t xml:space="preserve"> </w:t>
      </w:r>
      <w:r w:rsidR="001C7CFF" w:rsidRPr="009257E7">
        <w:rPr>
          <w:lang w:val="es-ES"/>
        </w:rPr>
        <w:t>a</w:t>
      </w:r>
      <w:r w:rsidRPr="009257E7">
        <w:rPr>
          <w:lang w:val="es-ES"/>
        </w:rPr>
        <w:t xml:space="preserve"> </w:t>
      </w:r>
      <w:proofErr w:type="spellStart"/>
      <w:r w:rsidRPr="009257E7">
        <w:rPr>
          <w:rStyle w:val="Emphasis"/>
          <w:lang w:val="es-ES"/>
        </w:rPr>
        <w:t>Citizens</w:t>
      </w:r>
      <w:proofErr w:type="spellEnd"/>
      <w:r w:rsidRPr="009257E7">
        <w:rPr>
          <w:rStyle w:val="Emphasis"/>
          <w:lang w:val="es-ES"/>
        </w:rPr>
        <w:t xml:space="preserve"> </w:t>
      </w:r>
      <w:proofErr w:type="spellStart"/>
      <w:r w:rsidRPr="009257E7">
        <w:rPr>
          <w:rStyle w:val="Emphasis"/>
          <w:lang w:val="es-ES"/>
        </w:rPr>
        <w:t>United</w:t>
      </w:r>
      <w:proofErr w:type="spellEnd"/>
      <w:r w:rsidRPr="009257E7">
        <w:rPr>
          <w:rStyle w:val="Emphasis"/>
          <w:lang w:val="es-ES"/>
        </w:rPr>
        <w:t xml:space="preserve"> v. Federal </w:t>
      </w:r>
      <w:proofErr w:type="spellStart"/>
      <w:r w:rsidRPr="009257E7">
        <w:rPr>
          <w:rStyle w:val="Emphasis"/>
          <w:lang w:val="es-ES"/>
        </w:rPr>
        <w:t>Election</w:t>
      </w:r>
      <w:proofErr w:type="spellEnd"/>
      <w:r w:rsidRPr="009257E7">
        <w:rPr>
          <w:rStyle w:val="Emphasis"/>
          <w:lang w:val="es-ES"/>
        </w:rPr>
        <w:t xml:space="preserve"> </w:t>
      </w:r>
      <w:proofErr w:type="spellStart"/>
      <w:r w:rsidRPr="009257E7">
        <w:rPr>
          <w:rStyle w:val="Emphasis"/>
          <w:lang w:val="es-ES"/>
        </w:rPr>
        <w:t>Commission</w:t>
      </w:r>
      <w:proofErr w:type="spellEnd"/>
      <w:r w:rsidRPr="009257E7">
        <w:rPr>
          <w:lang w:val="es-ES"/>
        </w:rPr>
        <w:t>, cuando cinco jueces declararon, en nombre de la Constitución de</w:t>
      </w:r>
      <w:r w:rsidR="001C7CFF" w:rsidRPr="009257E7">
        <w:rPr>
          <w:lang w:val="es-ES"/>
        </w:rPr>
        <w:t xml:space="preserve"> los</w:t>
      </w:r>
      <w:r w:rsidRPr="009257E7">
        <w:rPr>
          <w:lang w:val="es-ES"/>
        </w:rPr>
        <w:t xml:space="preserve"> Estados Unidos, que gastar dinero corporativo en publicidad política constituye</w:t>
      </w:r>
      <w:r w:rsidR="001C7CFF" w:rsidRPr="009257E7">
        <w:rPr>
          <w:lang w:val="es-ES"/>
        </w:rPr>
        <w:t xml:space="preserve"> una</w:t>
      </w:r>
      <w:r w:rsidRPr="009257E7">
        <w:rPr>
          <w:lang w:val="es-ES"/>
        </w:rPr>
        <w:t xml:space="preserve"> expresión protegida</w:t>
      </w:r>
      <w:r w:rsidR="00071F3C" w:rsidRPr="009257E7">
        <w:rPr>
          <w:rStyle w:val="FootnoteReference"/>
          <w:lang w:val="es-ES"/>
        </w:rPr>
        <w:footnoteReference w:id="72"/>
      </w:r>
      <w:r w:rsidRPr="009257E7">
        <w:rPr>
          <w:lang w:val="es-ES"/>
        </w:rPr>
        <w:t>.</w:t>
      </w:r>
    </w:p>
    <w:p w14:paraId="42361FB1" w14:textId="0D90A400" w:rsidR="004B1CB4" w:rsidRPr="009257E7" w:rsidRDefault="00FC2C29" w:rsidP="00AE0790">
      <w:pPr>
        <w:pStyle w:val="NormalWeb"/>
        <w:ind w:firstLine="720"/>
        <w:rPr>
          <w:lang w:val="es-ES"/>
        </w:rPr>
      </w:pPr>
      <w:proofErr w:type="spellStart"/>
      <w:r w:rsidRPr="009257E7">
        <w:rPr>
          <w:rStyle w:val="Emphasis"/>
          <w:lang w:val="es-ES"/>
        </w:rPr>
        <w:t>Citizens</w:t>
      </w:r>
      <w:proofErr w:type="spellEnd"/>
      <w:r w:rsidRPr="009257E7">
        <w:rPr>
          <w:rStyle w:val="Emphasis"/>
          <w:lang w:val="es-ES"/>
        </w:rPr>
        <w:t xml:space="preserve"> </w:t>
      </w:r>
      <w:proofErr w:type="spellStart"/>
      <w:r w:rsidRPr="009257E7">
        <w:rPr>
          <w:rStyle w:val="Emphasis"/>
          <w:lang w:val="es-ES"/>
        </w:rPr>
        <w:t>United</w:t>
      </w:r>
      <w:proofErr w:type="spellEnd"/>
      <w:r w:rsidRPr="009257E7">
        <w:rPr>
          <w:lang w:val="es-ES"/>
        </w:rPr>
        <w:t xml:space="preserve"> ilustra el éxito adjudicativo posterior de esta campaña </w:t>
      </w:r>
      <w:r w:rsidR="0005214B" w:rsidRPr="009257E7">
        <w:rPr>
          <w:lang w:val="es-ES"/>
        </w:rPr>
        <w:t>a</w:t>
      </w:r>
      <w:r w:rsidRPr="009257E7">
        <w:rPr>
          <w:lang w:val="es-ES"/>
        </w:rPr>
        <w:t xml:space="preserve"> largo plazo. Pero la campaña para reafirmar el control sobre la democracia había comenzado décadas antes. Además de los comités de acción política financiados más tarde con dinero oscuro para influir en </w:t>
      </w:r>
      <w:r w:rsidR="0005214B" w:rsidRPr="009257E7">
        <w:rPr>
          <w:lang w:val="es-ES"/>
        </w:rPr>
        <w:t xml:space="preserve">las </w:t>
      </w:r>
      <w:r w:rsidRPr="009257E7">
        <w:rPr>
          <w:lang w:val="es-ES"/>
        </w:rPr>
        <w:t>elecciones en todos los niveles del gobierno, esta campaña incluyó la creación, en 1973, del American Legislative Exchange Council —ALEC—, una “fábrica de proyectos de ley” destinada a difundir de manera encubierta legislación de derecha</w:t>
      </w:r>
      <w:r w:rsidR="00AE0790" w:rsidRPr="009257E7">
        <w:rPr>
          <w:lang w:val="es-ES"/>
        </w:rPr>
        <w:t xml:space="preserve">. </w:t>
      </w:r>
      <w:r w:rsidR="004B1CB4" w:rsidRPr="009257E7">
        <w:rPr>
          <w:lang w:val="es-ES"/>
        </w:rPr>
        <w:t>Abogad</w:t>
      </w:r>
      <w:r w:rsidR="00D90C69" w:rsidRPr="009257E7">
        <w:rPr>
          <w:lang w:val="es-ES"/>
        </w:rPr>
        <w:t>o</w:t>
      </w:r>
      <w:r w:rsidR="004B1CB4" w:rsidRPr="009257E7">
        <w:rPr>
          <w:lang w:val="es-ES"/>
        </w:rPr>
        <w:t>s corporativ</w:t>
      </w:r>
      <w:r w:rsidR="00D90C69" w:rsidRPr="009257E7">
        <w:rPr>
          <w:lang w:val="es-ES"/>
        </w:rPr>
        <w:t>o</w:t>
      </w:r>
      <w:r w:rsidR="004B1CB4" w:rsidRPr="009257E7">
        <w:rPr>
          <w:lang w:val="es-ES"/>
        </w:rPr>
        <w:t xml:space="preserve">s han redactado y promovido numerosos estatutos “modelo” formulados en términos de interés público, pero en realidad ajustados a agendas corporativas. Luego, las corporaciones y sus agentes, incluidas las instituciones </w:t>
      </w:r>
      <w:r w:rsidR="00B94E98" w:rsidRPr="009257E7">
        <w:rPr>
          <w:lang w:val="es-ES"/>
        </w:rPr>
        <w:t>creadas</w:t>
      </w:r>
      <w:r w:rsidR="004B1CB4" w:rsidRPr="009257E7">
        <w:rPr>
          <w:lang w:val="es-ES"/>
        </w:rPr>
        <w:t xml:space="preserve"> para este propósito, </w:t>
      </w:r>
      <w:r w:rsidR="00B94E98" w:rsidRPr="009257E7">
        <w:rPr>
          <w:lang w:val="es-ES"/>
        </w:rPr>
        <w:t>emple</w:t>
      </w:r>
      <w:r w:rsidR="004B1CB4" w:rsidRPr="009257E7">
        <w:rPr>
          <w:lang w:val="es-ES"/>
        </w:rPr>
        <w:t>an todo su poder y riqueza para impulsar su adopción</w:t>
      </w:r>
      <w:r w:rsidR="00B94E98" w:rsidRPr="009257E7">
        <w:rPr>
          <w:lang w:val="es-ES"/>
        </w:rPr>
        <w:t>,</w:t>
      </w:r>
      <w:r w:rsidR="004B1CB4" w:rsidRPr="009257E7">
        <w:rPr>
          <w:lang w:val="es-ES"/>
        </w:rPr>
        <w:t xml:space="preserve"> estado por estado. De forma lenta pero constante, estas organizaciones orientan la adjudicación y la democracia hacia resultados </w:t>
      </w:r>
      <w:r w:rsidR="00B94E98" w:rsidRPr="009257E7">
        <w:rPr>
          <w:lang w:val="es-ES"/>
        </w:rPr>
        <w:t>de interé</w:t>
      </w:r>
      <w:r w:rsidR="004B1CB4" w:rsidRPr="009257E7">
        <w:rPr>
          <w:lang w:val="es-ES"/>
        </w:rPr>
        <w:t xml:space="preserve">s. Este es un ejemplo de cómo las élites se organizan de manera </w:t>
      </w:r>
      <w:r w:rsidR="00B94E98" w:rsidRPr="009257E7">
        <w:rPr>
          <w:lang w:val="es-ES"/>
        </w:rPr>
        <w:t>sostenid</w:t>
      </w:r>
      <w:r w:rsidR="004B1CB4" w:rsidRPr="009257E7">
        <w:rPr>
          <w:lang w:val="es-ES"/>
        </w:rPr>
        <w:t>a para mantenerse siempre en la cima.</w:t>
      </w:r>
    </w:p>
    <w:p w14:paraId="316AA730" w14:textId="3826CBF9" w:rsidR="004B1CB4" w:rsidRPr="009257E7" w:rsidRDefault="004B1CB4" w:rsidP="00B94E98">
      <w:pPr>
        <w:pStyle w:val="NormalWeb"/>
        <w:ind w:firstLine="720"/>
        <w:rPr>
          <w:lang w:val="es-ES"/>
        </w:rPr>
      </w:pPr>
      <w:r w:rsidRPr="009257E7">
        <w:rPr>
          <w:lang w:val="es-ES"/>
        </w:rPr>
        <w:t xml:space="preserve">Décadas después, las noticias diarias ofrecen la medida del éxito de esa campaña. Por ejemplo, cuando se </w:t>
      </w:r>
      <w:r w:rsidR="00E4365A" w:rsidRPr="009257E7">
        <w:rPr>
          <w:lang w:val="es-ES"/>
        </w:rPr>
        <w:t>redact</w:t>
      </w:r>
      <w:r w:rsidRPr="009257E7">
        <w:rPr>
          <w:lang w:val="es-ES"/>
        </w:rPr>
        <w:t>ó el memorando de Powell en 1971, las corporaciones no impulsaban esfuerzos metódicos para redibujar la doctrina mediante la adjudicación. De hecho, en el mundo</w:t>
      </w:r>
      <w:r w:rsidR="00E4365A" w:rsidRPr="009257E7">
        <w:rPr>
          <w:lang w:val="es-ES"/>
        </w:rPr>
        <w:t>,</w:t>
      </w:r>
      <w:r w:rsidRPr="009257E7">
        <w:rPr>
          <w:lang w:val="es-ES"/>
        </w:rPr>
        <w:t xml:space="preserve"> según Powell, las corporaciones habían llegado a estar cada vez más bajo ataque. En respuesta, su memorando las llamó a pasar a la ofensiva y </w:t>
      </w:r>
      <w:r w:rsidR="00E4365A" w:rsidRPr="009257E7">
        <w:rPr>
          <w:lang w:val="es-ES"/>
        </w:rPr>
        <w:t>enume</w:t>
      </w:r>
      <w:r w:rsidRPr="009257E7">
        <w:rPr>
          <w:lang w:val="es-ES"/>
        </w:rPr>
        <w:t>ró los objetivos: empezando por las universidades y la educación, así como por las instituciones jurídicas y la cultura popular.</w:t>
      </w:r>
    </w:p>
    <w:p w14:paraId="639CA6C4" w14:textId="6681CF91" w:rsidR="004B1CB4" w:rsidRPr="009257E7" w:rsidRDefault="004B1CB4" w:rsidP="00E4365A">
      <w:pPr>
        <w:pStyle w:val="NormalWeb"/>
        <w:ind w:firstLine="720"/>
        <w:rPr>
          <w:lang w:val="es-ES"/>
        </w:rPr>
      </w:pPr>
      <w:r w:rsidRPr="009257E7">
        <w:rPr>
          <w:lang w:val="es-ES"/>
        </w:rPr>
        <w:t xml:space="preserve">Desde entonces, la Chamber </w:t>
      </w:r>
      <w:proofErr w:type="spellStart"/>
      <w:r w:rsidRPr="009257E7">
        <w:rPr>
          <w:lang w:val="es-ES"/>
        </w:rPr>
        <w:t>of</w:t>
      </w:r>
      <w:proofErr w:type="spellEnd"/>
      <w:r w:rsidRPr="009257E7">
        <w:rPr>
          <w:lang w:val="es-ES"/>
        </w:rPr>
        <w:t xml:space="preserve"> Commerce financia cada año litigios diseñados para llegar a la Corte Suprema con el objetivo de cambiar el derecho para servir a los intereses </w:t>
      </w:r>
      <w:r w:rsidRPr="009257E7">
        <w:rPr>
          <w:lang w:val="es-ES"/>
        </w:rPr>
        <w:lastRenderedPageBreak/>
        <w:t xml:space="preserve">corporativos. Desde 2006, la Cámara ha prevalecido en más del 70% de sus casos ante la Corte Suprema, en comparación con el 43% y el 56% durante períodos comparables de las cortes </w:t>
      </w:r>
      <w:r w:rsidR="00E4365A" w:rsidRPr="009257E7">
        <w:rPr>
          <w:lang w:val="es-ES"/>
        </w:rPr>
        <w:t xml:space="preserve">de </w:t>
      </w:r>
      <w:r w:rsidRPr="009257E7">
        <w:rPr>
          <w:lang w:val="es-ES"/>
        </w:rPr>
        <w:t xml:space="preserve">Burger y Rehnquist. Además, “los cinco jueces conservadores han dado a la Cámara más de tres cuartas partes de sus votos totales. [...] Los jueces </w:t>
      </w:r>
      <w:proofErr w:type="spellStart"/>
      <w:r w:rsidRPr="009257E7">
        <w:rPr>
          <w:lang w:val="es-ES"/>
        </w:rPr>
        <w:t>Alito</w:t>
      </w:r>
      <w:proofErr w:type="spellEnd"/>
      <w:r w:rsidRPr="009257E7">
        <w:rPr>
          <w:lang w:val="es-ES"/>
        </w:rPr>
        <w:t xml:space="preserve">, Gorsuch, Kennedy, Roberts y Thomas votaron de forma acumulada a favor de la posición de la Cámara </w:t>
      </w:r>
      <w:r w:rsidR="00917A93" w:rsidRPr="009257E7">
        <w:rPr>
          <w:lang w:val="es-ES"/>
        </w:rPr>
        <w:t xml:space="preserve">en </w:t>
      </w:r>
      <w:r w:rsidRPr="009257E7">
        <w:rPr>
          <w:lang w:val="es-ES"/>
        </w:rPr>
        <w:t xml:space="preserve">el 86% de las </w:t>
      </w:r>
      <w:r w:rsidR="00917A93" w:rsidRPr="009257E7">
        <w:rPr>
          <w:lang w:val="es-ES"/>
        </w:rPr>
        <w:t>ocasion</w:t>
      </w:r>
      <w:r w:rsidRPr="009257E7">
        <w:rPr>
          <w:lang w:val="es-ES"/>
        </w:rPr>
        <w:t>es”</w:t>
      </w:r>
      <w:r w:rsidR="00C8682D" w:rsidRPr="009257E7">
        <w:rPr>
          <w:rStyle w:val="FootnoteReference"/>
          <w:lang w:val="es-ES"/>
        </w:rPr>
        <w:footnoteReference w:id="73"/>
      </w:r>
      <w:r w:rsidRPr="009257E7">
        <w:rPr>
          <w:lang w:val="es-ES"/>
        </w:rPr>
        <w:t>. Décadas de campañas influenciadas por el memorando de Powell han acuñado doctrinas nuevas para elevar la personalidad jurídica corporativa, debilitar las salvaguardas procesales contra abusos policiales y fiscales, y restringir los derechos de acción colectiva y los remedios disponibles para grupos subordinados. Los seguimientos continuos del memorando de Powell ilustran cómo las élites usan campañas centradas en asuntos específicos, en combinación con grandes corporaciones y otros proyectos de construcción institucional, para explotar estratégicamente su acumulación de ventajas simbólicas y materiales.</w:t>
      </w:r>
    </w:p>
    <w:p w14:paraId="3A3BC59E" w14:textId="77777777" w:rsidR="0049701E" w:rsidRPr="009257E7" w:rsidRDefault="0049701E" w:rsidP="00154962">
      <w:pPr>
        <w:pStyle w:val="NormalWeb"/>
        <w:ind w:firstLine="720"/>
        <w:rPr>
          <w:lang w:val="es-ES"/>
        </w:rPr>
      </w:pPr>
      <w:r w:rsidRPr="009257E7">
        <w:rPr>
          <w:lang w:val="es-ES"/>
        </w:rPr>
        <w:t>Vale la pena enfatizar que el derecho, tal como se crea y se impone según las líneas trazadas en el memorando de Powell, literalmente está matando personas, o al menos está contribuyendo a sus muertes tempranas:</w:t>
      </w:r>
    </w:p>
    <w:p w14:paraId="221901C3" w14:textId="7CCD5431" w:rsidR="0049701E" w:rsidRPr="009257E7" w:rsidRDefault="0049701E" w:rsidP="00154962">
      <w:pPr>
        <w:pStyle w:val="NormalWeb"/>
        <w:ind w:left="720"/>
        <w:rPr>
          <w:lang w:val="es-ES"/>
        </w:rPr>
      </w:pPr>
      <w:r w:rsidRPr="009257E7">
        <w:rPr>
          <w:lang w:val="es-ES"/>
        </w:rPr>
        <w:t xml:space="preserve">[Un] indicio de que los cambios en las políticas estatales pueden estar detrás de los cambios en la expectativa de vida en Estados Unidos lo sugiere la cronología de actividad de las organizaciones que influyen en las políticas. El éxito inicial de ALEC a mediados de la década de 1980 corresponde </w:t>
      </w:r>
      <w:r w:rsidR="001A4405" w:rsidRPr="009257E7">
        <w:rPr>
          <w:lang w:val="es-ES"/>
        </w:rPr>
        <w:t>a</w:t>
      </w:r>
      <w:r w:rsidRPr="009257E7">
        <w:rPr>
          <w:lang w:val="es-ES"/>
        </w:rPr>
        <w:t xml:space="preserve">l momento en que la longevidad estadounidense comenzó a rezagarse frente a otros países de </w:t>
      </w:r>
      <w:r w:rsidR="001A4405" w:rsidRPr="009257E7">
        <w:rPr>
          <w:lang w:val="es-ES"/>
        </w:rPr>
        <w:t>ingreso alto</w:t>
      </w:r>
      <w:r w:rsidRPr="009257E7">
        <w:rPr>
          <w:lang w:val="es-ES"/>
        </w:rPr>
        <w:t xml:space="preserve"> </w:t>
      </w:r>
      <w:r w:rsidR="001A4405" w:rsidRPr="009257E7">
        <w:rPr>
          <w:lang w:val="es-ES"/>
        </w:rPr>
        <w:t>y</w:t>
      </w:r>
      <w:r w:rsidRPr="009257E7">
        <w:rPr>
          <w:lang w:val="es-ES"/>
        </w:rPr>
        <w:t xml:space="preserve"> a divergir entre los estados. [...] Otro indicio puede </w:t>
      </w:r>
      <w:r w:rsidR="001A4405" w:rsidRPr="009257E7">
        <w:rPr>
          <w:lang w:val="es-ES"/>
        </w:rPr>
        <w:t>observa</w:t>
      </w:r>
      <w:r w:rsidRPr="009257E7">
        <w:rPr>
          <w:lang w:val="es-ES"/>
        </w:rPr>
        <w:t xml:space="preserve">rse al comparar los estados con mayor y menor actividad de ALEC. Tomemos Oklahoma y Connecticut. [...] [E]n 1970, las expectativas de vida en estos dos estados eran bastante promedio [...] y diferían por 1.5 años. Posteriormente, Oklahoma se convirtió en uno de los estados más activos en la promulgación de legislación de ALEC y, para 2014, había </w:t>
      </w:r>
      <w:r w:rsidR="00E75D77" w:rsidRPr="009257E7">
        <w:rPr>
          <w:lang w:val="es-ES"/>
        </w:rPr>
        <w:t>descendi</w:t>
      </w:r>
      <w:r w:rsidRPr="009257E7">
        <w:rPr>
          <w:lang w:val="es-ES"/>
        </w:rPr>
        <w:t xml:space="preserve">do al puesto </w:t>
      </w:r>
      <w:r w:rsidR="00E75D77" w:rsidRPr="009257E7">
        <w:rPr>
          <w:lang w:val="es-ES"/>
        </w:rPr>
        <w:t>47</w:t>
      </w:r>
      <w:r w:rsidRPr="009257E7">
        <w:rPr>
          <w:lang w:val="es-ES"/>
        </w:rPr>
        <w:t xml:space="preserve"> en términos de expectativa de vida. Connecticut estuvo entre los menos activos en </w:t>
      </w:r>
      <w:r w:rsidR="00E75D77" w:rsidRPr="009257E7">
        <w:rPr>
          <w:lang w:val="es-ES"/>
        </w:rPr>
        <w:t>la promulgación de</w:t>
      </w:r>
      <w:r w:rsidRPr="009257E7">
        <w:rPr>
          <w:lang w:val="es-ES"/>
        </w:rPr>
        <w:t xml:space="preserve"> legislación de ALEC y, para 2014, había ascendido al tercer lugar.</w:t>
      </w:r>
    </w:p>
    <w:p w14:paraId="346554A1" w14:textId="3911D881" w:rsidR="0049701E" w:rsidRPr="009257E7" w:rsidRDefault="0049701E" w:rsidP="00154962">
      <w:pPr>
        <w:pStyle w:val="NormalWeb"/>
        <w:ind w:left="720"/>
        <w:rPr>
          <w:lang w:val="es-ES"/>
        </w:rPr>
      </w:pPr>
      <w:r w:rsidRPr="009257E7">
        <w:rPr>
          <w:lang w:val="es-ES"/>
        </w:rPr>
        <w:t>[...] [U]n primer paso necesario para identificar soluciones efectivas y audaces es una reorientación fundamental de la investigación científica sobre el tema, dirigida a los factores estructurales —por ejemplo, políticas estatales, corporaciones y organizaciones que influyen en las políticas</w:t>
      </w:r>
      <w:r w:rsidR="00E75D77" w:rsidRPr="009257E7">
        <w:rPr>
          <w:lang w:val="es-ES"/>
        </w:rPr>
        <w:t xml:space="preserve"> públicas</w:t>
      </w:r>
      <w:r w:rsidRPr="009257E7">
        <w:rPr>
          <w:lang w:val="es-ES"/>
        </w:rPr>
        <w:t xml:space="preserve">— que sostienen el problema. [...] [L]es investigadores necesitan plantear preguntas nuevas y diferentes, e integrar perspectivas de la ciencia política y, especialmente, de la epidemiología jurídica: “el estudio científico y el despliegue del derecho como factor en la causa, distribución y prevención de enfermedades y lesiones en una población”. [...] [L]os males de salud de Estados Unidos tienen sus raíces “en salas de juntas </w:t>
      </w:r>
      <w:proofErr w:type="gramStart"/>
      <w:r w:rsidRPr="009257E7">
        <w:rPr>
          <w:lang w:val="es-ES"/>
        </w:rPr>
        <w:t>corporativas[</w:t>
      </w:r>
      <w:proofErr w:type="gramEnd"/>
      <w:r w:rsidRPr="009257E7">
        <w:rPr>
          <w:lang w:val="es-ES"/>
        </w:rPr>
        <w:t>,] firmas de publicidad y cabildeo, y cámaras legislativas y judiciales”.</w:t>
      </w:r>
      <w:r w:rsidR="008139C2" w:rsidRPr="009257E7">
        <w:rPr>
          <w:rStyle w:val="FootnoteReference"/>
          <w:lang w:val="es-ES"/>
        </w:rPr>
        <w:footnoteReference w:id="74"/>
      </w:r>
    </w:p>
    <w:p w14:paraId="2E6C8692" w14:textId="12B16D01" w:rsidR="0049701E" w:rsidRPr="009257E7" w:rsidRDefault="0049701E" w:rsidP="0040103B">
      <w:pPr>
        <w:pStyle w:val="NormalWeb"/>
        <w:ind w:firstLine="720"/>
        <w:rPr>
          <w:lang w:val="es-ES"/>
        </w:rPr>
      </w:pPr>
      <w:r w:rsidRPr="009257E7">
        <w:rPr>
          <w:lang w:val="es-ES"/>
        </w:rPr>
        <w:t xml:space="preserve">El plan </w:t>
      </w:r>
      <w:r w:rsidR="0040103B" w:rsidRPr="009257E7">
        <w:rPr>
          <w:lang w:val="es-ES"/>
        </w:rPr>
        <w:t>a</w:t>
      </w:r>
      <w:r w:rsidRPr="009257E7">
        <w:rPr>
          <w:lang w:val="es-ES"/>
        </w:rPr>
        <w:t xml:space="preserve"> largo plazo de las élites estadounidenses ha sido multinivel y se ha extendido a </w:t>
      </w:r>
      <w:r w:rsidR="0040103B" w:rsidRPr="009257E7">
        <w:rPr>
          <w:lang w:val="es-ES"/>
        </w:rPr>
        <w:t>lo largo</w:t>
      </w:r>
      <w:r w:rsidRPr="009257E7">
        <w:rPr>
          <w:lang w:val="es-ES"/>
        </w:rPr>
        <w:t xml:space="preserve"> del tiempo y</w:t>
      </w:r>
      <w:r w:rsidR="0040103B" w:rsidRPr="009257E7">
        <w:rPr>
          <w:lang w:val="es-ES"/>
        </w:rPr>
        <w:t xml:space="preserve"> a través</w:t>
      </w:r>
      <w:r w:rsidRPr="009257E7">
        <w:rPr>
          <w:lang w:val="es-ES"/>
        </w:rPr>
        <w:t xml:space="preserve"> de las ramas del gobierno. Considérese, por ejemplo, cómo las </w:t>
      </w:r>
      <w:r w:rsidRPr="009257E7">
        <w:rPr>
          <w:lang w:val="es-ES"/>
        </w:rPr>
        <w:lastRenderedPageBreak/>
        <w:t xml:space="preserve">ramificaciones del plan de Powell han deteriorado la atención médica en Estados Unidos. La socióloga Jennifer Karas Montez describe una “maquinaria de injusticia y muerte prematura” que ha provocado una disminución real —y continua— en la expectativa de vida de </w:t>
      </w:r>
      <w:r w:rsidR="002214EA" w:rsidRPr="009257E7">
        <w:rPr>
          <w:lang w:val="es-ES"/>
        </w:rPr>
        <w:t xml:space="preserve">los </w:t>
      </w:r>
      <w:r w:rsidRPr="009257E7">
        <w:rPr>
          <w:lang w:val="es-ES"/>
        </w:rPr>
        <w:t>residentes estadounidenses con bajo nivel educativo desde la década de 1980</w:t>
      </w:r>
      <w:r w:rsidR="00505C68" w:rsidRPr="009257E7">
        <w:rPr>
          <w:rStyle w:val="FootnoteReference"/>
          <w:lang w:val="es-ES"/>
        </w:rPr>
        <w:footnoteReference w:id="75"/>
      </w:r>
      <w:r w:rsidRPr="009257E7">
        <w:rPr>
          <w:lang w:val="es-ES"/>
        </w:rPr>
        <w:t xml:space="preserve">. Las mujeres blancas con bajo nivel educativo fueron las primeras en ver disminuir su longevidad, mucho antes de los efectos muy publicitados de la crisis de opioides en Estados Unidos entre </w:t>
      </w:r>
      <w:r w:rsidR="00505C68" w:rsidRPr="009257E7">
        <w:rPr>
          <w:lang w:val="es-ES"/>
        </w:rPr>
        <w:t xml:space="preserve">las </w:t>
      </w:r>
      <w:r w:rsidRPr="009257E7">
        <w:rPr>
          <w:lang w:val="es-ES"/>
        </w:rPr>
        <w:t>personas blancas rurales. Los grupos marginados en áreas urbanas —</w:t>
      </w:r>
      <w:r w:rsidR="00505C68" w:rsidRPr="009257E7">
        <w:rPr>
          <w:lang w:val="es-ES"/>
        </w:rPr>
        <w:t>en particular</w:t>
      </w:r>
      <w:r w:rsidRPr="009257E7">
        <w:rPr>
          <w:lang w:val="es-ES"/>
        </w:rPr>
        <w:t xml:space="preserve"> mujeres negras, personas transgénero y otras— también han sido afectados de </w:t>
      </w:r>
      <w:r w:rsidR="00505C68" w:rsidRPr="009257E7">
        <w:rPr>
          <w:lang w:val="es-ES"/>
        </w:rPr>
        <w:t>maner</w:t>
      </w:r>
      <w:r w:rsidRPr="009257E7">
        <w:rPr>
          <w:lang w:val="es-ES"/>
        </w:rPr>
        <w:t xml:space="preserve">a desproporcionada por las políticas de atención médica. Aunque el “relato dominante” atribuye la disminución a la “responsabilidad personal y las decisiones” —como </w:t>
      </w:r>
      <w:r w:rsidR="00505C68" w:rsidRPr="009257E7">
        <w:rPr>
          <w:lang w:val="es-ES"/>
        </w:rPr>
        <w:t xml:space="preserve">las </w:t>
      </w:r>
      <w:r w:rsidRPr="009257E7">
        <w:rPr>
          <w:lang w:val="es-ES"/>
        </w:rPr>
        <w:t>decisiones sobre fumar, las opciones alimentarias o asistir a la universidad—, este es un “relato falso” que no está respaldado por la evidencia.</w:t>
      </w:r>
    </w:p>
    <w:p w14:paraId="14735FF7" w14:textId="31D3E97E" w:rsidR="0049701E" w:rsidRPr="009257E7" w:rsidRDefault="0049701E" w:rsidP="008139C2">
      <w:pPr>
        <w:pStyle w:val="NormalWeb"/>
        <w:ind w:firstLine="720"/>
        <w:rPr>
          <w:lang w:val="es-ES"/>
        </w:rPr>
      </w:pPr>
      <w:r w:rsidRPr="009257E7">
        <w:rPr>
          <w:lang w:val="es-ES"/>
        </w:rPr>
        <w:t xml:space="preserve">Según Montez, las raíces de este problema se encuentran en tres fuerzas estructurales, todas conectadas con el despliegue de estrategias </w:t>
      </w:r>
      <w:r w:rsidR="008C765D" w:rsidRPr="009257E7">
        <w:rPr>
          <w:lang w:val="es-ES"/>
        </w:rPr>
        <w:t>a</w:t>
      </w:r>
      <w:r w:rsidRPr="009257E7">
        <w:rPr>
          <w:lang w:val="es-ES"/>
        </w:rPr>
        <w:t xml:space="preserve"> largo plazo que siguen el modelo establecido en el memorando de Powell: la devolución de la autoridad de formulación de políticas en atención médica a los estados, combinada con recortes en la ayuda y una flexibilización de las condiciones vinculadas a programas como asistencia social o Medicaid; la expansión de proyectos de ley estatales de preeminencia que prohíben a los gobiernos locales mejorar estándares sobre determinantes sociales de la salud, como ordenanzas antitabaco, de control de armas, salario mínimo o licencia por enfermedad pagada; y la captura de las legislaturas estatales por una “troika” de grupos </w:t>
      </w:r>
      <w:proofErr w:type="spellStart"/>
      <w:r w:rsidRPr="009257E7">
        <w:rPr>
          <w:lang w:val="es-ES"/>
        </w:rPr>
        <w:t>procorporativos</w:t>
      </w:r>
      <w:proofErr w:type="spellEnd"/>
      <w:r w:rsidRPr="009257E7">
        <w:rPr>
          <w:lang w:val="es-ES"/>
        </w:rPr>
        <w:t xml:space="preserve"> que influyen en las políticas —ALEC, State Policy Network y </w:t>
      </w:r>
      <w:proofErr w:type="spellStart"/>
      <w:r w:rsidRPr="009257E7">
        <w:rPr>
          <w:lang w:val="es-ES"/>
        </w:rPr>
        <w:t>Americans</w:t>
      </w:r>
      <w:proofErr w:type="spellEnd"/>
      <w:r w:rsidRPr="009257E7">
        <w:rPr>
          <w:lang w:val="es-ES"/>
        </w:rPr>
        <w:t xml:space="preserve"> </w:t>
      </w:r>
      <w:proofErr w:type="spellStart"/>
      <w:r w:rsidRPr="009257E7">
        <w:rPr>
          <w:lang w:val="es-ES"/>
        </w:rPr>
        <w:t>for</w:t>
      </w:r>
      <w:proofErr w:type="spellEnd"/>
      <w:r w:rsidRPr="009257E7">
        <w:rPr>
          <w:lang w:val="es-ES"/>
        </w:rPr>
        <w:t xml:space="preserve"> Prosperity—, que han logrado influir tanto en nombramientos judiciales como en legisladores. El resultado es que las legislaturas aprobaron y l</w:t>
      </w:r>
      <w:r w:rsidR="00E212B0" w:rsidRPr="009257E7">
        <w:rPr>
          <w:lang w:val="es-ES"/>
        </w:rPr>
        <w:t>o</w:t>
      </w:r>
      <w:r w:rsidRPr="009257E7">
        <w:rPr>
          <w:lang w:val="es-ES"/>
        </w:rPr>
        <w:t xml:space="preserve">s jueces sostuvieron leyes estatales de línea dura para reducir </w:t>
      </w:r>
      <w:r w:rsidR="00E212B0" w:rsidRPr="009257E7">
        <w:rPr>
          <w:lang w:val="es-ES"/>
        </w:rPr>
        <w:t xml:space="preserve">las </w:t>
      </w:r>
      <w:r w:rsidRPr="009257E7">
        <w:rPr>
          <w:lang w:val="es-ES"/>
        </w:rPr>
        <w:t>inversiones en programas que mejoran el bienestar; debilitar movimientos laborales, ambientales y otros; y prohibir la creación progresista de normas locales.</w:t>
      </w:r>
    </w:p>
    <w:p w14:paraId="0F0F0494" w14:textId="65272977" w:rsidR="00562686" w:rsidRPr="009257E7" w:rsidRDefault="00562686" w:rsidP="00562686">
      <w:pPr>
        <w:pStyle w:val="NormalWeb"/>
        <w:ind w:firstLine="720"/>
        <w:rPr>
          <w:lang w:val="es-ES"/>
        </w:rPr>
      </w:pPr>
      <w:r w:rsidRPr="009257E7">
        <w:rPr>
          <w:lang w:val="es-ES"/>
        </w:rPr>
        <w:t xml:space="preserve">De manera similar, vale la pena enfatizar que el plan de Powell depende </w:t>
      </w:r>
      <w:r w:rsidR="00084636" w:rsidRPr="009257E7">
        <w:rPr>
          <w:lang w:val="es-ES"/>
        </w:rPr>
        <w:t>plenamente</w:t>
      </w:r>
      <w:r w:rsidRPr="009257E7">
        <w:rPr>
          <w:lang w:val="es-ES"/>
        </w:rPr>
        <w:t xml:space="preserve"> de </w:t>
      </w:r>
      <w:r w:rsidR="00084636" w:rsidRPr="009257E7">
        <w:rPr>
          <w:lang w:val="es-ES"/>
        </w:rPr>
        <w:t xml:space="preserve">los </w:t>
      </w:r>
      <w:r w:rsidRPr="009257E7">
        <w:rPr>
          <w:lang w:val="es-ES"/>
        </w:rPr>
        <w:t xml:space="preserve">recursos y </w:t>
      </w:r>
      <w:r w:rsidR="00084636" w:rsidRPr="009257E7">
        <w:rPr>
          <w:lang w:val="es-ES"/>
        </w:rPr>
        <w:t xml:space="preserve">las </w:t>
      </w:r>
      <w:r w:rsidRPr="009257E7">
        <w:rPr>
          <w:lang w:val="es-ES"/>
        </w:rPr>
        <w:t xml:space="preserve">acciones colectivizados, basados en intereses compartidos a pesar de las diferencias existentes. El plan de Powell incluye iniciativas, instituciones y programas dedicados a construir poder colectivo mediante la organización de instituciones elitistas. Esa campaña incluiría cambiar leyes y reglas, así como “corazones y mentes”; es decir, afectar las visiones culturales y las comprensiones sociales sobre las realidades y las posibilidades. Esta atención a las actitudes culturales dominantes —y al poder transformarlas de manera intencional a </w:t>
      </w:r>
      <w:r w:rsidR="00BB700F" w:rsidRPr="009257E7">
        <w:rPr>
          <w:lang w:val="es-ES"/>
        </w:rPr>
        <w:t>lo largo</w:t>
      </w:r>
      <w:r w:rsidRPr="009257E7">
        <w:rPr>
          <w:lang w:val="es-ES"/>
        </w:rPr>
        <w:t xml:space="preserve"> del tiempo— es crucial para que cualquier cambio jurídico “permanezca” a largo plazo. Esta campaña elitista busca construir los recursos y la capacidad de las corporaciones y sus aliades para influir en el derecho tanto </w:t>
      </w:r>
      <w:r w:rsidR="00BB700F" w:rsidRPr="009257E7">
        <w:rPr>
          <w:lang w:val="es-ES"/>
        </w:rPr>
        <w:t>en la</w:t>
      </w:r>
      <w:r w:rsidRPr="009257E7">
        <w:rPr>
          <w:lang w:val="es-ES"/>
        </w:rPr>
        <w:t xml:space="preserve"> adjudicación como</w:t>
      </w:r>
      <w:r w:rsidR="00BB700F" w:rsidRPr="009257E7">
        <w:rPr>
          <w:lang w:val="es-ES"/>
        </w:rPr>
        <w:t xml:space="preserve"> en la</w:t>
      </w:r>
      <w:r w:rsidRPr="009257E7">
        <w:rPr>
          <w:lang w:val="es-ES"/>
        </w:rPr>
        <w:t xml:space="preserve"> democracia. En efecto, el memorando de Powell hizo surgir un orden social y jurídico en el </w:t>
      </w:r>
      <w:r w:rsidR="00BB700F" w:rsidRPr="009257E7">
        <w:rPr>
          <w:lang w:val="es-ES"/>
        </w:rPr>
        <w:t>que</w:t>
      </w:r>
      <w:r w:rsidRPr="009257E7">
        <w:rPr>
          <w:lang w:val="es-ES"/>
        </w:rPr>
        <w:t xml:space="preserve"> la producción de ganancias corporativas desplaza otros compromisos sistémicos o valores inconvenientes, incluida la justicia igualitaria para todes. Esta consecuencia social es enteramente por diseño. La abogacía sistémica está diseñada para igualar y frenar estos mismos movimientos desde abajo.</w:t>
      </w:r>
    </w:p>
    <w:p w14:paraId="4E2F4BE0" w14:textId="5C0B2BBD" w:rsidR="00562686" w:rsidRPr="009257E7" w:rsidRDefault="00562686" w:rsidP="00D348F8">
      <w:pPr>
        <w:pStyle w:val="NormalWeb"/>
        <w:ind w:firstLine="720"/>
        <w:rPr>
          <w:lang w:val="es-ES"/>
        </w:rPr>
      </w:pPr>
      <w:r w:rsidRPr="009257E7">
        <w:rPr>
          <w:lang w:val="es-ES"/>
        </w:rPr>
        <w:t xml:space="preserve">También vale la pena enfatizar que la campaña que intenta “eliminar” o </w:t>
      </w:r>
      <w:proofErr w:type="spellStart"/>
      <w:r w:rsidRPr="009257E7">
        <w:rPr>
          <w:lang w:val="es-ES"/>
        </w:rPr>
        <w:t>desempoderar</w:t>
      </w:r>
      <w:proofErr w:type="spellEnd"/>
      <w:r w:rsidRPr="009257E7">
        <w:rPr>
          <w:lang w:val="es-ES"/>
        </w:rPr>
        <w:t xml:space="preserve"> a todes les demás continúa todavía, no solo mediante la violencia de la criminalización y el encarcelamiento, sino también mediante la restricción o imposición de cargas al acceso al litigio </w:t>
      </w:r>
      <w:r w:rsidRPr="009257E7">
        <w:rPr>
          <w:lang w:val="es-ES"/>
        </w:rPr>
        <w:lastRenderedPageBreak/>
        <w:t xml:space="preserve">civil, en particular a </w:t>
      </w:r>
      <w:r w:rsidR="00D348F8" w:rsidRPr="009257E7">
        <w:rPr>
          <w:lang w:val="es-ES"/>
        </w:rPr>
        <w:t xml:space="preserve">las </w:t>
      </w:r>
      <w:r w:rsidRPr="009257E7">
        <w:rPr>
          <w:lang w:val="es-ES"/>
        </w:rPr>
        <w:t xml:space="preserve">medidas colectivas o de clase. Estas han sido restringidas mediante cambios </w:t>
      </w:r>
      <w:r w:rsidR="00D348F8" w:rsidRPr="009257E7">
        <w:rPr>
          <w:lang w:val="es-ES"/>
        </w:rPr>
        <w:t>en</w:t>
      </w:r>
      <w:r w:rsidRPr="009257E7">
        <w:rPr>
          <w:lang w:val="es-ES"/>
        </w:rPr>
        <w:t xml:space="preserve"> las reglas de responsabilidad, alegación, sentencia sumaria y certificación de clase, </w:t>
      </w:r>
      <w:r w:rsidR="00D348F8" w:rsidRPr="009257E7">
        <w:rPr>
          <w:lang w:val="es-ES"/>
        </w:rPr>
        <w:t>así como</w:t>
      </w:r>
      <w:r w:rsidRPr="009257E7">
        <w:rPr>
          <w:lang w:val="es-ES"/>
        </w:rPr>
        <w:t xml:space="preserve"> mediante el fortalecimiento del arbitraje obligatorio y la individuación de las reclamaciones</w:t>
      </w:r>
      <w:r w:rsidR="00D348F8" w:rsidRPr="009257E7">
        <w:rPr>
          <w:lang w:val="es-ES"/>
        </w:rPr>
        <w:t xml:space="preserve"> relacionadas</w:t>
      </w:r>
      <w:r w:rsidR="00B2048A" w:rsidRPr="009257E7">
        <w:rPr>
          <w:rStyle w:val="FootnoteReference"/>
          <w:lang w:val="es-ES"/>
        </w:rPr>
        <w:footnoteReference w:id="76"/>
      </w:r>
      <w:r w:rsidRPr="009257E7">
        <w:rPr>
          <w:lang w:val="es-ES"/>
        </w:rPr>
        <w:t xml:space="preserve">. Como señala J. </w:t>
      </w:r>
      <w:proofErr w:type="spellStart"/>
      <w:r w:rsidRPr="009257E7">
        <w:rPr>
          <w:lang w:val="es-ES"/>
        </w:rPr>
        <w:t>Maria</w:t>
      </w:r>
      <w:proofErr w:type="spellEnd"/>
      <w:r w:rsidRPr="009257E7">
        <w:rPr>
          <w:lang w:val="es-ES"/>
        </w:rPr>
        <w:t xml:space="preserve"> Glover, académica del procedimiento civil, las reglas procesales en la adjudicación han sido apiladas, con las élites enfocadas en reducir el acceso de los grupos subordinados a los procesos colectivos:</w:t>
      </w:r>
    </w:p>
    <w:p w14:paraId="077EAD5D" w14:textId="653F6481" w:rsidR="00562686" w:rsidRPr="009257E7" w:rsidRDefault="00562686" w:rsidP="00B2048A">
      <w:pPr>
        <w:pStyle w:val="NormalWeb"/>
        <w:ind w:left="720"/>
        <w:rPr>
          <w:lang w:val="es-ES"/>
        </w:rPr>
      </w:pPr>
      <w:r w:rsidRPr="009257E7">
        <w:rPr>
          <w:lang w:val="es-ES"/>
        </w:rPr>
        <w:t xml:space="preserve">Bajo el cabildeo de entidades corporativas, las reformas procesales recientes del Congreso han tendido a restringir el acceso a la justicia y las normas del Estado de derecho, en lugar de preservarlas. [...] En conjunto, el resultado es que tanto el Congreso como los tribunales federales —en particular la Corte Suprema de </w:t>
      </w:r>
      <w:r w:rsidR="00B2048A" w:rsidRPr="009257E7">
        <w:rPr>
          <w:lang w:val="es-ES"/>
        </w:rPr>
        <w:t xml:space="preserve">los </w:t>
      </w:r>
      <w:r w:rsidRPr="009257E7">
        <w:rPr>
          <w:lang w:val="es-ES"/>
        </w:rPr>
        <w:t>Estados Unidos— están reformando el procedimiento de maneras que restringen el acceso a la justicia y d</w:t>
      </w:r>
      <w:r w:rsidR="00B2048A" w:rsidRPr="009257E7">
        <w:rPr>
          <w:lang w:val="es-ES"/>
        </w:rPr>
        <w:t>ebilita</w:t>
      </w:r>
      <w:r w:rsidRPr="009257E7">
        <w:rPr>
          <w:lang w:val="es-ES"/>
        </w:rPr>
        <w:t>n las normas del Estado de derecho.</w:t>
      </w:r>
    </w:p>
    <w:p w14:paraId="21CD8C39" w14:textId="5BDA29B2" w:rsidR="00562686" w:rsidRPr="009257E7" w:rsidRDefault="00562686" w:rsidP="00B2048A">
      <w:pPr>
        <w:pStyle w:val="NormalWeb"/>
        <w:ind w:left="720"/>
        <w:rPr>
          <w:lang w:val="es-ES"/>
        </w:rPr>
      </w:pPr>
      <w:r w:rsidRPr="009257E7">
        <w:rPr>
          <w:lang w:val="es-ES"/>
        </w:rPr>
        <w:t>La gran ganadora en esta lucha de poder no ha sido ni la rama judicial ni la rama legislativa, sino, más bien, las entidades corporativas que buscan —a menudo con éxito— limitar su exposición a la responsabilidad al restringir el acceso a la justicia, en particular para individuos de ingresos bajos, personas con reclamaciones de valor bajo o ciudadan</w:t>
      </w:r>
      <w:r w:rsidR="00B2048A" w:rsidRPr="009257E7">
        <w:rPr>
          <w:lang w:val="es-ES"/>
        </w:rPr>
        <w:t>o</w:t>
      </w:r>
      <w:r w:rsidRPr="009257E7">
        <w:rPr>
          <w:lang w:val="es-ES"/>
        </w:rPr>
        <w:t xml:space="preserve">s con poco poder político. Esta lucha de poder ha </w:t>
      </w:r>
      <w:r w:rsidR="00B2048A" w:rsidRPr="009257E7">
        <w:rPr>
          <w:lang w:val="es-ES"/>
        </w:rPr>
        <w:t>brin</w:t>
      </w:r>
      <w:r w:rsidRPr="009257E7">
        <w:rPr>
          <w:lang w:val="es-ES"/>
        </w:rPr>
        <w:t>dado a las entidades corporativas dos oportunidades frente al procedimiento. Si las corporaciones son las grandes ganadoras en esta lucha, debe haber una gran perdedora. La perdedora ha sido el Estado de derecho.</w:t>
      </w:r>
      <w:r w:rsidR="006F4100" w:rsidRPr="009257E7">
        <w:rPr>
          <w:rStyle w:val="FootnoteReference"/>
          <w:lang w:val="es-ES"/>
        </w:rPr>
        <w:footnoteReference w:id="77"/>
      </w:r>
    </w:p>
    <w:p w14:paraId="65892C77" w14:textId="4035DD4E" w:rsidR="00562686" w:rsidRPr="009257E7" w:rsidRDefault="00562686" w:rsidP="006F4100">
      <w:pPr>
        <w:pStyle w:val="NormalWeb"/>
        <w:ind w:firstLine="720"/>
        <w:rPr>
          <w:lang w:val="es-ES"/>
        </w:rPr>
      </w:pPr>
      <w:r w:rsidRPr="009257E7">
        <w:rPr>
          <w:lang w:val="es-ES"/>
        </w:rPr>
        <w:t xml:space="preserve">Las acciones de clase ofrecen un ejemplo adecuado y clave: fueron inventadas originalmente en la Inglaterra feudal por </w:t>
      </w:r>
      <w:r w:rsidR="006F4100" w:rsidRPr="009257E7">
        <w:rPr>
          <w:lang w:val="es-ES"/>
        </w:rPr>
        <w:t xml:space="preserve">las </w:t>
      </w:r>
      <w:r w:rsidRPr="009257E7">
        <w:rPr>
          <w:lang w:val="es-ES"/>
        </w:rPr>
        <w:t xml:space="preserve">élites señoriales para hacer que el cobro de rentas —o los desalojos— </w:t>
      </w:r>
      <w:r w:rsidR="006F4100" w:rsidRPr="009257E7">
        <w:rPr>
          <w:lang w:val="es-ES"/>
        </w:rPr>
        <w:t>resulta</w:t>
      </w:r>
      <w:r w:rsidRPr="009257E7">
        <w:rPr>
          <w:lang w:val="es-ES"/>
        </w:rPr>
        <w:t xml:space="preserve">ra más barato, rápido y fácil para ellas como </w:t>
      </w:r>
      <w:r w:rsidR="006F4100" w:rsidRPr="009257E7">
        <w:rPr>
          <w:lang w:val="es-ES"/>
        </w:rPr>
        <w:t>clase</w:t>
      </w:r>
      <w:r w:rsidRPr="009257E7">
        <w:rPr>
          <w:lang w:val="es-ES"/>
        </w:rPr>
        <w:t>. En esta versión original, el señor de cualquier feudo, como demandante, podía nombrar a todes les sierves que le debían renta como una sola “clase” demandada —de deudores— y demandarles colectivamente en una sola acción por sus deudas individuales con él. Para mediados del siglo XX, Estados Unidos codificó las acciones de clase como regla de procedimiento civil. Esto permitió no solo que individuos privilegiados, como demandantes, demandaran colectivamente a grupos desde abajo como clase demandada, sino también que los grupos desde abajo, como clase demandante, demandaran colectivamente a un demandad</w:t>
      </w:r>
      <w:r w:rsidR="00EB41C6" w:rsidRPr="009257E7">
        <w:rPr>
          <w:lang w:val="es-ES"/>
        </w:rPr>
        <w:t>o</w:t>
      </w:r>
      <w:r w:rsidRPr="009257E7">
        <w:rPr>
          <w:lang w:val="es-ES"/>
        </w:rPr>
        <w:t xml:space="preserve"> elitista. Aunque fue diseñada principalmente para hacer más asequible la acción jurídica de pequeños inversionistas —al agruparlos—, esta regla igualada también abrió las puertas de los tribunales a muchas otras clases potenciales, incluidas aquellas con reclamaciones de consumo, ambientales, laborales o basadas en la identidad. El presidente de la Corte Suprema Warren Burger explicó en 1980 que:</w:t>
      </w:r>
    </w:p>
    <w:p w14:paraId="47403087" w14:textId="4DC573FC" w:rsidR="00BB13E9" w:rsidRPr="009257E7" w:rsidRDefault="00BB13E9" w:rsidP="005601FB">
      <w:pPr>
        <w:pStyle w:val="NormalWeb"/>
        <w:ind w:left="720"/>
        <w:rPr>
          <w:lang w:val="es-ES"/>
        </w:rPr>
      </w:pPr>
      <w:r w:rsidRPr="009257E7">
        <w:rPr>
          <w:lang w:val="es-ES"/>
        </w:rPr>
        <w:t xml:space="preserve">La agregación de reclamaciones individuales en el contexto de una demanda de clase es una respuesta evolutiva. [...] Cuando no es económicamente viable obtener remedio [mediante] una multiplicidad de demandas individuales pequeñas por daños, las personas agraviadas pueden quedar sin reparación efectiva alguna, a menos que puedan usar el </w:t>
      </w:r>
      <w:r w:rsidRPr="009257E7">
        <w:rPr>
          <w:lang w:val="es-ES"/>
        </w:rPr>
        <w:lastRenderedPageBreak/>
        <w:t>mecanismo de la acción de clase. [...] Este, por supuesto, es un concepto central de la Regla 23 [que regula las acciones de clase].</w:t>
      </w:r>
      <w:r w:rsidR="009B41A5" w:rsidRPr="009257E7">
        <w:rPr>
          <w:rStyle w:val="FootnoteReference"/>
          <w:lang w:val="es-ES"/>
        </w:rPr>
        <w:footnoteReference w:id="78"/>
      </w:r>
    </w:p>
    <w:p w14:paraId="0492960B" w14:textId="240FCA8C" w:rsidR="00BB13E9" w:rsidRPr="009257E7" w:rsidRDefault="00BB13E9" w:rsidP="009B41A5">
      <w:pPr>
        <w:pStyle w:val="NormalWeb"/>
        <w:ind w:firstLine="720"/>
        <w:rPr>
          <w:lang w:val="es-ES"/>
        </w:rPr>
      </w:pPr>
      <w:r w:rsidRPr="009257E7">
        <w:rPr>
          <w:lang w:val="es-ES"/>
        </w:rPr>
        <w:t>Precisamente por esta razón, una “guerra santa” desde arriba contra las acciones de clase comenzaba a prepararse justo cuando las clases demandantes</w:t>
      </w:r>
      <w:r w:rsidR="009B41A5" w:rsidRPr="009257E7">
        <w:rPr>
          <w:lang w:val="es-ES"/>
        </w:rPr>
        <w:t>,</w:t>
      </w:r>
      <w:r w:rsidRPr="009257E7">
        <w:rPr>
          <w:lang w:val="es-ES"/>
        </w:rPr>
        <w:t xml:space="preserve"> lesionadas por daños masivos, fraude y otras conductas ilícitas desde arriba</w:t>
      </w:r>
      <w:r w:rsidR="009B41A5" w:rsidRPr="009257E7">
        <w:rPr>
          <w:lang w:val="es-ES"/>
        </w:rPr>
        <w:t>,</w:t>
      </w:r>
      <w:r w:rsidRPr="009257E7">
        <w:rPr>
          <w:lang w:val="es-ES"/>
        </w:rPr>
        <w:t xml:space="preserve"> presentaban y ganaban demandas de clase</w:t>
      </w:r>
      <w:r w:rsidR="00EB5259" w:rsidRPr="009257E7">
        <w:rPr>
          <w:rStyle w:val="FootnoteReference"/>
          <w:lang w:val="es-ES"/>
        </w:rPr>
        <w:footnoteReference w:id="79"/>
      </w:r>
      <w:r w:rsidRPr="009257E7">
        <w:rPr>
          <w:lang w:val="es-ES"/>
        </w:rPr>
        <w:t xml:space="preserve">. En unas pocas décadas, las élites afectadas habían reescrito el derecho: restringieron las acciones de clase federales mediante la promulgación de la </w:t>
      </w:r>
      <w:r w:rsidRPr="009257E7">
        <w:rPr>
          <w:rStyle w:val="Emphasis"/>
          <w:lang w:val="es-ES"/>
        </w:rPr>
        <w:t xml:space="preserve">Class </w:t>
      </w:r>
      <w:proofErr w:type="spellStart"/>
      <w:r w:rsidRPr="009257E7">
        <w:rPr>
          <w:rStyle w:val="Emphasis"/>
          <w:lang w:val="es-ES"/>
        </w:rPr>
        <w:t>Action</w:t>
      </w:r>
      <w:proofErr w:type="spellEnd"/>
      <w:r w:rsidRPr="009257E7">
        <w:rPr>
          <w:rStyle w:val="Emphasis"/>
          <w:lang w:val="es-ES"/>
        </w:rPr>
        <w:t xml:space="preserve"> </w:t>
      </w:r>
      <w:proofErr w:type="spellStart"/>
      <w:r w:rsidRPr="009257E7">
        <w:rPr>
          <w:rStyle w:val="Emphasis"/>
          <w:lang w:val="es-ES"/>
        </w:rPr>
        <w:t>Fairness</w:t>
      </w:r>
      <w:proofErr w:type="spellEnd"/>
      <w:r w:rsidRPr="009257E7">
        <w:rPr>
          <w:rStyle w:val="Emphasis"/>
          <w:lang w:val="es-ES"/>
        </w:rPr>
        <w:t xml:space="preserve"> </w:t>
      </w:r>
      <w:proofErr w:type="spellStart"/>
      <w:r w:rsidRPr="009257E7">
        <w:rPr>
          <w:rStyle w:val="Emphasis"/>
          <w:lang w:val="es-ES"/>
        </w:rPr>
        <w:t>Act</w:t>
      </w:r>
      <w:proofErr w:type="spellEnd"/>
      <w:r w:rsidRPr="009257E7">
        <w:rPr>
          <w:lang w:val="es-ES"/>
        </w:rPr>
        <w:t xml:space="preserve"> en 2005 y se beneficiaron de decisiones significativas de tribunales federales, incluida la Corte Suprema, para hacer que las acciones de clase fueran menos accesibles o asequibles específicamente para los grupos lesionados desde abajo. Como describe el académico del derecho Robert Klonoff:</w:t>
      </w:r>
    </w:p>
    <w:p w14:paraId="0692E629" w14:textId="5B30562A" w:rsidR="00BB13E9" w:rsidRPr="009257E7" w:rsidRDefault="00BB13E9" w:rsidP="00EB5259">
      <w:pPr>
        <w:pStyle w:val="NormalWeb"/>
        <w:ind w:left="720"/>
        <w:rPr>
          <w:lang w:val="es-ES"/>
        </w:rPr>
      </w:pPr>
      <w:r w:rsidRPr="009257E7">
        <w:rPr>
          <w:lang w:val="es-ES"/>
        </w:rPr>
        <w:t xml:space="preserve">El mecanismo de la acción de clase, antes considerado un vehículo “revolucionario” para lograr justicia masiva, ha caído en desfavor. Numerosos tribunales se han </w:t>
      </w:r>
      <w:r w:rsidR="000027D0" w:rsidRPr="009257E7">
        <w:rPr>
          <w:lang w:val="es-ES"/>
        </w:rPr>
        <w:t>mostrad</w:t>
      </w:r>
      <w:r w:rsidRPr="009257E7">
        <w:rPr>
          <w:lang w:val="es-ES"/>
        </w:rPr>
        <w:t xml:space="preserve">o escépticos respecto de la certificación de acciones de clase. [...] Incluso requisitos que </w:t>
      </w:r>
      <w:r w:rsidR="000027D0" w:rsidRPr="009257E7">
        <w:rPr>
          <w:lang w:val="es-ES"/>
        </w:rPr>
        <w:t>en</w:t>
      </w:r>
      <w:r w:rsidRPr="009257E7">
        <w:rPr>
          <w:lang w:val="es-ES"/>
        </w:rPr>
        <w:t xml:space="preserve"> </w:t>
      </w:r>
      <w:r w:rsidR="000027D0" w:rsidRPr="009257E7">
        <w:rPr>
          <w:lang w:val="es-ES"/>
        </w:rPr>
        <w:t>el pasado</w:t>
      </w:r>
      <w:r w:rsidRPr="009257E7">
        <w:rPr>
          <w:lang w:val="es-ES"/>
        </w:rPr>
        <w:t xml:space="preserve"> rara vez </w:t>
      </w:r>
      <w:r w:rsidR="000027D0" w:rsidRPr="009257E7">
        <w:rPr>
          <w:lang w:val="es-ES"/>
        </w:rPr>
        <w:t>les</w:t>
      </w:r>
      <w:r w:rsidRPr="009257E7">
        <w:rPr>
          <w:lang w:val="es-ES"/>
        </w:rPr>
        <w:t xml:space="preserve"> </w:t>
      </w:r>
      <w:r w:rsidR="000027D0" w:rsidRPr="009257E7">
        <w:rPr>
          <w:lang w:val="es-ES"/>
        </w:rPr>
        <w:t>demandaban</w:t>
      </w:r>
      <w:r w:rsidRPr="009257E7">
        <w:rPr>
          <w:lang w:val="es-ES"/>
        </w:rPr>
        <w:t>, como la “numerosidad” y la “comunidad”, son ahora impedimentos potenciales para la certificación de clase. Además, muchos tribunales exigen ahora que l</w:t>
      </w:r>
      <w:r w:rsidR="000027D0" w:rsidRPr="009257E7">
        <w:rPr>
          <w:lang w:val="es-ES"/>
        </w:rPr>
        <w:t>o</w:t>
      </w:r>
      <w:r w:rsidRPr="009257E7">
        <w:rPr>
          <w:lang w:val="es-ES"/>
        </w:rPr>
        <w:t xml:space="preserve">s demandantes presenten una prueba probatoria considerablemente mayor en la etapa de certificación de clase que </w:t>
      </w:r>
      <w:proofErr w:type="gramStart"/>
      <w:r w:rsidRPr="009257E7">
        <w:rPr>
          <w:lang w:val="es-ES"/>
        </w:rPr>
        <w:t>nunca antes</w:t>
      </w:r>
      <w:proofErr w:type="gramEnd"/>
      <w:r w:rsidRPr="009257E7">
        <w:rPr>
          <w:lang w:val="es-ES"/>
        </w:rPr>
        <w:t>. [...] Como resultado de estos desarrollos, l</w:t>
      </w:r>
      <w:r w:rsidR="002851C3" w:rsidRPr="009257E7">
        <w:rPr>
          <w:lang w:val="es-ES"/>
        </w:rPr>
        <w:t>o</w:t>
      </w:r>
      <w:r w:rsidRPr="009257E7">
        <w:rPr>
          <w:lang w:val="es-ES"/>
        </w:rPr>
        <w:t>s abogad</w:t>
      </w:r>
      <w:r w:rsidR="002851C3" w:rsidRPr="009257E7">
        <w:rPr>
          <w:lang w:val="es-ES"/>
        </w:rPr>
        <w:t>o</w:t>
      </w:r>
      <w:r w:rsidRPr="009257E7">
        <w:rPr>
          <w:lang w:val="es-ES"/>
        </w:rPr>
        <w:t>s de defensa con experiencia en acciones de clase pueden con frecuencia</w:t>
      </w:r>
      <w:r w:rsidR="00ED4E4F" w:rsidRPr="009257E7">
        <w:rPr>
          <w:lang w:val="es-ES"/>
        </w:rPr>
        <w:t xml:space="preserve"> identificar</w:t>
      </w:r>
      <w:r w:rsidRPr="009257E7">
        <w:rPr>
          <w:lang w:val="es-ES"/>
        </w:rPr>
        <w:t xml:space="preserve"> varios argumentos prometedores para derrotar la certificación, incluso en casos bastante rutinarios.</w:t>
      </w:r>
      <w:r w:rsidR="00ED4E4F" w:rsidRPr="009257E7">
        <w:rPr>
          <w:rStyle w:val="FootnoteReference"/>
          <w:lang w:val="es-ES"/>
        </w:rPr>
        <w:footnoteReference w:id="80"/>
      </w:r>
    </w:p>
    <w:p w14:paraId="4C947548" w14:textId="4D54A9EF" w:rsidR="00BB13E9" w:rsidRPr="009257E7" w:rsidRDefault="00BB13E9" w:rsidP="00ED4E4F">
      <w:pPr>
        <w:pStyle w:val="NormalWeb"/>
        <w:ind w:firstLine="720"/>
        <w:rPr>
          <w:lang w:val="es-ES"/>
        </w:rPr>
      </w:pPr>
      <w:r w:rsidRPr="009257E7">
        <w:rPr>
          <w:lang w:val="es-ES"/>
        </w:rPr>
        <w:t xml:space="preserve">Así, tras el amplio programa </w:t>
      </w:r>
      <w:proofErr w:type="spellStart"/>
      <w:r w:rsidRPr="009257E7">
        <w:rPr>
          <w:lang w:val="es-ES"/>
        </w:rPr>
        <w:t>procorporativo</w:t>
      </w:r>
      <w:proofErr w:type="spellEnd"/>
      <w:r w:rsidRPr="009257E7">
        <w:rPr>
          <w:lang w:val="es-ES"/>
        </w:rPr>
        <w:t xml:space="preserve"> delineado </w:t>
      </w:r>
      <w:r w:rsidR="00ED4E4F" w:rsidRPr="009257E7">
        <w:rPr>
          <w:lang w:val="es-ES"/>
        </w:rPr>
        <w:t>en</w:t>
      </w:r>
      <w:r w:rsidRPr="009257E7">
        <w:rPr>
          <w:lang w:val="es-ES"/>
        </w:rPr>
        <w:t xml:space="preserve"> el memorando de Powell, la eficacia de las acciones de clase ha sido socavada de manera dramática. En ocasiones, la Corte Suprema ha estado al frente de la “guerra santa” contra las acciones de clase y, en años recientes, ha limitado drásticamente todas las formas de colectivización de </w:t>
      </w:r>
      <w:r w:rsidR="00511E5D" w:rsidRPr="009257E7">
        <w:rPr>
          <w:lang w:val="es-ES"/>
        </w:rPr>
        <w:t xml:space="preserve">las </w:t>
      </w:r>
      <w:r w:rsidRPr="009257E7">
        <w:rPr>
          <w:lang w:val="es-ES"/>
        </w:rPr>
        <w:t xml:space="preserve">reclamaciones. En </w:t>
      </w:r>
      <w:r w:rsidRPr="009257E7">
        <w:rPr>
          <w:rStyle w:val="Emphasis"/>
          <w:lang w:val="es-ES"/>
        </w:rPr>
        <w:t>Wal-Mart Stores, Inc. v. Dukes</w:t>
      </w:r>
      <w:r w:rsidRPr="009257E7">
        <w:rPr>
          <w:lang w:val="es-ES"/>
        </w:rPr>
        <w:t xml:space="preserve">, 564 U.S. 338 (2011), por ejemplo, la Corte endureció las reglas para </w:t>
      </w:r>
      <w:r w:rsidR="00511E5D" w:rsidRPr="009257E7">
        <w:rPr>
          <w:lang w:val="es-ES"/>
        </w:rPr>
        <w:t>acreditar</w:t>
      </w:r>
      <w:r w:rsidRPr="009257E7">
        <w:rPr>
          <w:lang w:val="es-ES"/>
        </w:rPr>
        <w:t xml:space="preserve"> “cuestiones de derecho o de hecho” comunes, según se requiere para certificar una acción de clase. En conjunto con </w:t>
      </w:r>
      <w:proofErr w:type="spellStart"/>
      <w:r w:rsidRPr="009257E7">
        <w:rPr>
          <w:rStyle w:val="Emphasis"/>
          <w:lang w:val="es-ES"/>
        </w:rPr>
        <w:t>Citizens</w:t>
      </w:r>
      <w:proofErr w:type="spellEnd"/>
      <w:r w:rsidRPr="009257E7">
        <w:rPr>
          <w:rStyle w:val="Emphasis"/>
          <w:lang w:val="es-ES"/>
        </w:rPr>
        <w:t xml:space="preserve"> </w:t>
      </w:r>
      <w:proofErr w:type="spellStart"/>
      <w:r w:rsidRPr="009257E7">
        <w:rPr>
          <w:rStyle w:val="Emphasis"/>
          <w:lang w:val="es-ES"/>
        </w:rPr>
        <w:t>United</w:t>
      </w:r>
      <w:proofErr w:type="spellEnd"/>
      <w:r w:rsidRPr="009257E7">
        <w:rPr>
          <w:lang w:val="es-ES"/>
        </w:rPr>
        <w:t xml:space="preserve">, esta opinión de 2011 muestra cómo las élites se organizan colectivamente </w:t>
      </w:r>
      <w:r w:rsidR="00511E5D" w:rsidRPr="009257E7">
        <w:rPr>
          <w:lang w:val="es-ES"/>
        </w:rPr>
        <w:t>para</w:t>
      </w:r>
      <w:r w:rsidRPr="009257E7">
        <w:rPr>
          <w:lang w:val="es-ES"/>
        </w:rPr>
        <w:t xml:space="preserve"> opone</w:t>
      </w:r>
      <w:r w:rsidR="00511E5D" w:rsidRPr="009257E7">
        <w:rPr>
          <w:lang w:val="es-ES"/>
        </w:rPr>
        <w:t>rse</w:t>
      </w:r>
      <w:r w:rsidRPr="009257E7">
        <w:rPr>
          <w:lang w:val="es-ES"/>
        </w:rPr>
        <w:t xml:space="preserve"> a colectivos reales o potenciales que podrían desafiar su dominio.</w:t>
      </w:r>
    </w:p>
    <w:p w14:paraId="76642272" w14:textId="0B6EB78C" w:rsidR="00BB13E9" w:rsidRPr="009257E7" w:rsidRDefault="00BB13E9" w:rsidP="00511E5D">
      <w:pPr>
        <w:pStyle w:val="NormalWeb"/>
        <w:ind w:firstLine="720"/>
        <w:rPr>
          <w:lang w:val="es-ES"/>
        </w:rPr>
      </w:pPr>
      <w:r w:rsidRPr="009257E7">
        <w:rPr>
          <w:lang w:val="es-ES"/>
        </w:rPr>
        <w:t xml:space="preserve">Bajo </w:t>
      </w:r>
      <w:r w:rsidR="00511E5D" w:rsidRPr="009257E7">
        <w:rPr>
          <w:lang w:val="es-ES"/>
        </w:rPr>
        <w:t xml:space="preserve">la </w:t>
      </w:r>
      <w:r w:rsidRPr="009257E7">
        <w:rPr>
          <w:lang w:val="es-ES"/>
        </w:rPr>
        <w:t xml:space="preserve">influencia corporativa, la Corte elevó los intereses de las corporaciones en reclamaciones de arbitraje individualizado —supuestamente para promover la eficiencia— por encima de los intereses de las personas. Las corporaciones han </w:t>
      </w:r>
      <w:r w:rsidR="009B6897" w:rsidRPr="009257E7">
        <w:rPr>
          <w:lang w:val="es-ES"/>
        </w:rPr>
        <w:t>amplia</w:t>
      </w:r>
      <w:r w:rsidRPr="009257E7">
        <w:rPr>
          <w:lang w:val="es-ES"/>
        </w:rPr>
        <w:t xml:space="preserve">do sus ventajas en la negociación colectiva y en </w:t>
      </w:r>
      <w:r w:rsidR="009B6897" w:rsidRPr="009257E7">
        <w:rPr>
          <w:lang w:val="es-ES"/>
        </w:rPr>
        <w:t xml:space="preserve">las </w:t>
      </w:r>
      <w:r w:rsidRPr="009257E7">
        <w:rPr>
          <w:lang w:val="es-ES"/>
        </w:rPr>
        <w:t>reclamaciones de consumo, así como frente a</w:t>
      </w:r>
      <w:r w:rsidR="009B6897" w:rsidRPr="009257E7">
        <w:rPr>
          <w:lang w:val="es-ES"/>
        </w:rPr>
        <w:t xml:space="preserve"> las</w:t>
      </w:r>
      <w:r w:rsidRPr="009257E7">
        <w:rPr>
          <w:lang w:val="es-ES"/>
        </w:rPr>
        <w:t xml:space="preserve"> pequeñas empresas en </w:t>
      </w:r>
      <w:r w:rsidR="009B6897" w:rsidRPr="009257E7">
        <w:rPr>
          <w:lang w:val="es-ES"/>
        </w:rPr>
        <w:t xml:space="preserve">los </w:t>
      </w:r>
      <w:r w:rsidRPr="009257E7">
        <w:rPr>
          <w:lang w:val="es-ES"/>
        </w:rPr>
        <w:t>litigios comerciales. En una serie de casos</w:t>
      </w:r>
      <w:r w:rsidR="006205C8" w:rsidRPr="009257E7">
        <w:rPr>
          <w:rStyle w:val="FootnoteReference"/>
          <w:lang w:val="es-ES"/>
        </w:rPr>
        <w:footnoteReference w:id="81"/>
      </w:r>
      <w:r w:rsidRPr="009257E7">
        <w:rPr>
          <w:lang w:val="es-ES"/>
        </w:rPr>
        <w:t>, la Corte Suprema sostuvo acuerdos de arbitraje obligatorio que exigen a l</w:t>
      </w:r>
      <w:r w:rsidR="006205C8" w:rsidRPr="009257E7">
        <w:rPr>
          <w:lang w:val="es-ES"/>
        </w:rPr>
        <w:t>o</w:t>
      </w:r>
      <w:r w:rsidRPr="009257E7">
        <w:rPr>
          <w:lang w:val="es-ES"/>
        </w:rPr>
        <w:t xml:space="preserve">s reclamantes </w:t>
      </w:r>
      <w:r w:rsidR="006205C8" w:rsidRPr="009257E7">
        <w:rPr>
          <w:lang w:val="es-ES"/>
        </w:rPr>
        <w:t>que renuncien</w:t>
      </w:r>
      <w:r w:rsidRPr="009257E7">
        <w:rPr>
          <w:lang w:val="es-ES"/>
        </w:rPr>
        <w:t xml:space="preserve"> a sus derechos a acciones de clase o colectivas en disputas laborales, comerciales y de consumo. Como explica el académico </w:t>
      </w:r>
      <w:r w:rsidRPr="009257E7">
        <w:rPr>
          <w:lang w:val="es-ES"/>
        </w:rPr>
        <w:lastRenderedPageBreak/>
        <w:t>del derecho Eric Yamamoto, la Corte suprimió el activismo y la abogacía desde abajo al “desfavorecer de manera significativa las reclamaciones de quienes tienen menos poder bajo la apariencia de reformas neutrales de eficiencia”</w:t>
      </w:r>
      <w:r w:rsidR="00824AEC" w:rsidRPr="009257E7">
        <w:rPr>
          <w:rStyle w:val="FootnoteReference"/>
          <w:lang w:val="es-ES"/>
        </w:rPr>
        <w:footnoteReference w:id="82"/>
      </w:r>
      <w:r w:rsidRPr="009257E7">
        <w:rPr>
          <w:lang w:val="es-ES"/>
        </w:rPr>
        <w:t>:</w:t>
      </w:r>
    </w:p>
    <w:p w14:paraId="7A8A60B4" w14:textId="5ACE4F76" w:rsidR="00BB13E9" w:rsidRPr="009257E7" w:rsidRDefault="00BB13E9" w:rsidP="00824AEC">
      <w:pPr>
        <w:pStyle w:val="NormalWeb"/>
        <w:ind w:left="720"/>
        <w:rPr>
          <w:lang w:val="es-ES"/>
        </w:rPr>
      </w:pPr>
      <w:r w:rsidRPr="009257E7">
        <w:rPr>
          <w:lang w:val="es-ES"/>
        </w:rPr>
        <w:t xml:space="preserve">Las decisiones procesales de </w:t>
      </w:r>
      <w:r w:rsidRPr="009257E7">
        <w:rPr>
          <w:rStyle w:val="Emphasis"/>
          <w:lang w:val="es-ES"/>
        </w:rPr>
        <w:t>AMEX/Concepci</w:t>
      </w:r>
      <w:r w:rsidR="001C20B8" w:rsidRPr="009257E7">
        <w:rPr>
          <w:rStyle w:val="Emphasis"/>
          <w:lang w:val="es-ES"/>
        </w:rPr>
        <w:t>ó</w:t>
      </w:r>
      <w:r w:rsidRPr="009257E7">
        <w:rPr>
          <w:rStyle w:val="Emphasis"/>
          <w:lang w:val="es-ES"/>
        </w:rPr>
        <w:t>n</w:t>
      </w:r>
      <w:r w:rsidRPr="009257E7">
        <w:rPr>
          <w:lang w:val="es-ES"/>
        </w:rPr>
        <w:t xml:space="preserve"> transformaron el arbitraje obligatorio en una guía de supresión de reclamaciones de “hágalo usted mismo” para grandes compañías. Más aún, las decisiones de la mayoría conservadora benefician sustancialmente a las grandes empresas al mantener fuera de la vista pública los trapos sucios jurídicos que emplead</w:t>
      </w:r>
      <w:r w:rsidR="009930FF" w:rsidRPr="009257E7">
        <w:rPr>
          <w:lang w:val="es-ES"/>
        </w:rPr>
        <w:t>o</w:t>
      </w:r>
      <w:r w:rsidRPr="009257E7">
        <w:rPr>
          <w:lang w:val="es-ES"/>
        </w:rPr>
        <w:t>s, consumidores, inquilin</w:t>
      </w:r>
      <w:r w:rsidR="009930FF" w:rsidRPr="009257E7">
        <w:rPr>
          <w:lang w:val="es-ES"/>
        </w:rPr>
        <w:t>o</w:t>
      </w:r>
      <w:r w:rsidRPr="009257E7">
        <w:rPr>
          <w:lang w:val="es-ES"/>
        </w:rPr>
        <w:t>s, pequeñas empresas y reclamantes por discriminación buscaban ventilar.</w:t>
      </w:r>
    </w:p>
    <w:p w14:paraId="29ACCBCF" w14:textId="44260B59" w:rsidR="00BB13E9" w:rsidRPr="009257E7" w:rsidRDefault="00BB13E9" w:rsidP="009930FF">
      <w:pPr>
        <w:pStyle w:val="NormalWeb"/>
        <w:ind w:left="720"/>
        <w:rPr>
          <w:lang w:val="es-ES"/>
        </w:rPr>
      </w:pPr>
      <w:r w:rsidRPr="009257E7">
        <w:rPr>
          <w:lang w:val="es-ES"/>
        </w:rPr>
        <w:t xml:space="preserve">Las juezas Kagan y Ginsburg, y el juez Breyer, objetaron con fuerza. [...] Para les jueces disidentes, después de </w:t>
      </w:r>
      <w:r w:rsidRPr="009257E7">
        <w:rPr>
          <w:rStyle w:val="Emphasis"/>
          <w:lang w:val="es-ES"/>
        </w:rPr>
        <w:t>AMEX</w:t>
      </w:r>
      <w:r w:rsidRPr="009257E7">
        <w:rPr>
          <w:lang w:val="es-ES"/>
        </w:rPr>
        <w:t xml:space="preserve"> y </w:t>
      </w:r>
      <w:r w:rsidRPr="009257E7">
        <w:rPr>
          <w:rStyle w:val="Emphasis"/>
          <w:lang w:val="es-ES"/>
        </w:rPr>
        <w:t>Concepci</w:t>
      </w:r>
      <w:r w:rsidR="009930FF" w:rsidRPr="009257E7">
        <w:rPr>
          <w:rStyle w:val="Emphasis"/>
          <w:lang w:val="es-ES"/>
        </w:rPr>
        <w:t>ó</w:t>
      </w:r>
      <w:r w:rsidRPr="009257E7">
        <w:rPr>
          <w:rStyle w:val="Emphasis"/>
          <w:lang w:val="es-ES"/>
        </w:rPr>
        <w:t>n</w:t>
      </w:r>
      <w:r w:rsidRPr="009257E7">
        <w:rPr>
          <w:lang w:val="es-ES"/>
        </w:rPr>
        <w:t>, la persecución [individual] de reclamaciones de valor pequeño o moderado contra grandes empresas o instituciones es “una misión inútil”. Y sin responsabilidad jurídica ni rendición de cuentas pública, esas empresas e instituciones tienen pocos incentivos para dejar de violar la ley de manera rentable.</w:t>
      </w:r>
    </w:p>
    <w:p w14:paraId="651385C2" w14:textId="0A632ABD" w:rsidR="00BB13E9" w:rsidRPr="009257E7" w:rsidRDefault="00BB13E9" w:rsidP="00A2256C">
      <w:pPr>
        <w:pStyle w:val="NormalWeb"/>
        <w:ind w:left="720"/>
        <w:rPr>
          <w:lang w:val="es-ES"/>
        </w:rPr>
      </w:pPr>
      <w:r w:rsidRPr="009257E7">
        <w:rPr>
          <w:lang w:val="es-ES"/>
        </w:rPr>
        <w:t xml:space="preserve">El rechazo del procedimiento crítico al mito de la neutralidad inherente de procedimientos facialmente uniformes, y su atención al contexto y las consecuencias, ayudan a desenterrar los fundamentos ideológicos de </w:t>
      </w:r>
      <w:r w:rsidRPr="009257E7">
        <w:rPr>
          <w:rStyle w:val="Emphasis"/>
          <w:lang w:val="es-ES"/>
        </w:rPr>
        <w:t>AMEX/Concepci</w:t>
      </w:r>
      <w:r w:rsidR="001C20B8" w:rsidRPr="009257E7">
        <w:rPr>
          <w:rStyle w:val="Emphasis"/>
          <w:lang w:val="es-ES"/>
        </w:rPr>
        <w:t>ó</w:t>
      </w:r>
      <w:r w:rsidRPr="009257E7">
        <w:rPr>
          <w:rStyle w:val="Emphasis"/>
          <w:lang w:val="es-ES"/>
        </w:rPr>
        <w:t>n</w:t>
      </w:r>
      <w:r w:rsidRPr="009257E7">
        <w:rPr>
          <w:lang w:val="es-ES"/>
        </w:rPr>
        <w:t>.</w:t>
      </w:r>
    </w:p>
    <w:p w14:paraId="38FF6135" w14:textId="33D402BA" w:rsidR="00BB13E9" w:rsidRPr="009257E7" w:rsidRDefault="00BB13E9" w:rsidP="001C20B8">
      <w:pPr>
        <w:pStyle w:val="NormalWeb"/>
        <w:ind w:left="720"/>
        <w:rPr>
          <w:lang w:val="es-ES"/>
        </w:rPr>
      </w:pPr>
      <w:r w:rsidRPr="009257E7">
        <w:rPr>
          <w:lang w:val="es-ES"/>
        </w:rPr>
        <w:t>[...] Esos [...] casos no son decisiones aisladas</w:t>
      </w:r>
      <w:r w:rsidR="001C20B8" w:rsidRPr="009257E7">
        <w:rPr>
          <w:lang w:val="es-ES"/>
        </w:rPr>
        <w:t>,</w:t>
      </w:r>
      <w:r w:rsidRPr="009257E7">
        <w:rPr>
          <w:lang w:val="es-ES"/>
        </w:rPr>
        <w:t xml:space="preserve"> s</w:t>
      </w:r>
      <w:r w:rsidR="001C20B8" w:rsidRPr="009257E7">
        <w:rPr>
          <w:lang w:val="es-ES"/>
        </w:rPr>
        <w:t>ino parte d</w:t>
      </w:r>
      <w:r w:rsidRPr="009257E7">
        <w:rPr>
          <w:lang w:val="es-ES"/>
        </w:rPr>
        <w:t>e una resolución de disputas más eficiente. [...]</w:t>
      </w:r>
    </w:p>
    <w:p w14:paraId="38410027" w14:textId="42B84D7A" w:rsidR="00BB13E9" w:rsidRPr="009257E7" w:rsidRDefault="00BB13E9" w:rsidP="001C20B8">
      <w:pPr>
        <w:pStyle w:val="NormalWeb"/>
        <w:ind w:left="720"/>
        <w:rPr>
          <w:lang w:val="es-ES"/>
        </w:rPr>
      </w:pPr>
      <w:r w:rsidRPr="009257E7">
        <w:rPr>
          <w:lang w:val="es-ES"/>
        </w:rPr>
        <w:t xml:space="preserve">El procedimiento crítico revela el impacto de las decisiones </w:t>
      </w:r>
      <w:r w:rsidR="001C20B8" w:rsidRPr="009257E7">
        <w:rPr>
          <w:lang w:val="es-ES"/>
        </w:rPr>
        <w:t xml:space="preserve">de </w:t>
      </w:r>
      <w:r w:rsidRPr="009257E7">
        <w:rPr>
          <w:rStyle w:val="Emphasis"/>
          <w:lang w:val="es-ES"/>
        </w:rPr>
        <w:t>AMEX/Concepci</w:t>
      </w:r>
      <w:r w:rsidR="001C20B8" w:rsidRPr="009257E7">
        <w:rPr>
          <w:rStyle w:val="Emphasis"/>
          <w:lang w:val="es-ES"/>
        </w:rPr>
        <w:t>ó</w:t>
      </w:r>
      <w:r w:rsidRPr="009257E7">
        <w:rPr>
          <w:rStyle w:val="Emphasis"/>
          <w:lang w:val="es-ES"/>
        </w:rPr>
        <w:t>n</w:t>
      </w:r>
      <w:r w:rsidRPr="009257E7">
        <w:rPr>
          <w:lang w:val="es-ES"/>
        </w:rPr>
        <w:t xml:space="preserve"> y de la restricción conservadora [...] </w:t>
      </w:r>
      <w:r w:rsidR="001C20B8" w:rsidRPr="009257E7">
        <w:rPr>
          <w:lang w:val="es-ES"/>
        </w:rPr>
        <w:t xml:space="preserve">sobre </w:t>
      </w:r>
      <w:r w:rsidRPr="009257E7">
        <w:rPr>
          <w:lang w:val="es-ES"/>
        </w:rPr>
        <w:t xml:space="preserve">el acceso a los tribunales y el desarrollo de </w:t>
      </w:r>
      <w:r w:rsidR="001C20B8" w:rsidRPr="009257E7">
        <w:rPr>
          <w:lang w:val="es-ES"/>
        </w:rPr>
        <w:t xml:space="preserve">las </w:t>
      </w:r>
      <w:r w:rsidRPr="009257E7">
        <w:rPr>
          <w:lang w:val="es-ES"/>
        </w:rPr>
        <w:t>reclamaciones. En palabras del juez Young, en el epígrafe, “[d]e forma ominosa, las empresas tienen una buena oportunidad de salirse por completo del sistema jurídico y portarse mal sin reproche”. [...] Al final, no se trata solo del procedimiento. Se trata del poder y de la ventaja sustantiva de un</w:t>
      </w:r>
      <w:r w:rsidR="00B6676E" w:rsidRPr="009257E7">
        <w:rPr>
          <w:lang w:val="es-ES"/>
        </w:rPr>
        <w:t>o</w:t>
      </w:r>
      <w:r w:rsidRPr="009257E7">
        <w:rPr>
          <w:lang w:val="es-ES"/>
        </w:rPr>
        <w:t>s sobre otr</w:t>
      </w:r>
      <w:r w:rsidR="00B6676E" w:rsidRPr="009257E7">
        <w:rPr>
          <w:lang w:val="es-ES"/>
        </w:rPr>
        <w:t>o</w:t>
      </w:r>
      <w:r w:rsidRPr="009257E7">
        <w:rPr>
          <w:lang w:val="es-ES"/>
        </w:rPr>
        <w:t>s. Se trata de injusticia —o justicia— para personas y comunidades. “No se deje engañar”.</w:t>
      </w:r>
      <w:r w:rsidR="002616AD" w:rsidRPr="009257E7">
        <w:rPr>
          <w:rStyle w:val="FootnoteReference"/>
          <w:lang w:val="es-ES"/>
        </w:rPr>
        <w:footnoteReference w:id="83"/>
      </w:r>
    </w:p>
    <w:p w14:paraId="67F54EDB" w14:textId="1F1A899A" w:rsidR="00E26B17" w:rsidRPr="009257E7" w:rsidRDefault="00E26B17" w:rsidP="00A276E0">
      <w:pPr>
        <w:pStyle w:val="NormalWeb"/>
        <w:ind w:firstLine="720"/>
        <w:rPr>
          <w:lang w:val="es-ES"/>
        </w:rPr>
      </w:pPr>
      <w:r w:rsidRPr="009257E7">
        <w:rPr>
          <w:lang w:val="es-ES"/>
        </w:rPr>
        <w:t>Pero el derecho civil no es la única arma del plan de Powell. Como se señaló, la violencia de la criminalización y el encarcelamiento es clave para su éxito. No por c</w:t>
      </w:r>
      <w:r w:rsidR="00E25A30" w:rsidRPr="009257E7">
        <w:rPr>
          <w:lang w:val="es-ES"/>
        </w:rPr>
        <w:t>asualidad</w:t>
      </w:r>
      <w:r w:rsidRPr="009257E7">
        <w:rPr>
          <w:lang w:val="es-ES"/>
        </w:rPr>
        <w:t>, desde el memorando de Powell de la década de 1970, las élites han usado el derecho penal para limitar la acción colectiva que amenaza el statu quo.</w:t>
      </w:r>
    </w:p>
    <w:p w14:paraId="48DF0658" w14:textId="724CF547" w:rsidR="00E26B17" w:rsidRPr="009257E7" w:rsidRDefault="00E26B17" w:rsidP="00E25A30">
      <w:pPr>
        <w:pStyle w:val="NormalWeb"/>
        <w:ind w:firstLine="720"/>
        <w:rPr>
          <w:lang w:val="es-ES"/>
        </w:rPr>
      </w:pPr>
      <w:r w:rsidRPr="009257E7">
        <w:rPr>
          <w:lang w:val="es-ES"/>
        </w:rPr>
        <w:t xml:space="preserve">Un ejemplo vigente es el uso indebido de la ley federal </w:t>
      </w:r>
      <w:proofErr w:type="spellStart"/>
      <w:r w:rsidRPr="009257E7">
        <w:rPr>
          <w:rStyle w:val="Emphasis"/>
          <w:lang w:val="es-ES"/>
        </w:rPr>
        <w:t>Racketeer</w:t>
      </w:r>
      <w:proofErr w:type="spellEnd"/>
      <w:r w:rsidRPr="009257E7">
        <w:rPr>
          <w:rStyle w:val="Emphasis"/>
          <w:lang w:val="es-ES"/>
        </w:rPr>
        <w:t xml:space="preserve"> </w:t>
      </w:r>
      <w:proofErr w:type="spellStart"/>
      <w:r w:rsidRPr="009257E7">
        <w:rPr>
          <w:rStyle w:val="Emphasis"/>
          <w:lang w:val="es-ES"/>
        </w:rPr>
        <w:t>Influenced</w:t>
      </w:r>
      <w:proofErr w:type="spellEnd"/>
      <w:r w:rsidRPr="009257E7">
        <w:rPr>
          <w:rStyle w:val="Emphasis"/>
          <w:lang w:val="es-ES"/>
        </w:rPr>
        <w:t xml:space="preserve"> and </w:t>
      </w:r>
      <w:proofErr w:type="spellStart"/>
      <w:r w:rsidRPr="009257E7">
        <w:rPr>
          <w:rStyle w:val="Emphasis"/>
          <w:lang w:val="es-ES"/>
        </w:rPr>
        <w:t>Corrupt</w:t>
      </w:r>
      <w:proofErr w:type="spellEnd"/>
      <w:r w:rsidRPr="009257E7">
        <w:rPr>
          <w:rStyle w:val="Emphasis"/>
          <w:lang w:val="es-ES"/>
        </w:rPr>
        <w:t xml:space="preserve"> </w:t>
      </w:r>
      <w:proofErr w:type="spellStart"/>
      <w:r w:rsidRPr="009257E7">
        <w:rPr>
          <w:rStyle w:val="Emphasis"/>
          <w:lang w:val="es-ES"/>
        </w:rPr>
        <w:t>Organizations</w:t>
      </w:r>
      <w:proofErr w:type="spellEnd"/>
      <w:r w:rsidRPr="009257E7">
        <w:rPr>
          <w:rStyle w:val="Emphasis"/>
          <w:lang w:val="es-ES"/>
        </w:rPr>
        <w:t xml:space="preserve"> </w:t>
      </w:r>
      <w:proofErr w:type="spellStart"/>
      <w:r w:rsidRPr="009257E7">
        <w:rPr>
          <w:rStyle w:val="Emphasis"/>
          <w:lang w:val="es-ES"/>
        </w:rPr>
        <w:t>Act</w:t>
      </w:r>
      <w:proofErr w:type="spellEnd"/>
      <w:r w:rsidRPr="009257E7">
        <w:rPr>
          <w:lang w:val="es-ES"/>
        </w:rPr>
        <w:t xml:space="preserve"> —RICO—, aprobada con el objetivo explícito de criminalizar a actores sociales y de mercado considerados indeseables, mientras protegía a quienes eran vistos como legítimos. Aunque estaba dirigida explícitamente a “organizaciones corruptas e influenciadas por el crimen organizado”, la pregunta abierta era qué colectividades serían consideradas como tales, por quién y de qué manera. La experiencia de RICO muestra que l</w:t>
      </w:r>
      <w:r w:rsidR="00E25A30" w:rsidRPr="009257E7">
        <w:rPr>
          <w:lang w:val="es-ES"/>
        </w:rPr>
        <w:t>o</w:t>
      </w:r>
      <w:r w:rsidRPr="009257E7">
        <w:rPr>
          <w:lang w:val="es-ES"/>
        </w:rPr>
        <w:t xml:space="preserve">s fiscales pueden usarla </w:t>
      </w:r>
      <w:r w:rsidRPr="009257E7">
        <w:rPr>
          <w:lang w:val="es-ES"/>
        </w:rPr>
        <w:lastRenderedPageBreak/>
        <w:t xml:space="preserve">contra prácticamente cualquier grupo que no les agrade. El académico del derecho penal </w:t>
      </w:r>
      <w:proofErr w:type="spellStart"/>
      <w:r w:rsidRPr="009257E7">
        <w:rPr>
          <w:lang w:val="es-ES"/>
        </w:rPr>
        <w:t>Benjamin</w:t>
      </w:r>
      <w:proofErr w:type="spellEnd"/>
      <w:r w:rsidRPr="009257E7">
        <w:rPr>
          <w:lang w:val="es-ES"/>
        </w:rPr>
        <w:t xml:space="preserve"> Levin destaca que RICO fue aprobada en la misma época en que se </w:t>
      </w:r>
      <w:r w:rsidR="00E25A30" w:rsidRPr="009257E7">
        <w:rPr>
          <w:lang w:val="es-ES"/>
        </w:rPr>
        <w:t>redact</w:t>
      </w:r>
      <w:r w:rsidRPr="009257E7">
        <w:rPr>
          <w:lang w:val="es-ES"/>
        </w:rPr>
        <w:t xml:space="preserve">ó el memorando de Powell. Al igual que el memorando, esta ley reacciona al mismo deseo elitista de frenar el progreso y consolidar el poder frente a los desafíos vigorosos de los movimientos por los derechos civiles, los derechos de las mujeres, el </w:t>
      </w:r>
      <w:r w:rsidR="00E25A30" w:rsidRPr="009257E7">
        <w:rPr>
          <w:lang w:val="es-ES"/>
        </w:rPr>
        <w:t xml:space="preserve">medio </w:t>
      </w:r>
      <w:r w:rsidRPr="009257E7">
        <w:rPr>
          <w:lang w:val="es-ES"/>
        </w:rPr>
        <w:t xml:space="preserve">ambiente y los derechos de </w:t>
      </w:r>
      <w:r w:rsidR="00E25A30" w:rsidRPr="009257E7">
        <w:rPr>
          <w:lang w:val="es-ES"/>
        </w:rPr>
        <w:t xml:space="preserve">los </w:t>
      </w:r>
      <w:r w:rsidRPr="009257E7">
        <w:rPr>
          <w:lang w:val="es-ES"/>
        </w:rPr>
        <w:t xml:space="preserve">consumidores. En este contexto, RICO pretende trazar una línea clara entre actores y acciones legítimas del mercado y actores y acciones ilegítimas. </w:t>
      </w:r>
      <w:r w:rsidR="00422B2A" w:rsidRPr="009257E7">
        <w:rPr>
          <w:lang w:val="es-ES"/>
        </w:rPr>
        <w:t>C</w:t>
      </w:r>
      <w:r w:rsidRPr="009257E7">
        <w:rPr>
          <w:lang w:val="es-ES"/>
        </w:rPr>
        <w:t>omo señala Levin, ha sido u</w:t>
      </w:r>
      <w:r w:rsidR="00422B2A" w:rsidRPr="009257E7">
        <w:rPr>
          <w:lang w:val="es-ES"/>
        </w:rPr>
        <w:t>tiliz</w:t>
      </w:r>
      <w:r w:rsidRPr="009257E7">
        <w:rPr>
          <w:lang w:val="es-ES"/>
        </w:rPr>
        <w:t>ada para “procesamientos por conspiración infligidos políticamente”</w:t>
      </w:r>
      <w:r w:rsidR="001B2E91" w:rsidRPr="009257E7">
        <w:rPr>
          <w:rStyle w:val="FootnoteReference"/>
          <w:lang w:val="es-ES"/>
        </w:rPr>
        <w:footnoteReference w:id="84"/>
      </w:r>
      <w:r w:rsidRPr="009257E7">
        <w:rPr>
          <w:lang w:val="es-ES"/>
        </w:rPr>
        <w:t>. Tales procesos pueden haber eliminado</w:t>
      </w:r>
      <w:r w:rsidR="001B2E91" w:rsidRPr="009257E7">
        <w:rPr>
          <w:lang w:val="es-ES"/>
        </w:rPr>
        <w:t xml:space="preserve"> la</w:t>
      </w:r>
      <w:r w:rsidRPr="009257E7">
        <w:rPr>
          <w:lang w:val="es-ES"/>
        </w:rPr>
        <w:t xml:space="preserve"> corrupción organizada en algunos sindicatos, pero también pueden haber apuntado contra líderes sindicales que amenazaban con desafiar el poder corporativo. Así, RICO traza una línea entre lo “legítimo” y lo “ilegítimo”</w:t>
      </w:r>
      <w:r w:rsidR="001B2E91" w:rsidRPr="009257E7">
        <w:rPr>
          <w:lang w:val="es-ES"/>
        </w:rPr>
        <w:t>, lo</w:t>
      </w:r>
      <w:r w:rsidRPr="009257E7">
        <w:rPr>
          <w:lang w:val="es-ES"/>
        </w:rPr>
        <w:t xml:space="preserve"> que </w:t>
      </w:r>
      <w:r w:rsidR="001B2E91" w:rsidRPr="009257E7">
        <w:rPr>
          <w:lang w:val="es-ES"/>
        </w:rPr>
        <w:t>constituye</w:t>
      </w:r>
      <w:r w:rsidRPr="009257E7">
        <w:rPr>
          <w:lang w:val="es-ES"/>
        </w:rPr>
        <w:t xml:space="preserve"> una codificación parcial de la visión de</w:t>
      </w:r>
      <w:r w:rsidR="001B2E91" w:rsidRPr="009257E7">
        <w:rPr>
          <w:lang w:val="es-ES"/>
        </w:rPr>
        <w:t>l</w:t>
      </w:r>
      <w:r w:rsidRPr="009257E7">
        <w:rPr>
          <w:lang w:val="es-ES"/>
        </w:rPr>
        <w:t xml:space="preserve"> mundo del memorando de Powell. Como observa Levin:</w:t>
      </w:r>
    </w:p>
    <w:p w14:paraId="2F032F31" w14:textId="64EA00F4" w:rsidR="00E26B17" w:rsidRPr="009257E7" w:rsidRDefault="00E26B17" w:rsidP="001B2E91">
      <w:pPr>
        <w:pStyle w:val="NormalWeb"/>
        <w:ind w:left="720"/>
        <w:rPr>
          <w:lang w:val="es-ES"/>
        </w:rPr>
      </w:pPr>
      <w:r w:rsidRPr="009257E7">
        <w:rPr>
          <w:lang w:val="es-ES"/>
        </w:rPr>
        <w:t xml:space="preserve">[Dado su momento histórico junto al memorando de Powell], la aprobación de una ley que define el “negocio legítimo” y sugiere que proteger a estos actores legítimos de amenazas externas e “infiltración” responde al interés público resulta llamativa. [...] Al apuntar contra grupos que desafiaban el funcionamiento del mercado, la ley podría verse como una </w:t>
      </w:r>
      <w:proofErr w:type="spellStart"/>
      <w:r w:rsidRPr="009257E7">
        <w:rPr>
          <w:lang w:val="es-ES"/>
        </w:rPr>
        <w:t>deslaboralización</w:t>
      </w:r>
      <w:proofErr w:type="spellEnd"/>
      <w:r w:rsidRPr="009257E7">
        <w:rPr>
          <w:lang w:val="es-ES"/>
        </w:rPr>
        <w:t xml:space="preserve"> de la cultura, una renaturalización del mercado y una desacreditación de fuerzas que podrían desafiar la ortodoxia neoliberal </w:t>
      </w:r>
      <w:r w:rsidR="00DC1FC3" w:rsidRPr="009257E7">
        <w:rPr>
          <w:lang w:val="es-ES"/>
        </w:rPr>
        <w:t>en ciernes</w:t>
      </w:r>
      <w:r w:rsidRPr="009257E7">
        <w:rPr>
          <w:lang w:val="es-ES"/>
        </w:rPr>
        <w:t xml:space="preserve">. Es decir, mientras que décadas antes el trabajo organizado había sido </w:t>
      </w:r>
      <w:r w:rsidR="00DC1FC3" w:rsidRPr="009257E7">
        <w:rPr>
          <w:lang w:val="es-ES"/>
        </w:rPr>
        <w:t>considerad</w:t>
      </w:r>
      <w:r w:rsidRPr="009257E7">
        <w:rPr>
          <w:lang w:val="es-ES"/>
        </w:rPr>
        <w:t xml:space="preserve">o crucial para la democracia y el modo de vida estadounidense, la ley enfatizó el papel antidemocrático y pernicioso que los actores colectivos podían </w:t>
      </w:r>
      <w:r w:rsidR="00DC1FC3" w:rsidRPr="009257E7">
        <w:rPr>
          <w:lang w:val="es-ES"/>
        </w:rPr>
        <w:t>desempeña</w:t>
      </w:r>
      <w:r w:rsidRPr="009257E7">
        <w:rPr>
          <w:lang w:val="es-ES"/>
        </w:rPr>
        <w:t>r en la estructura de la vida social y económica estadounidense.</w:t>
      </w:r>
    </w:p>
    <w:p w14:paraId="283640BF" w14:textId="214DBCA3" w:rsidR="00E26B17" w:rsidRPr="009257E7" w:rsidRDefault="00E26B17" w:rsidP="001B2E91">
      <w:pPr>
        <w:pStyle w:val="NormalWeb"/>
        <w:ind w:left="720"/>
        <w:rPr>
          <w:lang w:val="es-ES"/>
        </w:rPr>
      </w:pPr>
      <w:r w:rsidRPr="009257E7">
        <w:rPr>
          <w:lang w:val="es-ES"/>
        </w:rPr>
        <w:t xml:space="preserve">[...] RICO [surgió] [...] </w:t>
      </w:r>
      <w:r w:rsidR="00461952" w:rsidRPr="009257E7">
        <w:rPr>
          <w:lang w:val="es-ES"/>
        </w:rPr>
        <w:t>en</w:t>
      </w:r>
      <w:r w:rsidRPr="009257E7">
        <w:rPr>
          <w:lang w:val="es-ES"/>
        </w:rPr>
        <w:t xml:space="preserve"> un período en</w:t>
      </w:r>
      <w:r w:rsidR="00461952" w:rsidRPr="009257E7">
        <w:rPr>
          <w:lang w:val="es-ES"/>
        </w:rPr>
        <w:t xml:space="preserve"> el</w:t>
      </w:r>
      <w:r w:rsidRPr="009257E7">
        <w:rPr>
          <w:lang w:val="es-ES"/>
        </w:rPr>
        <w:t xml:space="preserve"> que </w:t>
      </w:r>
      <w:r w:rsidR="00461952" w:rsidRPr="009257E7">
        <w:rPr>
          <w:lang w:val="es-ES"/>
        </w:rPr>
        <w:t xml:space="preserve">los </w:t>
      </w:r>
      <w:r w:rsidRPr="009257E7">
        <w:rPr>
          <w:lang w:val="es-ES"/>
        </w:rPr>
        <w:t xml:space="preserve">actores políticos buscaban redefinir los límites del mercado legítimo —o quizás formal— y de la acción colectiva legítima. Ubicada en este contexto cultural particular, la guerra contra el crimen organizado [...] fue una decisión políticamente marcada. [...] Ver RICO a través de [esta lente histórica] debería invitar [...] a investigar los intereses promovidos y obstaculizados por los procesos, así como a reexaminar normativamente qué tipos de acción de mercado deben </w:t>
      </w:r>
      <w:r w:rsidR="00461952" w:rsidRPr="009257E7">
        <w:rPr>
          <w:lang w:val="es-ES"/>
        </w:rPr>
        <w:t>consider</w:t>
      </w:r>
      <w:r w:rsidRPr="009257E7">
        <w:rPr>
          <w:lang w:val="es-ES"/>
        </w:rPr>
        <w:t>arse realmente “legítimos” y “corruptos”.</w:t>
      </w:r>
      <w:r w:rsidR="00AB73C2" w:rsidRPr="009257E7">
        <w:rPr>
          <w:rStyle w:val="FootnoteReference"/>
          <w:lang w:val="es-ES"/>
        </w:rPr>
        <w:footnoteReference w:id="85"/>
      </w:r>
    </w:p>
    <w:p w14:paraId="445E9FFA" w14:textId="142BDDFC" w:rsidR="00E26B17" w:rsidRPr="009257E7" w:rsidRDefault="00E26B17" w:rsidP="00AB73C2">
      <w:pPr>
        <w:pStyle w:val="NormalWeb"/>
        <w:ind w:firstLine="720"/>
        <w:rPr>
          <w:lang w:val="es-ES"/>
        </w:rPr>
      </w:pPr>
      <w:r w:rsidRPr="009257E7">
        <w:rPr>
          <w:lang w:val="es-ES"/>
        </w:rPr>
        <w:t xml:space="preserve">Como parte de la estrategia de Powell, RICO otorga gran poder a </w:t>
      </w:r>
      <w:r w:rsidR="00AB73C2" w:rsidRPr="009257E7">
        <w:rPr>
          <w:lang w:val="es-ES"/>
        </w:rPr>
        <w:t xml:space="preserve">los </w:t>
      </w:r>
      <w:r w:rsidRPr="009257E7">
        <w:rPr>
          <w:lang w:val="es-ES"/>
        </w:rPr>
        <w:t xml:space="preserve">actores estatales para presentar demandas penales bajo RICO y a </w:t>
      </w:r>
      <w:r w:rsidR="00AB73C2" w:rsidRPr="009257E7">
        <w:rPr>
          <w:lang w:val="es-ES"/>
        </w:rPr>
        <w:t xml:space="preserve">las </w:t>
      </w:r>
      <w:r w:rsidRPr="009257E7">
        <w:rPr>
          <w:lang w:val="es-ES"/>
        </w:rPr>
        <w:t xml:space="preserve">corporaciones para presentar demandas civiles bajo RICO, </w:t>
      </w:r>
      <w:r w:rsidR="00AB73C2" w:rsidRPr="009257E7">
        <w:rPr>
          <w:lang w:val="es-ES"/>
        </w:rPr>
        <w:t>con</w:t>
      </w:r>
      <w:r w:rsidRPr="009257E7">
        <w:rPr>
          <w:lang w:val="es-ES"/>
        </w:rPr>
        <w:t xml:space="preserve"> </w:t>
      </w:r>
      <w:r w:rsidR="00AB73C2" w:rsidRPr="009257E7">
        <w:rPr>
          <w:lang w:val="es-ES"/>
        </w:rPr>
        <w:t>el fin de</w:t>
      </w:r>
      <w:r w:rsidRPr="009257E7">
        <w:rPr>
          <w:lang w:val="es-ES"/>
        </w:rPr>
        <w:t xml:space="preserve"> suprimir la acción colectiva, incluida la acción de protesta. Las élites han recurrido a esta herramienta cuando les </w:t>
      </w:r>
      <w:r w:rsidR="00AB73C2" w:rsidRPr="009257E7">
        <w:rPr>
          <w:lang w:val="es-ES"/>
        </w:rPr>
        <w:t>ha resultado</w:t>
      </w:r>
      <w:r w:rsidRPr="009257E7">
        <w:rPr>
          <w:lang w:val="es-ES"/>
        </w:rPr>
        <w:t xml:space="preserve"> conveniente. Levin ofrece un ejemplo concreto de cómo las élites usan la democracia para promulgar leyes, impuestas mediante la adjudicación, con el fin de incapacitar cualquier desafío a su dominio. En otro ejemplo, Energy Transfer </w:t>
      </w:r>
      <w:proofErr w:type="spellStart"/>
      <w:r w:rsidRPr="009257E7">
        <w:rPr>
          <w:lang w:val="es-ES"/>
        </w:rPr>
        <w:t>Partners</w:t>
      </w:r>
      <w:proofErr w:type="spellEnd"/>
      <w:r w:rsidRPr="009257E7">
        <w:rPr>
          <w:lang w:val="es-ES"/>
        </w:rPr>
        <w:t xml:space="preserve">, con sede en Texas y desarrolladora del oleoducto Dakota Access, presentó en 2017 una demanda RICO contra los grupos ambientales </w:t>
      </w:r>
      <w:proofErr w:type="spellStart"/>
      <w:r w:rsidRPr="009257E7">
        <w:rPr>
          <w:lang w:val="es-ES"/>
        </w:rPr>
        <w:t>BankTrack</w:t>
      </w:r>
      <w:proofErr w:type="spellEnd"/>
      <w:r w:rsidRPr="009257E7">
        <w:rPr>
          <w:lang w:val="es-ES"/>
        </w:rPr>
        <w:t xml:space="preserve">, Greenpeace y Earth First, </w:t>
      </w:r>
      <w:r w:rsidR="00636A05" w:rsidRPr="009257E7">
        <w:rPr>
          <w:lang w:val="es-ES"/>
        </w:rPr>
        <w:t>así como</w:t>
      </w:r>
      <w:r w:rsidRPr="009257E7">
        <w:rPr>
          <w:lang w:val="es-ES"/>
        </w:rPr>
        <w:t xml:space="preserve"> contra activistas individuales que protestaron o apoyaron las manifestaciones contra el oleoducto. Entre las personas demandadas estaba Krystal Two Bulls, organizadora indígena, representada por el Center </w:t>
      </w:r>
      <w:proofErr w:type="spellStart"/>
      <w:r w:rsidRPr="009257E7">
        <w:rPr>
          <w:lang w:val="es-ES"/>
        </w:rPr>
        <w:t>for</w:t>
      </w:r>
      <w:proofErr w:type="spellEnd"/>
      <w:r w:rsidRPr="009257E7">
        <w:rPr>
          <w:lang w:val="es-ES"/>
        </w:rPr>
        <w:t xml:space="preserve"> </w:t>
      </w:r>
      <w:proofErr w:type="spellStart"/>
      <w:r w:rsidRPr="009257E7">
        <w:rPr>
          <w:lang w:val="es-ES"/>
        </w:rPr>
        <w:t>Constitutional</w:t>
      </w:r>
      <w:proofErr w:type="spellEnd"/>
      <w:r w:rsidRPr="009257E7">
        <w:rPr>
          <w:lang w:val="es-ES"/>
        </w:rPr>
        <w:t xml:space="preserve"> </w:t>
      </w:r>
      <w:proofErr w:type="spellStart"/>
      <w:r w:rsidRPr="009257E7">
        <w:rPr>
          <w:lang w:val="es-ES"/>
        </w:rPr>
        <w:t>Rights</w:t>
      </w:r>
      <w:proofErr w:type="spellEnd"/>
      <w:r w:rsidRPr="009257E7">
        <w:rPr>
          <w:lang w:val="es-ES"/>
        </w:rPr>
        <w:t xml:space="preserve"> y </w:t>
      </w:r>
      <w:proofErr w:type="spellStart"/>
      <w:r w:rsidRPr="009257E7">
        <w:rPr>
          <w:lang w:val="es-ES"/>
        </w:rPr>
        <w:t>EarthRights</w:t>
      </w:r>
      <w:proofErr w:type="spellEnd"/>
      <w:r w:rsidRPr="009257E7">
        <w:rPr>
          <w:lang w:val="es-ES"/>
        </w:rPr>
        <w:t xml:space="preserve"> </w:t>
      </w:r>
      <w:r w:rsidRPr="009257E7">
        <w:rPr>
          <w:lang w:val="es-ES"/>
        </w:rPr>
        <w:lastRenderedPageBreak/>
        <w:t>International. La Sra. Two Bulls describió la demanda como un esfuerzo para suprimir la protesta:</w:t>
      </w:r>
    </w:p>
    <w:p w14:paraId="7D2C0352" w14:textId="55FE4B7E" w:rsidR="00E26B17" w:rsidRPr="009257E7" w:rsidRDefault="00E26B17" w:rsidP="00DE21FA">
      <w:pPr>
        <w:pStyle w:val="NormalWeb"/>
        <w:ind w:left="720"/>
        <w:rPr>
          <w:lang w:val="es-ES"/>
        </w:rPr>
      </w:pPr>
      <w:r w:rsidRPr="009257E7">
        <w:rPr>
          <w:lang w:val="es-ES"/>
        </w:rPr>
        <w:t xml:space="preserve">Como mujer </w:t>
      </w:r>
      <w:proofErr w:type="spellStart"/>
      <w:r w:rsidRPr="009257E7">
        <w:rPr>
          <w:lang w:val="es-ES"/>
        </w:rPr>
        <w:t>oglala</w:t>
      </w:r>
      <w:proofErr w:type="spellEnd"/>
      <w:r w:rsidRPr="009257E7">
        <w:rPr>
          <w:lang w:val="es-ES"/>
        </w:rPr>
        <w:t xml:space="preserve"> y </w:t>
      </w:r>
      <w:proofErr w:type="spellStart"/>
      <w:r w:rsidRPr="009257E7">
        <w:rPr>
          <w:lang w:val="es-ES"/>
        </w:rPr>
        <w:t>cheyenne</w:t>
      </w:r>
      <w:proofErr w:type="spellEnd"/>
      <w:r w:rsidRPr="009257E7">
        <w:rPr>
          <w:lang w:val="es-ES"/>
        </w:rPr>
        <w:t xml:space="preserve"> del norte, y veterana del Ejército de Estados Unidos, conozco bien los impactos que el capitalismo y el militarismo tienen sobre nuestro país, nuestras comunidades, nuestra cultura y nuestros pueblos. El capitalismo y el militarismo son solo continuaciones de la colonización. Creo que necesitamos desplazar nuestro enfoque de estas demandas ridículas hacia los problemas más amplios del capitalismo y </w:t>
      </w:r>
      <w:r w:rsidR="00DE21FA" w:rsidRPr="009257E7">
        <w:rPr>
          <w:lang w:val="es-ES"/>
        </w:rPr>
        <w:t>d</w:t>
      </w:r>
      <w:r w:rsidRPr="009257E7">
        <w:rPr>
          <w:lang w:val="es-ES"/>
        </w:rPr>
        <w:t xml:space="preserve">el militarismo, y hacia cómo los derechos de las corporaciones superan los derechos del </w:t>
      </w:r>
      <w:r w:rsidR="00DE21FA" w:rsidRPr="009257E7">
        <w:rPr>
          <w:lang w:val="es-ES"/>
        </w:rPr>
        <w:t>p</w:t>
      </w:r>
      <w:r w:rsidRPr="009257E7">
        <w:rPr>
          <w:lang w:val="es-ES"/>
        </w:rPr>
        <w:t>ueblo en este país.</w:t>
      </w:r>
      <w:r w:rsidR="00873F65" w:rsidRPr="009257E7">
        <w:rPr>
          <w:rStyle w:val="FootnoteReference"/>
          <w:lang w:val="es-ES"/>
        </w:rPr>
        <w:footnoteReference w:id="86"/>
      </w:r>
    </w:p>
    <w:p w14:paraId="1C886843" w14:textId="77C07812" w:rsidR="00E26B17" w:rsidRPr="009257E7" w:rsidRDefault="00E26B17" w:rsidP="00873F65">
      <w:pPr>
        <w:pStyle w:val="NormalWeb"/>
        <w:ind w:firstLine="720"/>
        <w:rPr>
          <w:lang w:val="es-ES"/>
        </w:rPr>
      </w:pPr>
      <w:r w:rsidRPr="009257E7">
        <w:rPr>
          <w:lang w:val="es-ES"/>
        </w:rPr>
        <w:t xml:space="preserve">La demanda fue desestimada en 2019, pero este tipo de demandas grava los recursos y </w:t>
      </w:r>
      <w:r w:rsidR="00873F65" w:rsidRPr="009257E7">
        <w:rPr>
          <w:lang w:val="es-ES"/>
        </w:rPr>
        <w:t>gener</w:t>
      </w:r>
      <w:r w:rsidRPr="009257E7">
        <w:rPr>
          <w:lang w:val="es-ES"/>
        </w:rPr>
        <w:t>a tensiones enormes</w:t>
      </w:r>
      <w:r w:rsidR="00873F65" w:rsidRPr="009257E7">
        <w:rPr>
          <w:lang w:val="es-ES"/>
        </w:rPr>
        <w:t>,</w:t>
      </w:r>
      <w:r w:rsidRPr="009257E7">
        <w:rPr>
          <w:lang w:val="es-ES"/>
        </w:rPr>
        <w:t xml:space="preserve"> </w:t>
      </w:r>
      <w:r w:rsidR="00873F65" w:rsidRPr="009257E7">
        <w:rPr>
          <w:lang w:val="es-ES"/>
        </w:rPr>
        <w:t>independientemente</w:t>
      </w:r>
      <w:r w:rsidRPr="009257E7">
        <w:rPr>
          <w:lang w:val="es-ES"/>
        </w:rPr>
        <w:t xml:space="preserve"> </w:t>
      </w:r>
      <w:r w:rsidR="00873F65" w:rsidRPr="009257E7">
        <w:rPr>
          <w:lang w:val="es-ES"/>
        </w:rPr>
        <w:t>de</w:t>
      </w:r>
      <w:r w:rsidRPr="009257E7">
        <w:rPr>
          <w:lang w:val="es-ES"/>
        </w:rPr>
        <w:t xml:space="preserve"> su resultado. Usan el agotamiento y el miedo para forzar la sumisión. Cuando es necesario, usan toda la fuerza del derecho penal para exterminar expresiones y asociaciones lícitas que desafían el poder de las élites o su manual</w:t>
      </w:r>
      <w:r w:rsidR="00052685" w:rsidRPr="009257E7">
        <w:rPr>
          <w:rStyle w:val="FootnoteReference"/>
          <w:lang w:val="es-ES"/>
        </w:rPr>
        <w:footnoteReference w:id="87"/>
      </w:r>
      <w:r w:rsidRPr="009257E7">
        <w:rPr>
          <w:lang w:val="es-ES"/>
        </w:rPr>
        <w:t>.</w:t>
      </w:r>
    </w:p>
    <w:p w14:paraId="59575918" w14:textId="77777777" w:rsidR="0056644C" w:rsidRPr="009257E7" w:rsidRDefault="00E26B17" w:rsidP="0056644C">
      <w:pPr>
        <w:pStyle w:val="NormalWeb"/>
        <w:ind w:firstLine="720"/>
        <w:rPr>
          <w:lang w:val="es-ES"/>
        </w:rPr>
      </w:pPr>
      <w:r w:rsidRPr="009257E7">
        <w:rPr>
          <w:lang w:val="es-ES"/>
        </w:rPr>
        <w:t xml:space="preserve">El fenómeno no se limita a Estados Unidos. En la práctica, este proyecto elitista de dominación y subordinación se extiende hacia los sistemas internacionales, e implanta en las relaciones internacionales el mismo Desafío Crítico de usar el derecho para la justicia igualitaria. La globalización desde arriba está dedicada a la expansión y el crecimiento del capitalismo global, no al bienestar de las personas ubicadas abajo en las jerarquías globales. Al reflejar los legados del colonialismo y el imperialismo, este sistema globalizado expande y profundiza las prácticas del capitalismo racial para adaptar y preservar las castas identitarias originales y sus estructuras de apoyo en </w:t>
      </w:r>
      <w:r w:rsidR="0056644C" w:rsidRPr="009257E7">
        <w:rPr>
          <w:lang w:val="es-ES"/>
        </w:rPr>
        <w:t>los</w:t>
      </w:r>
      <w:r w:rsidRPr="009257E7">
        <w:rPr>
          <w:lang w:val="es-ES"/>
        </w:rPr>
        <w:t xml:space="preserve"> </w:t>
      </w:r>
      <w:r w:rsidR="0056644C" w:rsidRPr="009257E7">
        <w:rPr>
          <w:lang w:val="es-ES"/>
        </w:rPr>
        <w:t xml:space="preserve">ámbitos del </w:t>
      </w:r>
      <w:r w:rsidRPr="009257E7">
        <w:rPr>
          <w:lang w:val="es-ES"/>
        </w:rPr>
        <w:t xml:space="preserve">derecho, la cultura y la economía. El memorando de Powell no fue una simple reflexión. El seguimiento colectivo desde arriba ha sido implacable, despiadado y abundantemente financiado, a través de todas las fronteras, como muestran estos y otros ejemplos desde la década de 1970. Al mismo tiempo, este manual elitista sirve </w:t>
      </w:r>
      <w:r w:rsidR="0056644C" w:rsidRPr="009257E7">
        <w:rPr>
          <w:lang w:val="es-ES"/>
        </w:rPr>
        <w:t>de</w:t>
      </w:r>
      <w:r w:rsidRPr="009257E7">
        <w:rPr>
          <w:lang w:val="es-ES"/>
        </w:rPr>
        <w:t xml:space="preserve"> ejemplo para organizar y sostener la abogacía desde abajo.</w:t>
      </w:r>
    </w:p>
    <w:p w14:paraId="2C83AA5E" w14:textId="7091B181" w:rsidR="00CA52C7" w:rsidRPr="009257E7" w:rsidRDefault="008F5B70" w:rsidP="00467FA1">
      <w:pPr>
        <w:pStyle w:val="NormalWeb"/>
        <w:rPr>
          <w:lang w:val="es-ES"/>
        </w:rPr>
      </w:pPr>
      <w:r w:rsidRPr="009257E7">
        <w:rPr>
          <w:b/>
          <w:bCs/>
          <w:lang w:val="es-ES"/>
        </w:rPr>
        <w:t>2.3 El control del conocimiento en la educación y la cultura es fundamental para la dominación elitista del derecho y de otros sistemas</w:t>
      </w:r>
    </w:p>
    <w:p w14:paraId="04F225C6" w14:textId="742809D3" w:rsidR="00467FA1" w:rsidRPr="009257E7" w:rsidRDefault="00467FA1" w:rsidP="00CA52C7">
      <w:pPr>
        <w:pStyle w:val="NormalWeb"/>
        <w:ind w:firstLine="720"/>
        <w:rPr>
          <w:lang w:val="es-ES"/>
        </w:rPr>
      </w:pPr>
      <w:r w:rsidRPr="009257E7">
        <w:rPr>
          <w:lang w:val="es-ES"/>
        </w:rPr>
        <w:t xml:space="preserve">La dominación desde arriba de las élites sobre el derecho y la sociedad no se </w:t>
      </w:r>
      <w:r w:rsidR="00CA52C7" w:rsidRPr="009257E7">
        <w:rPr>
          <w:lang w:val="es-ES"/>
        </w:rPr>
        <w:t>limita</w:t>
      </w:r>
      <w:r w:rsidRPr="009257E7">
        <w:rPr>
          <w:lang w:val="es-ES"/>
        </w:rPr>
        <w:t xml:space="preserve"> únicamente a la represión política, jurídica, física y material, sino </w:t>
      </w:r>
      <w:r w:rsidR="00CA52C7" w:rsidRPr="009257E7">
        <w:rPr>
          <w:lang w:val="es-ES"/>
        </w:rPr>
        <w:t xml:space="preserve">que </w:t>
      </w:r>
      <w:r w:rsidRPr="009257E7">
        <w:rPr>
          <w:lang w:val="es-ES"/>
        </w:rPr>
        <w:t>también a</w:t>
      </w:r>
      <w:r w:rsidR="00CA52C7" w:rsidRPr="009257E7">
        <w:rPr>
          <w:lang w:val="es-ES"/>
        </w:rPr>
        <w:t>barca e</w:t>
      </w:r>
      <w:r w:rsidRPr="009257E7">
        <w:rPr>
          <w:lang w:val="es-ES"/>
        </w:rPr>
        <w:t>l control mental: el control mental masivo. En términos sistémicos y políticos, este control dirigido sobre la información, la percepción y la educación está diseñado para envalentonar a algun</w:t>
      </w:r>
      <w:r w:rsidR="00340488" w:rsidRPr="009257E7">
        <w:rPr>
          <w:lang w:val="es-ES"/>
        </w:rPr>
        <w:t>e</w:t>
      </w:r>
      <w:r w:rsidRPr="009257E7">
        <w:rPr>
          <w:lang w:val="es-ES"/>
        </w:rPr>
        <w:t>s y aterrorizar a otres en la reafirmación continua, coordinada, de sistemas de casta políticos y económicos</w:t>
      </w:r>
      <w:r w:rsidR="00340488" w:rsidRPr="009257E7">
        <w:rPr>
          <w:lang w:val="es-ES"/>
        </w:rPr>
        <w:t>,</w:t>
      </w:r>
      <w:r w:rsidRPr="009257E7">
        <w:rPr>
          <w:lang w:val="es-ES"/>
        </w:rPr>
        <w:t xml:space="preserve"> arraigados desde la conquista y el asentamiento coloniales. Gran parte de esta guerra epistemológica se enfoca en manipular la narración y la enseñanza de la historia desde los </w:t>
      </w:r>
      <w:r w:rsidRPr="009257E7">
        <w:rPr>
          <w:lang w:val="es-ES"/>
        </w:rPr>
        <w:lastRenderedPageBreak/>
        <w:t>primeros grados escolares en adelante</w:t>
      </w:r>
      <w:r w:rsidR="00D04E34" w:rsidRPr="009257E7">
        <w:rPr>
          <w:rStyle w:val="FootnoteReference"/>
          <w:lang w:val="es-ES"/>
        </w:rPr>
        <w:footnoteReference w:id="88"/>
      </w:r>
      <w:r w:rsidRPr="009257E7">
        <w:rPr>
          <w:lang w:val="es-ES"/>
        </w:rPr>
        <w:t xml:space="preserve">, pero estos esfuerzos también se extendieron mucho más allá de ese sistema, espacio o disciplina e incluyeron el </w:t>
      </w:r>
      <w:r w:rsidR="002B69DA" w:rsidRPr="009257E7">
        <w:rPr>
          <w:lang w:val="es-ES"/>
        </w:rPr>
        <w:t xml:space="preserve">ámbito del </w:t>
      </w:r>
      <w:r w:rsidRPr="009257E7">
        <w:rPr>
          <w:lang w:val="es-ES"/>
        </w:rPr>
        <w:t>derecho</w:t>
      </w:r>
      <w:r w:rsidR="007D31E9" w:rsidRPr="009257E7">
        <w:rPr>
          <w:rStyle w:val="FootnoteReference"/>
          <w:lang w:val="es-ES"/>
        </w:rPr>
        <w:footnoteReference w:id="89"/>
      </w:r>
      <w:r w:rsidRPr="009257E7">
        <w:rPr>
          <w:lang w:val="es-ES"/>
        </w:rPr>
        <w:t>.</w:t>
      </w:r>
    </w:p>
    <w:p w14:paraId="589FDF64" w14:textId="3A6C412B" w:rsidR="00467FA1" w:rsidRPr="009257E7" w:rsidRDefault="00467FA1" w:rsidP="007D31E9">
      <w:pPr>
        <w:pStyle w:val="NormalWeb"/>
        <w:ind w:firstLine="720"/>
        <w:rPr>
          <w:lang w:val="es-ES"/>
        </w:rPr>
      </w:pPr>
      <w:r w:rsidRPr="009257E7">
        <w:rPr>
          <w:lang w:val="es-ES"/>
        </w:rPr>
        <w:t xml:space="preserve">Este control dirigido de la educación y el conocimiento busca: </w:t>
      </w:r>
      <w:r w:rsidR="007F4CFA" w:rsidRPr="009257E7">
        <w:rPr>
          <w:lang w:val="es-ES"/>
        </w:rPr>
        <w:t>a</w:t>
      </w:r>
      <w:r w:rsidRPr="009257E7">
        <w:rPr>
          <w:lang w:val="es-ES"/>
        </w:rPr>
        <w:t xml:space="preserve">doctrinar a la juventud y moldear la conciencia hacia la conformidad incluso antes de que madure; manipular de forma constante los medios de comunicación para moldear la sociedad y la política pública; orientar ideológicamente las creencias y </w:t>
      </w:r>
      <w:r w:rsidR="007F4CFA" w:rsidRPr="009257E7">
        <w:rPr>
          <w:lang w:val="es-ES"/>
        </w:rPr>
        <w:t xml:space="preserve">las </w:t>
      </w:r>
      <w:r w:rsidRPr="009257E7">
        <w:rPr>
          <w:lang w:val="es-ES"/>
        </w:rPr>
        <w:t xml:space="preserve">conductas sociales; y propagar o suprimir información para promover una visión supremacista del mundo. Este uso de la educación y el conocimiento para la </w:t>
      </w:r>
      <w:r w:rsidR="007F4CFA" w:rsidRPr="009257E7">
        <w:rPr>
          <w:lang w:val="es-ES"/>
        </w:rPr>
        <w:t>a</w:t>
      </w:r>
      <w:r w:rsidRPr="009257E7">
        <w:rPr>
          <w:lang w:val="es-ES"/>
        </w:rPr>
        <w:t xml:space="preserve">doctrinación y la propaganda ejemplifica, por tanto, la relación violenta </w:t>
      </w:r>
      <w:r w:rsidR="0086228C" w:rsidRPr="009257E7">
        <w:rPr>
          <w:lang w:val="es-ES"/>
        </w:rPr>
        <w:t xml:space="preserve">y </w:t>
      </w:r>
      <w:r w:rsidRPr="009257E7">
        <w:rPr>
          <w:lang w:val="es-ES"/>
        </w:rPr>
        <w:t>continua entre el derecho, la identidad, la educación y el conocimiento</w:t>
      </w:r>
      <w:r w:rsidR="0086228C" w:rsidRPr="009257E7">
        <w:rPr>
          <w:lang w:val="es-ES"/>
        </w:rPr>
        <w:t>,</w:t>
      </w:r>
      <w:r w:rsidRPr="009257E7">
        <w:rPr>
          <w:lang w:val="es-ES"/>
        </w:rPr>
        <w:t xml:space="preserve"> a lo largo de la historia estadounidense. No sorprende que la Corte Suprema de Estados Unidos reconociera de forma unánime en </w:t>
      </w:r>
      <w:r w:rsidRPr="009257E7">
        <w:rPr>
          <w:rStyle w:val="Emphasis"/>
          <w:lang w:val="es-ES"/>
        </w:rPr>
        <w:t xml:space="preserve">Brown v. Board </w:t>
      </w:r>
      <w:proofErr w:type="spellStart"/>
      <w:r w:rsidRPr="009257E7">
        <w:rPr>
          <w:rStyle w:val="Emphasis"/>
          <w:lang w:val="es-ES"/>
        </w:rPr>
        <w:t>of</w:t>
      </w:r>
      <w:proofErr w:type="spellEnd"/>
      <w:r w:rsidRPr="009257E7">
        <w:rPr>
          <w:rStyle w:val="Emphasis"/>
          <w:lang w:val="es-ES"/>
        </w:rPr>
        <w:t xml:space="preserve"> </w:t>
      </w:r>
      <w:proofErr w:type="spellStart"/>
      <w:r w:rsidRPr="009257E7">
        <w:rPr>
          <w:rStyle w:val="Emphasis"/>
          <w:lang w:val="es-ES"/>
        </w:rPr>
        <w:t>Education</w:t>
      </w:r>
      <w:proofErr w:type="spellEnd"/>
      <w:r w:rsidRPr="009257E7">
        <w:rPr>
          <w:lang w:val="es-ES"/>
        </w:rPr>
        <w:t xml:space="preserve"> que la escolarización es probablemente la función más importante de la sociedad, para bien o para mal</w:t>
      </w:r>
      <w:r w:rsidR="00316E10" w:rsidRPr="009257E7">
        <w:rPr>
          <w:rStyle w:val="FootnoteReference"/>
          <w:lang w:val="es-ES"/>
        </w:rPr>
        <w:footnoteReference w:id="90"/>
      </w:r>
      <w:r w:rsidRPr="009257E7">
        <w:rPr>
          <w:lang w:val="es-ES"/>
        </w:rPr>
        <w:t>.</w:t>
      </w:r>
    </w:p>
    <w:p w14:paraId="0849DD97" w14:textId="6F933A22" w:rsidR="00467FA1" w:rsidRPr="009257E7" w:rsidRDefault="00467FA1" w:rsidP="00FA26DE">
      <w:pPr>
        <w:pStyle w:val="NormalWeb"/>
        <w:ind w:firstLine="720"/>
        <w:rPr>
          <w:lang w:val="es-ES"/>
        </w:rPr>
      </w:pPr>
      <w:r w:rsidRPr="009257E7">
        <w:rPr>
          <w:lang w:val="es-ES"/>
        </w:rPr>
        <w:t xml:space="preserve">Como ilustran de manera adecuada los hechos y la decisión en </w:t>
      </w:r>
      <w:r w:rsidRPr="009257E7">
        <w:rPr>
          <w:rStyle w:val="Emphasis"/>
          <w:lang w:val="es-ES"/>
        </w:rPr>
        <w:t>Brown</w:t>
      </w:r>
      <w:r w:rsidRPr="009257E7">
        <w:rPr>
          <w:lang w:val="es-ES"/>
        </w:rPr>
        <w:t>, las identidades sociales como la raza, el sexo, la religión y la clase se han usado para excluir o segregar a personas y grupos, con el fin de subordinar a algunes y privilegiar a otres mediante el acceso a la educación formal. Desde el principio, la educación en Estados Unidos y en otros lugares ha sido estructurada y operada para ayudar a crear y mantener una “élite de poder” basada en identidades sociales</w:t>
      </w:r>
      <w:r w:rsidR="00E472E6" w:rsidRPr="009257E7">
        <w:rPr>
          <w:rStyle w:val="FootnoteReference"/>
          <w:lang w:val="es-ES"/>
        </w:rPr>
        <w:footnoteReference w:id="91"/>
      </w:r>
      <w:r w:rsidRPr="009257E7">
        <w:rPr>
          <w:lang w:val="es-ES"/>
        </w:rPr>
        <w:t xml:space="preserve">. El ejemplo más reciente y marcado de esta campaña para controlar la sociedad mediante el conocimiento y la educación como política desde arriba se ve en </w:t>
      </w:r>
      <w:r w:rsidRPr="009257E7">
        <w:rPr>
          <w:rStyle w:val="Emphasis"/>
          <w:lang w:val="es-ES"/>
        </w:rPr>
        <w:t>Project 2025</w:t>
      </w:r>
      <w:r w:rsidRPr="009257E7">
        <w:rPr>
          <w:lang w:val="es-ES"/>
        </w:rPr>
        <w:t>, que ofrece una hoja de ruta más amplia para la dominación social y muestra cómo el control del conocimiento, la educación y la conciencia es integral a diseños más amplios desde arriba.</w:t>
      </w:r>
    </w:p>
    <w:p w14:paraId="14C6B0AA" w14:textId="1DF74DFB" w:rsidR="00467FA1" w:rsidRPr="009257E7" w:rsidRDefault="00467FA1" w:rsidP="00E472E6">
      <w:pPr>
        <w:pStyle w:val="NormalWeb"/>
        <w:ind w:firstLine="720"/>
        <w:rPr>
          <w:lang w:val="es-ES"/>
        </w:rPr>
      </w:pPr>
      <w:r w:rsidRPr="009257E7">
        <w:rPr>
          <w:lang w:val="es-ES"/>
        </w:rPr>
        <w:t xml:space="preserve">Sobre la base del plan elitista de largo plazo del memorando de Powell y antes de la elección de 2024, la Heritage </w:t>
      </w:r>
      <w:proofErr w:type="spellStart"/>
      <w:r w:rsidRPr="009257E7">
        <w:rPr>
          <w:lang w:val="es-ES"/>
        </w:rPr>
        <w:t>Foundation</w:t>
      </w:r>
      <w:proofErr w:type="spellEnd"/>
      <w:r w:rsidRPr="009257E7">
        <w:rPr>
          <w:lang w:val="es-ES"/>
        </w:rPr>
        <w:t xml:space="preserve"> —cuya formación fue inspirada por el memorando de Powell junto con decenas de otras organizaciones ideológicamente alineadas— preparó una lista de deseos de 900 páginas, conocida como </w:t>
      </w:r>
      <w:r w:rsidRPr="009257E7">
        <w:rPr>
          <w:rStyle w:val="Emphasis"/>
          <w:lang w:val="es-ES"/>
        </w:rPr>
        <w:t>Project 2025</w:t>
      </w:r>
      <w:r w:rsidRPr="009257E7">
        <w:rPr>
          <w:lang w:val="es-ES"/>
        </w:rPr>
        <w:t xml:space="preserve">, para implementar su agenda reaccionaria, </w:t>
      </w:r>
      <w:proofErr w:type="spellStart"/>
      <w:r w:rsidRPr="009257E7">
        <w:rPr>
          <w:lang w:val="es-ES"/>
        </w:rPr>
        <w:t>autoenriquecedora</w:t>
      </w:r>
      <w:proofErr w:type="spellEnd"/>
      <w:r w:rsidRPr="009257E7">
        <w:rPr>
          <w:lang w:val="es-ES"/>
        </w:rPr>
        <w:t xml:space="preserve"> y socialmente dañina en forma de derecho y </w:t>
      </w:r>
      <w:r w:rsidR="00E61B55" w:rsidRPr="009257E7">
        <w:rPr>
          <w:lang w:val="es-ES"/>
        </w:rPr>
        <w:t xml:space="preserve">de </w:t>
      </w:r>
      <w:r w:rsidRPr="009257E7">
        <w:rPr>
          <w:lang w:val="es-ES"/>
        </w:rPr>
        <w:t>política</w:t>
      </w:r>
      <w:r w:rsidR="00887ABC" w:rsidRPr="009257E7">
        <w:rPr>
          <w:lang w:val="es-ES"/>
        </w:rPr>
        <w:t>s</w:t>
      </w:r>
      <w:r w:rsidRPr="009257E7">
        <w:rPr>
          <w:lang w:val="es-ES"/>
        </w:rPr>
        <w:t xml:space="preserve"> pública</w:t>
      </w:r>
      <w:r w:rsidR="00887ABC" w:rsidRPr="009257E7">
        <w:rPr>
          <w:lang w:val="es-ES"/>
        </w:rPr>
        <w:t>s</w:t>
      </w:r>
      <w:r w:rsidRPr="009257E7">
        <w:rPr>
          <w:lang w:val="es-ES"/>
        </w:rPr>
        <w:t xml:space="preserve">. Al igual que en el memorando de Powell, la reingeniería educativa es fundamental para este proyecto: una palanca clave de poder que debe usarse </w:t>
      </w:r>
      <w:r w:rsidR="00887ABC" w:rsidRPr="009257E7">
        <w:rPr>
          <w:lang w:val="es-ES"/>
        </w:rPr>
        <w:t>de manera agresiva</w:t>
      </w:r>
      <w:r w:rsidRPr="009257E7">
        <w:rPr>
          <w:lang w:val="es-ES"/>
        </w:rPr>
        <w:t xml:space="preserve"> dentro de planes más amplios de dominación y explotación. El memorando de Powell se enfocaba en el desequilibrio ideológico percibido del profesorado universitario y </w:t>
      </w:r>
      <w:r w:rsidR="00D1620C" w:rsidRPr="009257E7">
        <w:rPr>
          <w:lang w:val="es-ES"/>
        </w:rPr>
        <w:t xml:space="preserve">de </w:t>
      </w:r>
      <w:r w:rsidRPr="009257E7">
        <w:rPr>
          <w:lang w:val="es-ES"/>
        </w:rPr>
        <w:t xml:space="preserve">los libros de texto, pero </w:t>
      </w:r>
      <w:r w:rsidRPr="009257E7">
        <w:rPr>
          <w:rStyle w:val="Emphasis"/>
          <w:lang w:val="es-ES"/>
        </w:rPr>
        <w:t>Project 2025</w:t>
      </w:r>
      <w:r w:rsidRPr="009257E7">
        <w:rPr>
          <w:lang w:val="es-ES"/>
        </w:rPr>
        <w:t xml:space="preserve"> insta, de forma más amplia, a reconfigurar todos los niveles educativos e incluye desde la deuda estudiantil hasta el currículo. Para imponer cargas a estudiantes con necesidad</w:t>
      </w:r>
      <w:r w:rsidR="00D1620C" w:rsidRPr="009257E7">
        <w:rPr>
          <w:lang w:val="es-ES"/>
        </w:rPr>
        <w:t>es</w:t>
      </w:r>
      <w:r w:rsidRPr="009257E7">
        <w:rPr>
          <w:lang w:val="es-ES"/>
        </w:rPr>
        <w:t xml:space="preserve"> </w:t>
      </w:r>
      <w:r w:rsidRPr="009257E7">
        <w:rPr>
          <w:lang w:val="es-ES"/>
        </w:rPr>
        <w:lastRenderedPageBreak/>
        <w:t>económica</w:t>
      </w:r>
      <w:r w:rsidR="00D1620C" w:rsidRPr="009257E7">
        <w:rPr>
          <w:lang w:val="es-ES"/>
        </w:rPr>
        <w:t>s</w:t>
      </w:r>
      <w:r w:rsidRPr="009257E7">
        <w:rPr>
          <w:lang w:val="es-ES"/>
        </w:rPr>
        <w:t xml:space="preserve">, quienes son desproporcionadamente de color, </w:t>
      </w:r>
      <w:r w:rsidRPr="009257E7">
        <w:rPr>
          <w:rStyle w:val="Emphasis"/>
          <w:lang w:val="es-ES"/>
        </w:rPr>
        <w:t>Project 2025</w:t>
      </w:r>
      <w:r w:rsidRPr="009257E7">
        <w:rPr>
          <w:lang w:val="es-ES"/>
        </w:rPr>
        <w:t xml:space="preserve"> propone una revisión de la ayuda financiera que aumentaría los pagos mensuales de</w:t>
      </w:r>
      <w:r w:rsidR="00D1620C" w:rsidRPr="009257E7">
        <w:rPr>
          <w:lang w:val="es-ES"/>
        </w:rPr>
        <w:t xml:space="preserve"> la</w:t>
      </w:r>
      <w:r w:rsidRPr="009257E7">
        <w:rPr>
          <w:lang w:val="es-ES"/>
        </w:rPr>
        <w:t xml:space="preserve"> deuda, pondría fin a los programas de condonación de préstamos y, en efecto, hipotecaría el futuro y las opciones </w:t>
      </w:r>
      <w:r w:rsidR="00D1620C" w:rsidRPr="009257E7">
        <w:rPr>
          <w:lang w:val="es-ES"/>
        </w:rPr>
        <w:t>a</w:t>
      </w:r>
      <w:r w:rsidRPr="009257E7">
        <w:rPr>
          <w:lang w:val="es-ES"/>
        </w:rPr>
        <w:t xml:space="preserve"> largo plazo de e</w:t>
      </w:r>
      <w:r w:rsidR="00D1620C" w:rsidRPr="009257E7">
        <w:rPr>
          <w:lang w:val="es-ES"/>
        </w:rPr>
        <w:t>sa comunidad estudiantil</w:t>
      </w:r>
      <w:r w:rsidRPr="009257E7">
        <w:rPr>
          <w:lang w:val="es-ES"/>
        </w:rPr>
        <w:t xml:space="preserve">. En todos los sentidos, </w:t>
      </w:r>
      <w:r w:rsidRPr="009257E7">
        <w:rPr>
          <w:rStyle w:val="Emphasis"/>
          <w:lang w:val="es-ES"/>
        </w:rPr>
        <w:t>Project 2025</w:t>
      </w:r>
      <w:r w:rsidRPr="009257E7">
        <w:rPr>
          <w:lang w:val="es-ES"/>
        </w:rPr>
        <w:t xml:space="preserve"> integra la educación pública y la conciencia social en ambiciones hegemónicas de supremacía identitaria y económica.</w:t>
      </w:r>
    </w:p>
    <w:p w14:paraId="25743630" w14:textId="77777777" w:rsidR="00467FA1" w:rsidRPr="009257E7" w:rsidRDefault="00467FA1" w:rsidP="00D1620C">
      <w:pPr>
        <w:pStyle w:val="NormalWeb"/>
        <w:ind w:firstLine="720"/>
        <w:rPr>
          <w:lang w:val="es-ES"/>
        </w:rPr>
      </w:pPr>
      <w:r w:rsidRPr="009257E7">
        <w:rPr>
          <w:lang w:val="es-ES"/>
        </w:rPr>
        <w:t xml:space="preserve">En una línea similar, la hostilidad abierta hacia la </w:t>
      </w:r>
      <w:proofErr w:type="spellStart"/>
      <w:r w:rsidRPr="009257E7">
        <w:rPr>
          <w:lang w:val="es-ES"/>
        </w:rPr>
        <w:t>Critical</w:t>
      </w:r>
      <w:proofErr w:type="spellEnd"/>
      <w:r w:rsidRPr="009257E7">
        <w:rPr>
          <w:lang w:val="es-ES"/>
        </w:rPr>
        <w:t xml:space="preserve"> </w:t>
      </w:r>
      <w:proofErr w:type="spellStart"/>
      <w:r w:rsidRPr="009257E7">
        <w:rPr>
          <w:lang w:val="es-ES"/>
        </w:rPr>
        <w:t>Race</w:t>
      </w:r>
      <w:proofErr w:type="spellEnd"/>
      <w:r w:rsidRPr="009257E7">
        <w:rPr>
          <w:lang w:val="es-ES"/>
        </w:rPr>
        <w:t xml:space="preserve"> Theory y los derechos de las personas transgénero es evidente desde el inicio en el prólogo de </w:t>
      </w:r>
      <w:r w:rsidRPr="009257E7">
        <w:rPr>
          <w:rStyle w:val="Emphasis"/>
          <w:lang w:val="es-ES"/>
        </w:rPr>
        <w:t>Project 2025</w:t>
      </w:r>
      <w:r w:rsidRPr="009257E7">
        <w:rPr>
          <w:lang w:val="es-ES"/>
        </w:rPr>
        <w:t>:</w:t>
      </w:r>
    </w:p>
    <w:p w14:paraId="764F8D66" w14:textId="5216DEBA" w:rsidR="00467FA1" w:rsidRPr="009257E7" w:rsidRDefault="00467FA1" w:rsidP="00D1620C">
      <w:pPr>
        <w:pStyle w:val="NormalWeb"/>
        <w:ind w:left="720"/>
        <w:rPr>
          <w:lang w:val="es-ES"/>
        </w:rPr>
      </w:pPr>
      <w:r w:rsidRPr="009257E7">
        <w:rPr>
          <w:lang w:val="es-ES"/>
        </w:rPr>
        <w:t>Los principios nocivos de la “</w:t>
      </w:r>
      <w:proofErr w:type="spellStart"/>
      <w:r w:rsidRPr="009257E7">
        <w:rPr>
          <w:lang w:val="es-ES"/>
        </w:rPr>
        <w:t>Critical</w:t>
      </w:r>
      <w:proofErr w:type="spellEnd"/>
      <w:r w:rsidRPr="009257E7">
        <w:rPr>
          <w:lang w:val="es-ES"/>
        </w:rPr>
        <w:t xml:space="preserve"> </w:t>
      </w:r>
      <w:proofErr w:type="spellStart"/>
      <w:r w:rsidRPr="009257E7">
        <w:rPr>
          <w:lang w:val="es-ES"/>
        </w:rPr>
        <w:t>Race</w:t>
      </w:r>
      <w:proofErr w:type="spellEnd"/>
      <w:r w:rsidRPr="009257E7">
        <w:rPr>
          <w:lang w:val="es-ES"/>
        </w:rPr>
        <w:t xml:space="preserve"> Theory” y de la “ideología de género” deberían ser extirpados de los currículos de todas las escuelas públicas del país. Estas teorías envenenan a nuestr</w:t>
      </w:r>
      <w:r w:rsidR="00D50235" w:rsidRPr="009257E7">
        <w:rPr>
          <w:lang w:val="es-ES"/>
        </w:rPr>
        <w:t>o</w:t>
      </w:r>
      <w:r w:rsidRPr="009257E7">
        <w:rPr>
          <w:lang w:val="es-ES"/>
        </w:rPr>
        <w:t>s hij</w:t>
      </w:r>
      <w:r w:rsidR="00D50235" w:rsidRPr="009257E7">
        <w:rPr>
          <w:lang w:val="es-ES"/>
        </w:rPr>
        <w:t>o</w:t>
      </w:r>
      <w:r w:rsidRPr="009257E7">
        <w:rPr>
          <w:lang w:val="es-ES"/>
        </w:rPr>
        <w:t>s, a quienes se les enseña, por un lado, a afirmar que el color de su piel determina fundamentalmente su identidad e incluso su estatus moral, mientras que, por otro lado, se les enseña a negar [su derecho natural de nacimiento] como hombres o mujeres.</w:t>
      </w:r>
      <w:r w:rsidR="006C75FF" w:rsidRPr="009257E7">
        <w:rPr>
          <w:rStyle w:val="FootnoteReference"/>
          <w:lang w:val="es-ES"/>
        </w:rPr>
        <w:footnoteReference w:id="92"/>
      </w:r>
    </w:p>
    <w:p w14:paraId="64F08A92" w14:textId="77777777" w:rsidR="00467FA1" w:rsidRPr="009257E7" w:rsidRDefault="00467FA1" w:rsidP="006C75FF">
      <w:pPr>
        <w:pStyle w:val="NormalWeb"/>
        <w:ind w:firstLine="720"/>
        <w:rPr>
          <w:lang w:val="es-ES"/>
        </w:rPr>
      </w:pPr>
      <w:r w:rsidRPr="009257E7">
        <w:rPr>
          <w:lang w:val="es-ES"/>
        </w:rPr>
        <w:t>De nuevo en reflejo del memorando de Powell, propuestas específicas también apuntan a programas y grados universitarios que estudian regiones geográficas —conocidos como estudios de área—, como África y América Latina, mientras impulsan programas que enseñan los méritos del neoliberalismo y sus principios:</w:t>
      </w:r>
    </w:p>
    <w:p w14:paraId="7B01014A" w14:textId="77777777" w:rsidR="00467FA1" w:rsidRPr="009257E7" w:rsidRDefault="00467FA1" w:rsidP="006C75FF">
      <w:pPr>
        <w:pStyle w:val="NormalWeb"/>
        <w:ind w:left="720"/>
        <w:rPr>
          <w:lang w:val="es-ES"/>
        </w:rPr>
      </w:pPr>
      <w:r w:rsidRPr="009257E7">
        <w:rPr>
          <w:lang w:val="es-ES"/>
        </w:rPr>
        <w:t>El Congreso debería reducir gradualmente los llamados programas de “estudios de área” en las universidades [...], los cuales, aunque destinados a servir los intereses estadounidenses, a veces financian programas que van en contra de esos intereses.</w:t>
      </w:r>
    </w:p>
    <w:p w14:paraId="709B768E" w14:textId="54CFA303" w:rsidR="00467FA1" w:rsidRPr="009257E7" w:rsidRDefault="00467FA1" w:rsidP="00F4546B">
      <w:pPr>
        <w:pStyle w:val="NormalWeb"/>
        <w:ind w:left="720"/>
        <w:rPr>
          <w:lang w:val="es-ES"/>
        </w:rPr>
      </w:pPr>
      <w:r w:rsidRPr="009257E7">
        <w:rPr>
          <w:lang w:val="es-ES"/>
        </w:rPr>
        <w:t>[L]a próxima Administración debería promulgar un reglamento nuevo que exija al secretario de Educación asignar al menos el 40 por ciento del financiamiento a programas internacionales de negocios que enseñen sobre mercados libres y economía, y exigir que las instituciones, el profesorado y les beneficiaries de becas certifiquen que tienen la intención de promover las metas estatutarias declaradas de servir los intereses estadounidenses.</w:t>
      </w:r>
      <w:r w:rsidR="002942C3" w:rsidRPr="009257E7">
        <w:rPr>
          <w:rStyle w:val="FootnoteReference"/>
          <w:lang w:val="es-ES"/>
        </w:rPr>
        <w:footnoteReference w:id="93"/>
      </w:r>
    </w:p>
    <w:p w14:paraId="17201D66" w14:textId="14A225E1" w:rsidR="00467FA1" w:rsidRPr="009257E7" w:rsidRDefault="00467FA1" w:rsidP="00F419F6">
      <w:pPr>
        <w:pStyle w:val="NormalWeb"/>
        <w:ind w:firstLine="720"/>
        <w:rPr>
          <w:lang w:val="es-ES"/>
        </w:rPr>
      </w:pPr>
      <w:r w:rsidRPr="009257E7">
        <w:rPr>
          <w:lang w:val="es-ES"/>
        </w:rPr>
        <w:t xml:space="preserve">Señalar los papeles decisivos de la información pública, la educación y la conciencia en la injusticia sistémica también muestra cómo las élites construyeron desde arriba a </w:t>
      </w:r>
      <w:r w:rsidR="00F419F6" w:rsidRPr="009257E7">
        <w:rPr>
          <w:lang w:val="es-ES"/>
        </w:rPr>
        <w:t>lo largo</w:t>
      </w:r>
      <w:r w:rsidRPr="009257E7">
        <w:rPr>
          <w:lang w:val="es-ES"/>
        </w:rPr>
        <w:t xml:space="preserve"> del tiempo: </w:t>
      </w:r>
      <w:r w:rsidRPr="009257E7">
        <w:rPr>
          <w:rStyle w:val="Emphasis"/>
          <w:lang w:val="es-ES"/>
        </w:rPr>
        <w:t>Project 2025</w:t>
      </w:r>
      <w:r w:rsidRPr="009257E7">
        <w:rPr>
          <w:lang w:val="es-ES"/>
        </w:rPr>
        <w:t xml:space="preserve"> es el plano detallado para la ejecución a gran escala del marco y</w:t>
      </w:r>
      <w:r w:rsidR="00F419F6" w:rsidRPr="009257E7">
        <w:rPr>
          <w:lang w:val="es-ES"/>
        </w:rPr>
        <w:t xml:space="preserve"> el</w:t>
      </w:r>
      <w:r w:rsidRPr="009257E7">
        <w:rPr>
          <w:lang w:val="es-ES"/>
        </w:rPr>
        <w:t xml:space="preserve"> bosquejo del memorando de Powell de la década de 1970.</w:t>
      </w:r>
    </w:p>
    <w:p w14:paraId="17EBAA64" w14:textId="533D62AB" w:rsidR="0056644C" w:rsidRPr="009257E7" w:rsidRDefault="00D0314E" w:rsidP="009304C0">
      <w:pPr>
        <w:pStyle w:val="NormalWeb"/>
        <w:ind w:firstLine="720"/>
        <w:rPr>
          <w:lang w:val="es-ES"/>
        </w:rPr>
      </w:pPr>
      <w:r w:rsidRPr="009257E7">
        <w:rPr>
          <w:lang w:val="es-ES"/>
        </w:rPr>
        <w:t xml:space="preserve">De manera notable, les profesores de derecho fueron la fuerza impulsora detrás del desarrollo de la </w:t>
      </w:r>
      <w:proofErr w:type="spellStart"/>
      <w:r w:rsidRPr="009257E7">
        <w:rPr>
          <w:lang w:val="es-ES"/>
        </w:rPr>
        <w:t>Critical</w:t>
      </w:r>
      <w:proofErr w:type="spellEnd"/>
      <w:r w:rsidRPr="009257E7">
        <w:rPr>
          <w:lang w:val="es-ES"/>
        </w:rPr>
        <w:t xml:space="preserve"> </w:t>
      </w:r>
      <w:proofErr w:type="spellStart"/>
      <w:r w:rsidRPr="009257E7">
        <w:rPr>
          <w:lang w:val="es-ES"/>
        </w:rPr>
        <w:t>Race</w:t>
      </w:r>
      <w:proofErr w:type="spellEnd"/>
      <w:r w:rsidRPr="009257E7">
        <w:rPr>
          <w:lang w:val="es-ES"/>
        </w:rPr>
        <w:t xml:space="preserve"> Theory, que surgió también desde la década de 1970. Debido a estos orígenes, la </w:t>
      </w:r>
      <w:proofErr w:type="spellStart"/>
      <w:r w:rsidRPr="009257E7">
        <w:rPr>
          <w:lang w:val="es-ES"/>
        </w:rPr>
        <w:t>Critical</w:t>
      </w:r>
      <w:proofErr w:type="spellEnd"/>
      <w:r w:rsidRPr="009257E7">
        <w:rPr>
          <w:lang w:val="es-ES"/>
        </w:rPr>
        <w:t xml:space="preserve"> </w:t>
      </w:r>
      <w:proofErr w:type="spellStart"/>
      <w:r w:rsidRPr="009257E7">
        <w:rPr>
          <w:lang w:val="es-ES"/>
        </w:rPr>
        <w:t>Race</w:t>
      </w:r>
      <w:proofErr w:type="spellEnd"/>
      <w:r w:rsidRPr="009257E7">
        <w:rPr>
          <w:lang w:val="es-ES"/>
        </w:rPr>
        <w:t xml:space="preserve"> Theory fue un movimiento académico que también u</w:t>
      </w:r>
      <w:r w:rsidR="00CE3C9A" w:rsidRPr="009257E7">
        <w:rPr>
          <w:lang w:val="es-ES"/>
        </w:rPr>
        <w:t>tiliz</w:t>
      </w:r>
      <w:r w:rsidRPr="009257E7">
        <w:rPr>
          <w:lang w:val="es-ES"/>
        </w:rPr>
        <w:t xml:space="preserve">ó la educación como respuesta a los fracasos o </w:t>
      </w:r>
      <w:r w:rsidR="00CE3C9A" w:rsidRPr="009257E7">
        <w:rPr>
          <w:lang w:val="es-ES"/>
        </w:rPr>
        <w:t xml:space="preserve">los </w:t>
      </w:r>
      <w:r w:rsidRPr="009257E7">
        <w:rPr>
          <w:lang w:val="es-ES"/>
        </w:rPr>
        <w:t xml:space="preserve">retrocesos </w:t>
      </w:r>
      <w:r w:rsidR="00CE3C9A" w:rsidRPr="009257E7">
        <w:rPr>
          <w:lang w:val="es-ES"/>
        </w:rPr>
        <w:t>en</w:t>
      </w:r>
      <w:r w:rsidRPr="009257E7">
        <w:rPr>
          <w:lang w:val="es-ES"/>
        </w:rPr>
        <w:t xml:space="preserve"> la igualdad formal</w:t>
      </w:r>
      <w:r w:rsidR="00CE3C9A" w:rsidRPr="009257E7">
        <w:rPr>
          <w:lang w:val="es-ES"/>
        </w:rPr>
        <w:t>,</w:t>
      </w:r>
      <w:r w:rsidRPr="009257E7">
        <w:rPr>
          <w:lang w:val="es-ES"/>
        </w:rPr>
        <w:t xml:space="preserve"> después de la era de los derechos civiles de la década de 1960. Las perspectivas críticas resultantes centraron la atención en los resultados sociales y económicos reales de las reformas en el papel y </w:t>
      </w:r>
      <w:r w:rsidR="009304C0" w:rsidRPr="009257E7">
        <w:rPr>
          <w:lang w:val="es-ES"/>
        </w:rPr>
        <w:t>en</w:t>
      </w:r>
      <w:r w:rsidRPr="009257E7">
        <w:rPr>
          <w:lang w:val="es-ES"/>
        </w:rPr>
        <w:t xml:space="preserve"> sus promesas de igualdad formal o abstracta</w:t>
      </w:r>
      <w:r w:rsidR="009304C0" w:rsidRPr="009257E7">
        <w:rPr>
          <w:lang w:val="es-ES"/>
        </w:rPr>
        <w:t>,</w:t>
      </w:r>
      <w:r w:rsidRPr="009257E7">
        <w:rPr>
          <w:lang w:val="es-ES"/>
        </w:rPr>
        <w:t xml:space="preserve"> basadas en el “confíen en nosotres”. En particular, estas </w:t>
      </w:r>
      <w:r w:rsidRPr="009257E7">
        <w:rPr>
          <w:lang w:val="es-ES"/>
        </w:rPr>
        <w:lastRenderedPageBreak/>
        <w:t xml:space="preserve">perspectivas críticas estaban ancladas en el conocimiento adquirido </w:t>
      </w:r>
      <w:r w:rsidR="009304C0" w:rsidRPr="009257E7">
        <w:rPr>
          <w:lang w:val="es-ES"/>
        </w:rPr>
        <w:t xml:space="preserve">a partir </w:t>
      </w:r>
      <w:r w:rsidRPr="009257E7">
        <w:rPr>
          <w:lang w:val="es-ES"/>
        </w:rPr>
        <w:t>de la experiencia de los grupos desde abajo y de la abogacía que representaba sus intereses. Dado este cuerpo rico de perspectivas que expone el manual elitista, no sorprende que las élites busquen suprimir esta amenaza a su intento de hegemonía sobre el conocimiento y la conciencia sociales, con el fin de ayudar a gestionar objetivos más amplios, incluida su dominación de la gobernanza social mediante la democracia formal.</w:t>
      </w:r>
    </w:p>
    <w:p w14:paraId="0BD4C888" w14:textId="77777777" w:rsidR="00BF52B0" w:rsidRPr="009257E7" w:rsidRDefault="008F5B70" w:rsidP="0056644C">
      <w:pPr>
        <w:pStyle w:val="NormalWeb"/>
        <w:rPr>
          <w:b/>
          <w:bCs/>
          <w:lang w:val="es-ES"/>
        </w:rPr>
      </w:pPr>
      <w:r w:rsidRPr="009257E7">
        <w:rPr>
          <w:b/>
          <w:bCs/>
          <w:lang w:val="es-ES"/>
        </w:rPr>
        <w:t>2.4 La “democracia” administrada por la propiedad “privada” mantiene las castas identitarias y el control elitista</w:t>
      </w:r>
    </w:p>
    <w:p w14:paraId="4072A524" w14:textId="725552B2" w:rsidR="00BF52B0" w:rsidRPr="009257E7" w:rsidRDefault="00BF52B0" w:rsidP="000A0915">
      <w:pPr>
        <w:pStyle w:val="NormalWeb"/>
        <w:ind w:firstLine="720"/>
        <w:rPr>
          <w:lang w:val="es-ES"/>
        </w:rPr>
      </w:pPr>
      <w:r w:rsidRPr="009257E7">
        <w:rPr>
          <w:lang w:val="es-ES"/>
        </w:rPr>
        <w:t xml:space="preserve">La protección sacralizada de la propiedad y el contrato es fundamental para la sociedad y el derecho estadounidenses. Debido a que la propiedad, la identidad y la democracia se han entrelazado para asegurar el control elitista, esta sacralización es una forma profundamente arraigada de injusticia sistémica basada en castas identitarias. En </w:t>
      </w:r>
      <w:r w:rsidR="000A0915" w:rsidRPr="009257E7">
        <w:rPr>
          <w:lang w:val="es-ES"/>
        </w:rPr>
        <w:t xml:space="preserve">los </w:t>
      </w:r>
      <w:r w:rsidRPr="009257E7">
        <w:rPr>
          <w:lang w:val="es-ES"/>
        </w:rPr>
        <w:t>Estados Unidos, la académica del derecho Jennifer Nedelsky señala:</w:t>
      </w:r>
    </w:p>
    <w:p w14:paraId="0936220F" w14:textId="1ED42031" w:rsidR="00BF52B0" w:rsidRPr="009257E7" w:rsidRDefault="00BF52B0" w:rsidP="000A0915">
      <w:pPr>
        <w:pStyle w:val="NormalWeb"/>
        <w:ind w:left="720"/>
        <w:rPr>
          <w:lang w:val="es-ES"/>
        </w:rPr>
      </w:pPr>
      <w:r w:rsidRPr="009257E7">
        <w:rPr>
          <w:lang w:val="es-ES"/>
        </w:rPr>
        <w:t xml:space="preserve">La propiedad privada ha moldeado la estructura del sistema político estadounidense. El marco de las instituciones políticas y las categorías mediante las cuales [sus residentes] comprenden la política se desarrollaron </w:t>
      </w:r>
      <w:r w:rsidR="00663CCF" w:rsidRPr="009257E7">
        <w:rPr>
          <w:lang w:val="es-ES"/>
        </w:rPr>
        <w:t>en</w:t>
      </w:r>
      <w:r w:rsidRPr="009257E7">
        <w:rPr>
          <w:lang w:val="es-ES"/>
        </w:rPr>
        <w:t xml:space="preserve"> </w:t>
      </w:r>
      <w:r w:rsidR="00663CCF" w:rsidRPr="009257E7">
        <w:rPr>
          <w:lang w:val="es-ES"/>
        </w:rPr>
        <w:t>torno a</w:t>
      </w:r>
      <w:r w:rsidRPr="009257E7">
        <w:rPr>
          <w:lang w:val="es-ES"/>
        </w:rPr>
        <w:t xml:space="preserve"> los problemas de </w:t>
      </w:r>
      <w:r w:rsidR="00663CCF" w:rsidRPr="009257E7">
        <w:rPr>
          <w:lang w:val="es-ES"/>
        </w:rPr>
        <w:t>conciliar</w:t>
      </w:r>
      <w:r w:rsidRPr="009257E7">
        <w:rPr>
          <w:lang w:val="es-ES"/>
        </w:rPr>
        <w:t xml:space="preserve"> el gobierno popular con la seguridad de la propiedad privada. Este enfoque en la propiedad ha sido la fuente de las mayores fortalezas de la democracia estadounidense, de sus mayores debilidades y de la cualidad distorsionada incluso de sus fortalezas.</w:t>
      </w:r>
      <w:r w:rsidR="00AA6C6F" w:rsidRPr="009257E7">
        <w:rPr>
          <w:rStyle w:val="FootnoteReference"/>
          <w:lang w:val="es-ES"/>
        </w:rPr>
        <w:footnoteReference w:id="94"/>
      </w:r>
    </w:p>
    <w:p w14:paraId="7CC553F7" w14:textId="08CCBB61" w:rsidR="00BF52B0" w:rsidRPr="009257E7" w:rsidRDefault="00BF52B0" w:rsidP="00AA6C6F">
      <w:pPr>
        <w:pStyle w:val="NormalWeb"/>
        <w:ind w:firstLine="720"/>
        <w:rPr>
          <w:lang w:val="es-ES"/>
        </w:rPr>
      </w:pPr>
      <w:r w:rsidRPr="009257E7">
        <w:rPr>
          <w:lang w:val="es-ES"/>
        </w:rPr>
        <w:t>Nedelsky explica que la centralidad sistémica de la propiedad “tiene sus raíces en la preocupación de l</w:t>
      </w:r>
      <w:r w:rsidR="00AA6C6F" w:rsidRPr="009257E7">
        <w:rPr>
          <w:lang w:val="es-ES"/>
        </w:rPr>
        <w:t>o</w:t>
      </w:r>
      <w:r w:rsidRPr="009257E7">
        <w:rPr>
          <w:lang w:val="es-ES"/>
        </w:rPr>
        <w:t>s redactores de la Constitución por proteger la propiedad frente a la incursión democrática”</w:t>
      </w:r>
      <w:r w:rsidR="00AA6C6F" w:rsidRPr="009257E7">
        <w:rPr>
          <w:rStyle w:val="FootnoteReference"/>
          <w:lang w:val="es-ES"/>
        </w:rPr>
        <w:footnoteReference w:id="95"/>
      </w:r>
      <w:r w:rsidRPr="009257E7">
        <w:rPr>
          <w:lang w:val="es-ES"/>
        </w:rPr>
        <w:t xml:space="preserve">. Esta “preocupación por la </w:t>
      </w:r>
      <w:r w:rsidR="00AA6C6F" w:rsidRPr="009257E7">
        <w:rPr>
          <w:lang w:val="es-ES"/>
        </w:rPr>
        <w:t>propiedad”, propia de Estados Unidos, generó una concepción superficial de la democracia y un sistema institucional que distribuye el poder político de manera</w:t>
      </w:r>
      <w:r w:rsidRPr="009257E7">
        <w:rPr>
          <w:lang w:val="es-ES"/>
        </w:rPr>
        <w:t xml:space="preserve"> desigual y no fomenta la participación política</w:t>
      </w:r>
      <w:r w:rsidR="003C5531" w:rsidRPr="009257E7">
        <w:rPr>
          <w:rStyle w:val="FootnoteReference"/>
          <w:lang w:val="es-ES"/>
        </w:rPr>
        <w:footnoteReference w:id="96"/>
      </w:r>
      <w:r w:rsidRPr="009257E7">
        <w:rPr>
          <w:lang w:val="es-ES"/>
        </w:rPr>
        <w:t>. Así, “la desigualdad [está] en el centro del constitucionalismo estadounidense”</w:t>
      </w:r>
      <w:r w:rsidR="003C5531" w:rsidRPr="009257E7">
        <w:rPr>
          <w:rStyle w:val="FootnoteReference"/>
          <w:lang w:val="es-ES"/>
        </w:rPr>
        <w:footnoteReference w:id="97"/>
      </w:r>
      <w:r w:rsidRPr="009257E7">
        <w:rPr>
          <w:lang w:val="es-ES"/>
        </w:rPr>
        <w:t>.</w:t>
      </w:r>
    </w:p>
    <w:p w14:paraId="3933259D" w14:textId="41DA894D" w:rsidR="00BF52B0" w:rsidRPr="009257E7" w:rsidRDefault="00BF52B0" w:rsidP="003C5531">
      <w:pPr>
        <w:pStyle w:val="NormalWeb"/>
        <w:ind w:firstLine="720"/>
        <w:rPr>
          <w:lang w:val="es-ES"/>
        </w:rPr>
      </w:pPr>
      <w:r w:rsidRPr="009257E7">
        <w:rPr>
          <w:lang w:val="es-ES"/>
        </w:rPr>
        <w:t>La primera Constitución de Estados Unidos —redactada en Filadelfia durante el verano de 1787— ilustra cómo la propiedad privada se convirtió en objeto de protección jurídica. L</w:t>
      </w:r>
      <w:r w:rsidR="000E422F" w:rsidRPr="009257E7">
        <w:rPr>
          <w:lang w:val="es-ES"/>
        </w:rPr>
        <w:t>o</w:t>
      </w:r>
      <w:r w:rsidRPr="009257E7">
        <w:rPr>
          <w:lang w:val="es-ES"/>
        </w:rPr>
        <w:t xml:space="preserve">s redactores afirmaron </w:t>
      </w:r>
      <w:r w:rsidR="000E422F" w:rsidRPr="009257E7">
        <w:rPr>
          <w:lang w:val="es-ES"/>
        </w:rPr>
        <w:t>que temían</w:t>
      </w:r>
      <w:r w:rsidRPr="009257E7">
        <w:rPr>
          <w:lang w:val="es-ES"/>
        </w:rPr>
        <w:t xml:space="preserve"> la tiranía </w:t>
      </w:r>
      <w:r w:rsidR="000E422F" w:rsidRPr="009257E7">
        <w:rPr>
          <w:lang w:val="es-ES"/>
        </w:rPr>
        <w:t>de la mayorí</w:t>
      </w:r>
      <w:r w:rsidRPr="009257E7">
        <w:rPr>
          <w:lang w:val="es-ES"/>
        </w:rPr>
        <w:t xml:space="preserve">a. Como resultado, crearon solo dos “derechos” centrales con una coincidencia notable: la protección de la propiedad. Primero, declararon que los contratos no podían ser “menoscabados”. Por diseño, este “derecho” solo protege a les acreedores —las pocas cúspides— frente a les deudores —los muchos grupos desde abajo—. El segundo prohibió la “expropiación” de </w:t>
      </w:r>
      <w:r w:rsidR="000B5D8F" w:rsidRPr="009257E7">
        <w:rPr>
          <w:lang w:val="es-ES"/>
        </w:rPr>
        <w:t xml:space="preserve">la </w:t>
      </w:r>
      <w:r w:rsidRPr="009257E7">
        <w:rPr>
          <w:lang w:val="es-ES"/>
        </w:rPr>
        <w:t xml:space="preserve">propiedad sin “compensación justa”. Esta disposición, similar a la primera, fue diseñada para proteger a les barones de la tierra —las pocas cúspides— frente a las mayorías locales —los muchos grupos desde abajo—. De manera </w:t>
      </w:r>
      <w:r w:rsidRPr="009257E7">
        <w:rPr>
          <w:lang w:val="es-ES"/>
        </w:rPr>
        <w:lastRenderedPageBreak/>
        <w:t>reveladora, estos dos son los únicos derechos individuales expresados textualmente en ese documento.</w:t>
      </w:r>
    </w:p>
    <w:p w14:paraId="7A36CDAD" w14:textId="268297C7" w:rsidR="00BF52B0" w:rsidRPr="009257E7" w:rsidRDefault="00BF52B0" w:rsidP="000B5D8F">
      <w:pPr>
        <w:pStyle w:val="NormalWeb"/>
        <w:ind w:firstLine="720"/>
        <w:rPr>
          <w:lang w:val="es-ES"/>
        </w:rPr>
      </w:pPr>
      <w:r w:rsidRPr="009257E7">
        <w:rPr>
          <w:lang w:val="es-ES"/>
        </w:rPr>
        <w:t xml:space="preserve">Al reconocer la centralidad de la propiedad en el derecho como sistema, James Madison, principal redactor de la Constitución original, declaró en </w:t>
      </w:r>
      <w:proofErr w:type="spellStart"/>
      <w:r w:rsidRPr="009257E7">
        <w:rPr>
          <w:rStyle w:val="Emphasis"/>
          <w:lang w:val="es-ES"/>
        </w:rPr>
        <w:t>Federalist</w:t>
      </w:r>
      <w:proofErr w:type="spellEnd"/>
      <w:r w:rsidRPr="009257E7">
        <w:rPr>
          <w:rStyle w:val="Emphasis"/>
          <w:lang w:val="es-ES"/>
        </w:rPr>
        <w:t xml:space="preserve"> No. 10</w:t>
      </w:r>
      <w:r w:rsidRPr="009257E7">
        <w:rPr>
          <w:lang w:val="es-ES"/>
        </w:rPr>
        <w:t xml:space="preserve"> que “la fuente más común y duradera de facciones ha sido la distribución diversa y desigual de la propiedad. Quienes poseen propiedad y quienes carecen de ella siempre han formado intereses distintos en la sociedad”</w:t>
      </w:r>
      <w:r w:rsidR="004B4165" w:rsidRPr="009257E7">
        <w:rPr>
          <w:rStyle w:val="FootnoteReference"/>
          <w:lang w:val="es-ES"/>
        </w:rPr>
        <w:footnoteReference w:id="98"/>
      </w:r>
      <w:r w:rsidRPr="009257E7">
        <w:rPr>
          <w:lang w:val="es-ES"/>
        </w:rPr>
        <w:t>. Estos “derechos de propiedad se originan [...] en la diversidad de las facultades de los hombres” —énfasis añadido—</w:t>
      </w:r>
      <w:r w:rsidR="004B4165" w:rsidRPr="009257E7">
        <w:rPr>
          <w:rStyle w:val="FootnoteReference"/>
          <w:lang w:val="es-ES"/>
        </w:rPr>
        <w:footnoteReference w:id="99"/>
      </w:r>
      <w:r w:rsidRPr="009257E7">
        <w:rPr>
          <w:lang w:val="es-ES"/>
        </w:rPr>
        <w:t>. En la visión de Madison, las distribuciones sesgadas de la propiedad se debían al mérito individual —“las facultades de los hombres”—, no al diseño sistémico. Y las exclusiones del derecho a la propiedad, atadas formalmente a identidades como el sexo y la raza, favorecían a una minoría meritoria: “Solo una minoría, dijo Madison, ‘puede estar interesada en preservar los derechos de propiedad’</w:t>
      </w:r>
      <w:r w:rsidR="004112C3" w:rsidRPr="009257E7">
        <w:rPr>
          <w:lang w:val="es-ES"/>
        </w:rPr>
        <w:t>”</w:t>
      </w:r>
      <w:r w:rsidR="00FC2819" w:rsidRPr="009257E7">
        <w:rPr>
          <w:rStyle w:val="FootnoteReference"/>
          <w:lang w:val="es-ES"/>
        </w:rPr>
        <w:footnoteReference w:id="100"/>
      </w:r>
      <w:r w:rsidRPr="009257E7">
        <w:rPr>
          <w:lang w:val="es-ES"/>
        </w:rPr>
        <w:t>. Si es así, ese resultado se produce mediante usos elitistas de la identidad para definir la propiedad y el acceso a</w:t>
      </w:r>
      <w:r w:rsidR="00A27C84" w:rsidRPr="009257E7">
        <w:rPr>
          <w:lang w:val="es-ES"/>
        </w:rPr>
        <w:t>l</w:t>
      </w:r>
      <w:r w:rsidRPr="009257E7">
        <w:rPr>
          <w:lang w:val="es-ES"/>
        </w:rPr>
        <w:t xml:space="preserve"> poder. También define el acceso a la democracia: al autogobierno y a la participación en la creación colectiva del derecho.</w:t>
      </w:r>
    </w:p>
    <w:p w14:paraId="37DE0187" w14:textId="5FDF79FE" w:rsidR="007F4A41" w:rsidRPr="009257E7" w:rsidRDefault="00BF52B0" w:rsidP="007F4A41">
      <w:pPr>
        <w:pStyle w:val="NormalWeb"/>
        <w:ind w:firstLine="720"/>
        <w:rPr>
          <w:lang w:val="es-ES"/>
        </w:rPr>
      </w:pPr>
      <w:r w:rsidRPr="009257E7">
        <w:rPr>
          <w:lang w:val="es-ES"/>
        </w:rPr>
        <w:t xml:space="preserve">Para muchas personas, la democracia es un logro centinela de los tiempos modernos. Como dijo Winston Churchill de forma célebre, al repetir un aforismo sin </w:t>
      </w:r>
      <w:r w:rsidR="001C3985" w:rsidRPr="009257E7">
        <w:rPr>
          <w:lang w:val="es-ES"/>
        </w:rPr>
        <w:t xml:space="preserve">citar la </w:t>
      </w:r>
      <w:r w:rsidRPr="009257E7">
        <w:rPr>
          <w:lang w:val="es-ES"/>
        </w:rPr>
        <w:t>fuent</w:t>
      </w:r>
      <w:r w:rsidR="001C3985" w:rsidRPr="009257E7">
        <w:rPr>
          <w:lang w:val="es-ES"/>
        </w:rPr>
        <w:t>e</w:t>
      </w:r>
      <w:r w:rsidRPr="009257E7">
        <w:rPr>
          <w:lang w:val="es-ES"/>
        </w:rPr>
        <w:t xml:space="preserve">, la democracia es “la peor forma de gobierno, excepto por todas las </w:t>
      </w:r>
      <w:r w:rsidR="001C3985" w:rsidRPr="009257E7">
        <w:rPr>
          <w:lang w:val="es-ES"/>
        </w:rPr>
        <w:t>demá</w:t>
      </w:r>
      <w:r w:rsidRPr="009257E7">
        <w:rPr>
          <w:lang w:val="es-ES"/>
        </w:rPr>
        <w:t>s formas que se han probado de vez en cuando”</w:t>
      </w:r>
      <w:r w:rsidR="005F2CD7" w:rsidRPr="009257E7">
        <w:rPr>
          <w:rStyle w:val="FootnoteReference"/>
          <w:lang w:val="es-ES"/>
        </w:rPr>
        <w:footnoteReference w:id="101"/>
      </w:r>
      <w:r w:rsidRPr="009257E7">
        <w:rPr>
          <w:lang w:val="es-ES"/>
        </w:rPr>
        <w:t xml:space="preserve">. Por lo general, los sistemas jurídicos modernos </w:t>
      </w:r>
      <w:r w:rsidR="00AF3929" w:rsidRPr="009257E7">
        <w:rPr>
          <w:lang w:val="es-ES"/>
        </w:rPr>
        <w:t>se</w:t>
      </w:r>
      <w:r w:rsidRPr="009257E7">
        <w:rPr>
          <w:lang w:val="es-ES"/>
        </w:rPr>
        <w:t xml:space="preserve"> </w:t>
      </w:r>
      <w:r w:rsidR="00AF3929" w:rsidRPr="009257E7">
        <w:rPr>
          <w:lang w:val="es-ES"/>
        </w:rPr>
        <w:t>basan en</w:t>
      </w:r>
      <w:r w:rsidRPr="009257E7">
        <w:rPr>
          <w:lang w:val="es-ES"/>
        </w:rPr>
        <w:t xml:space="preserve"> la democracia y la adjudicación como sus </w:t>
      </w:r>
      <w:r w:rsidR="00AF3929" w:rsidRPr="009257E7">
        <w:rPr>
          <w:lang w:val="es-ES"/>
        </w:rPr>
        <w:t>mecanismos</w:t>
      </w:r>
      <w:r w:rsidRPr="009257E7">
        <w:rPr>
          <w:lang w:val="es-ES"/>
        </w:rPr>
        <w:t xml:space="preserve"> </w:t>
      </w:r>
      <w:r w:rsidR="003A095A" w:rsidRPr="009257E7">
        <w:rPr>
          <w:lang w:val="es-ES"/>
        </w:rPr>
        <w:t xml:space="preserve">principales </w:t>
      </w:r>
      <w:r w:rsidRPr="009257E7">
        <w:rPr>
          <w:lang w:val="es-ES"/>
        </w:rPr>
        <w:t xml:space="preserve">de solución de problemas. En términos generales, la promesa de la democracia es asegurar que la formulación de políticas y la legislación sirvan a la voluntad del pueblo al resolver, en efecto, </w:t>
      </w:r>
      <w:r w:rsidR="003A095A" w:rsidRPr="009257E7">
        <w:rPr>
          <w:lang w:val="es-ES"/>
        </w:rPr>
        <w:t xml:space="preserve">los </w:t>
      </w:r>
      <w:r w:rsidRPr="009257E7">
        <w:rPr>
          <w:lang w:val="es-ES"/>
        </w:rPr>
        <w:t xml:space="preserve">problemas sociales. En caso de que la democracia falle en su función, la adjudicación afirma responsabilizar a la democracia ante los principios, lo cual incluye la promesa de justicia igualitaria para todes. Y viceversa: cuando se busca sin éxito un remedio en los tribunales, la democracia recibe la alerta de un problema social no resuelto y actúa para remediar aquello que la judicatura no logró reparar. Así, con el tiempo, </w:t>
      </w:r>
      <w:r w:rsidR="007F4A41" w:rsidRPr="009257E7">
        <w:rPr>
          <w:lang w:val="es-ES"/>
        </w:rPr>
        <w:t>la democracia y el sistema judicial se complementan, tanto de manera conjunta como por separado, para ofrecer soluciones a los problemas basad</w:t>
      </w:r>
      <w:r w:rsidR="00E07A5B" w:rsidRPr="009257E7">
        <w:rPr>
          <w:lang w:val="es-ES"/>
        </w:rPr>
        <w:t>a</w:t>
      </w:r>
      <w:r w:rsidR="007F4A41" w:rsidRPr="009257E7">
        <w:rPr>
          <w:lang w:val="es-ES"/>
        </w:rPr>
        <w:t>s en principios, transparentes y eficaces.</w:t>
      </w:r>
    </w:p>
    <w:p w14:paraId="4AA7CCCF" w14:textId="5996C663" w:rsidR="00641E26" w:rsidRPr="009257E7" w:rsidRDefault="00641E26" w:rsidP="001A1C35">
      <w:pPr>
        <w:pStyle w:val="NormalWeb"/>
        <w:ind w:firstLine="720"/>
        <w:rPr>
          <w:lang w:val="es-ES"/>
        </w:rPr>
      </w:pPr>
      <w:r w:rsidRPr="009257E7">
        <w:rPr>
          <w:lang w:val="es-ES"/>
        </w:rPr>
        <w:t xml:space="preserve">Por lo tanto, en </w:t>
      </w:r>
      <w:r w:rsidR="001A1C35" w:rsidRPr="009257E7">
        <w:rPr>
          <w:lang w:val="es-ES"/>
        </w:rPr>
        <w:t xml:space="preserve">los </w:t>
      </w:r>
      <w:r w:rsidRPr="009257E7">
        <w:rPr>
          <w:lang w:val="es-ES"/>
        </w:rPr>
        <w:t>Estados Unidos y en otros lugares, la democracia a menudo se representa como una disputa dinámica y vibrante de ideas</w:t>
      </w:r>
      <w:r w:rsidR="00851FBB" w:rsidRPr="009257E7">
        <w:rPr>
          <w:lang w:val="es-ES"/>
        </w:rPr>
        <w:t>,</w:t>
      </w:r>
      <w:r w:rsidRPr="009257E7">
        <w:rPr>
          <w:lang w:val="es-ES"/>
        </w:rPr>
        <w:t xml:space="preserve"> impulsada por distintas facciones, basadas en creencias, intereses y otros objetivos personales y colectivos. En esta versión idealizada, estas facciones e ideas compiten en un “campo de juego nivelado” para asegurar que quienes triunfen lo hagan de manera legítima: “por sus méritos”. Así, las elecciones deben considerarse “libres y justas” antes de que sus resultados puedan aceptarse —según las propias </w:t>
      </w:r>
      <w:r w:rsidRPr="009257E7">
        <w:rPr>
          <w:lang w:val="es-ES"/>
        </w:rPr>
        <w:lastRenderedPageBreak/>
        <w:t>reglas del sistema— como legítimos y vinculantes. Esta realidad explica por qué el control del voto —y, por ende, de la creación del derecho— es una obsesión elitista.</w:t>
      </w:r>
    </w:p>
    <w:p w14:paraId="2268F7F8" w14:textId="7EC99D1E" w:rsidR="00641E26" w:rsidRPr="009257E7" w:rsidRDefault="00641E26" w:rsidP="00851FBB">
      <w:pPr>
        <w:pStyle w:val="NormalWeb"/>
        <w:ind w:firstLine="720"/>
        <w:rPr>
          <w:lang w:val="es-ES"/>
        </w:rPr>
      </w:pPr>
      <w:r w:rsidRPr="009257E7">
        <w:rPr>
          <w:lang w:val="es-ES"/>
        </w:rPr>
        <w:t xml:space="preserve">En el ejemplo estadounidense, originalmente la mayor parte de la población fue excluida formalmente del derecho al voto, y la elaboración de reglas sobre derechos y leyes electorales quedó, en gran medida, en manos de los estados. Además, la creación de una institución </w:t>
      </w:r>
      <w:r w:rsidR="006F76AA" w:rsidRPr="009257E7">
        <w:rPr>
          <w:lang w:val="es-ES"/>
        </w:rPr>
        <w:t>nueva y peculiar —el Colegio Electoral— hizo imposible la elección directa de presidentes mediante el voto popular y fue sesgada intencionalmente para permitir que las minorías del sur superaran a las mayorías</w:t>
      </w:r>
      <w:r w:rsidRPr="009257E7">
        <w:rPr>
          <w:lang w:val="es-ES"/>
        </w:rPr>
        <w:t xml:space="preserve"> nacionales. Por esta razón alquímica, quienes pierden el voto popular nacional —como George W. Bush y Donald Trump en 2016, por citar ejemplos recientes— pueden transformarse en ganadores aparentemente “democráticos” de </w:t>
      </w:r>
      <w:r w:rsidR="006F76AA" w:rsidRPr="009257E7">
        <w:rPr>
          <w:lang w:val="es-ES"/>
        </w:rPr>
        <w:t xml:space="preserve">las </w:t>
      </w:r>
      <w:r w:rsidRPr="009257E7">
        <w:rPr>
          <w:lang w:val="es-ES"/>
        </w:rPr>
        <w:t>elecciones presidenciales. Por diseño, las élites —en su mayoría hombres blancos propietarios— crearon un sistema de gobierno minoritario que podía afirmar que creaba e imponía leyes con el consentimiento de “el pueblo”.</w:t>
      </w:r>
    </w:p>
    <w:p w14:paraId="2FFDA59C" w14:textId="348E34B2" w:rsidR="00641E26" w:rsidRPr="009257E7" w:rsidRDefault="00641E26" w:rsidP="00056094">
      <w:pPr>
        <w:pStyle w:val="NormalWeb"/>
        <w:ind w:firstLine="720"/>
        <w:rPr>
          <w:lang w:val="es-ES"/>
        </w:rPr>
      </w:pPr>
      <w:r w:rsidRPr="009257E7">
        <w:rPr>
          <w:lang w:val="es-ES"/>
        </w:rPr>
        <w:t xml:space="preserve">Tal como fue diseñada, la democracia no es un antídoto contra la desigualdad. En teoría, la democracia es un campo de juego nivelado en el que facciones con intereses propios persiguen </w:t>
      </w:r>
      <w:r w:rsidR="00056094" w:rsidRPr="009257E7">
        <w:rPr>
          <w:lang w:val="es-ES"/>
        </w:rPr>
        <w:t>su</w:t>
      </w:r>
      <w:r w:rsidRPr="009257E7">
        <w:rPr>
          <w:lang w:val="es-ES"/>
        </w:rPr>
        <w:t xml:space="preserve">s </w:t>
      </w:r>
      <w:r w:rsidR="00056094" w:rsidRPr="009257E7">
        <w:rPr>
          <w:lang w:val="es-ES"/>
        </w:rPr>
        <w:t xml:space="preserve">propios </w:t>
      </w:r>
      <w:r w:rsidRPr="009257E7">
        <w:rPr>
          <w:lang w:val="es-ES"/>
        </w:rPr>
        <w:t xml:space="preserve">intereses. En la práctica, sin embargo, la democracia ha funcionado como un campo de juego desigual en el que grupos </w:t>
      </w:r>
      <w:r w:rsidR="00C529DF" w:rsidRPr="009257E7">
        <w:rPr>
          <w:lang w:val="es-ES"/>
        </w:rPr>
        <w:t>ya dominantes y subordinados</w:t>
      </w:r>
      <w:r w:rsidRPr="009257E7">
        <w:rPr>
          <w:lang w:val="es-ES"/>
        </w:rPr>
        <w:t xml:space="preserve"> recrean, en gran medida, relaciones de casta. Y las élites usan de manera constante la adjudicación tanto para justificar el statu quo como para controlar cualquier cambio “democrático” a ese statu quo. Aquí, entonces, aparece otro punto clave y recurrente: la democracia y la adjudicación pueden combinarse de distintas maneras para promover el progreso o bloquearlo.</w:t>
      </w:r>
    </w:p>
    <w:p w14:paraId="30C71436" w14:textId="338A522F" w:rsidR="00641E26" w:rsidRPr="009257E7" w:rsidRDefault="00641E26" w:rsidP="00C529DF">
      <w:pPr>
        <w:pStyle w:val="NormalWeb"/>
        <w:ind w:firstLine="360"/>
        <w:rPr>
          <w:lang w:val="es-ES"/>
        </w:rPr>
      </w:pPr>
      <w:r w:rsidRPr="009257E7">
        <w:rPr>
          <w:lang w:val="es-ES"/>
        </w:rPr>
        <w:t xml:space="preserve">Celebrar elecciones libres y justas en Estados Unidos ha sido una lucha implacable desde 1787. Las reglas y </w:t>
      </w:r>
      <w:r w:rsidR="00C529DF" w:rsidRPr="009257E7">
        <w:rPr>
          <w:lang w:val="es-ES"/>
        </w:rPr>
        <w:t xml:space="preserve">las </w:t>
      </w:r>
      <w:r w:rsidRPr="009257E7">
        <w:rPr>
          <w:lang w:val="es-ES"/>
        </w:rPr>
        <w:t xml:space="preserve">prácticas que restringen el acceso a la democracia y al derecho se encuentran entre las </w:t>
      </w:r>
      <w:r w:rsidR="00B85BDF" w:rsidRPr="009257E7">
        <w:rPr>
          <w:lang w:val="es-ES"/>
        </w:rPr>
        <w:t>norm</w:t>
      </w:r>
      <w:r w:rsidRPr="009257E7">
        <w:rPr>
          <w:lang w:val="es-ES"/>
        </w:rPr>
        <w:t>as básicas y los conceptos fundacionales más importantes para sostener las castas identitarias. Lograr el reconocimiento de este derecho formal como igualitario, y proteger la capacidad de ejercerlo libremente, es una lucha intensa e interminable. El derecho al voto ha sido objeto de más enmiendas constitucionales que cualquier otro derecho: cuatro en total, aunque el derecho mismo no se menciona en el texto original:</w:t>
      </w:r>
    </w:p>
    <w:p w14:paraId="605F1A7B" w14:textId="77777777" w:rsidR="00641E26" w:rsidRPr="009257E7" w:rsidRDefault="00641E26" w:rsidP="00641E26">
      <w:pPr>
        <w:pStyle w:val="NormalWeb"/>
        <w:numPr>
          <w:ilvl w:val="0"/>
          <w:numId w:val="2"/>
        </w:numPr>
        <w:rPr>
          <w:lang w:val="es-ES"/>
        </w:rPr>
      </w:pPr>
      <w:r w:rsidRPr="009257E7">
        <w:rPr>
          <w:lang w:val="es-ES"/>
        </w:rPr>
        <w:t>En 1870, la Decimoquinta Enmienda dispuso que el derecho al voto “no será negado ni restringido” por motivo de “raza, color o condición previa de servidumbre”.</w:t>
      </w:r>
    </w:p>
    <w:p w14:paraId="3B87C9BC" w14:textId="77777777" w:rsidR="00641E26" w:rsidRPr="009257E7" w:rsidRDefault="00641E26" w:rsidP="00641E26">
      <w:pPr>
        <w:pStyle w:val="NormalWeb"/>
        <w:numPr>
          <w:ilvl w:val="0"/>
          <w:numId w:val="2"/>
        </w:numPr>
        <w:rPr>
          <w:lang w:val="es-ES"/>
        </w:rPr>
      </w:pPr>
      <w:r w:rsidRPr="009257E7">
        <w:rPr>
          <w:lang w:val="es-ES"/>
        </w:rPr>
        <w:t>En 1920, la Decimonovena Enmienda dispuso que el derecho al voto “no será negado ni restringido” por motivo de “sexo”.</w:t>
      </w:r>
    </w:p>
    <w:p w14:paraId="6352FE19" w14:textId="77777777" w:rsidR="00641E26" w:rsidRPr="009257E7" w:rsidRDefault="00641E26" w:rsidP="00641E26">
      <w:pPr>
        <w:pStyle w:val="NormalWeb"/>
        <w:numPr>
          <w:ilvl w:val="0"/>
          <w:numId w:val="2"/>
        </w:numPr>
        <w:rPr>
          <w:lang w:val="es-ES"/>
        </w:rPr>
      </w:pPr>
      <w:r w:rsidRPr="009257E7">
        <w:rPr>
          <w:lang w:val="es-ES"/>
        </w:rPr>
        <w:t>En 1964, la Vigesimocuarta Enmienda dispuso que el derecho al voto “no será negado ni restringido” por “no pagar ningún impuesto electoral u otro impuesto”.</w:t>
      </w:r>
    </w:p>
    <w:p w14:paraId="01EAE5E5" w14:textId="77777777" w:rsidR="00641E26" w:rsidRPr="009257E7" w:rsidRDefault="00641E26" w:rsidP="00641E26">
      <w:pPr>
        <w:pStyle w:val="NormalWeb"/>
        <w:numPr>
          <w:ilvl w:val="0"/>
          <w:numId w:val="2"/>
        </w:numPr>
        <w:rPr>
          <w:lang w:val="es-ES"/>
        </w:rPr>
      </w:pPr>
      <w:r w:rsidRPr="009257E7">
        <w:rPr>
          <w:lang w:val="es-ES"/>
        </w:rPr>
        <w:t>En 1971, la Vigesimosexta Enmienda dispuso que el derecho al voto de las personas mayores de dieciocho años “no será negado ni restringido” por motivo de “edad”.</w:t>
      </w:r>
    </w:p>
    <w:p w14:paraId="2B822961" w14:textId="637420F6" w:rsidR="00641E26" w:rsidRPr="009257E7" w:rsidRDefault="00641E26" w:rsidP="00F1039E">
      <w:pPr>
        <w:pStyle w:val="NormalWeb"/>
        <w:ind w:firstLine="360"/>
        <w:rPr>
          <w:lang w:val="es-ES"/>
        </w:rPr>
      </w:pPr>
      <w:r w:rsidRPr="009257E7">
        <w:rPr>
          <w:lang w:val="es-ES"/>
        </w:rPr>
        <w:t xml:space="preserve">Cada enmienda fue </w:t>
      </w:r>
      <w:r w:rsidR="00F1039E" w:rsidRPr="009257E7">
        <w:rPr>
          <w:lang w:val="es-ES"/>
        </w:rPr>
        <w:t xml:space="preserve">el </w:t>
      </w:r>
      <w:r w:rsidRPr="009257E7">
        <w:rPr>
          <w:lang w:val="es-ES"/>
        </w:rPr>
        <w:t>resultado de luchas contra la exclusión y buscó desplazar las reglas básicas en términos potencialmente transformadores: hacer el campo de juego más nivelado, poco a poco y grupo por grupo. Pero generaciones sucesivas de jueces han limitado su potencial, y legisladores y otros funcionarios gubernamentales han buscado evadirlas, con el apoyo de las élites empresariales y</w:t>
      </w:r>
      <w:r w:rsidR="005A2C84" w:rsidRPr="009257E7">
        <w:rPr>
          <w:lang w:val="es-ES"/>
        </w:rPr>
        <w:t>,</w:t>
      </w:r>
      <w:r w:rsidRPr="009257E7">
        <w:rPr>
          <w:lang w:val="es-ES"/>
        </w:rPr>
        <w:t xml:space="preserve"> </w:t>
      </w:r>
      <w:r w:rsidR="005A2C84" w:rsidRPr="009257E7">
        <w:rPr>
          <w:lang w:val="es-ES"/>
        </w:rPr>
        <w:t>cuando</w:t>
      </w:r>
      <w:r w:rsidRPr="009257E7">
        <w:rPr>
          <w:lang w:val="es-ES"/>
        </w:rPr>
        <w:t xml:space="preserve"> </w:t>
      </w:r>
      <w:r w:rsidR="005A2C84" w:rsidRPr="009257E7">
        <w:rPr>
          <w:lang w:val="es-ES"/>
        </w:rPr>
        <w:t>ha</w:t>
      </w:r>
      <w:r w:rsidRPr="009257E7">
        <w:rPr>
          <w:lang w:val="es-ES"/>
        </w:rPr>
        <w:t xml:space="preserve"> </w:t>
      </w:r>
      <w:r w:rsidR="005A2C84" w:rsidRPr="009257E7">
        <w:rPr>
          <w:lang w:val="es-ES"/>
        </w:rPr>
        <w:t>sido</w:t>
      </w:r>
      <w:r w:rsidRPr="009257E7">
        <w:rPr>
          <w:lang w:val="es-ES"/>
        </w:rPr>
        <w:t xml:space="preserve"> </w:t>
      </w:r>
      <w:r w:rsidR="005A2C84" w:rsidRPr="009257E7">
        <w:rPr>
          <w:lang w:val="es-ES"/>
        </w:rPr>
        <w:t>necesario,</w:t>
      </w:r>
      <w:r w:rsidRPr="009257E7">
        <w:rPr>
          <w:lang w:val="es-ES"/>
        </w:rPr>
        <w:t xml:space="preserve"> </w:t>
      </w:r>
      <w:r w:rsidR="005A2C84" w:rsidRPr="009257E7">
        <w:rPr>
          <w:lang w:val="es-ES"/>
        </w:rPr>
        <w:t>recurriendo</w:t>
      </w:r>
      <w:r w:rsidRPr="009257E7">
        <w:rPr>
          <w:lang w:val="es-ES"/>
        </w:rPr>
        <w:t xml:space="preserve"> </w:t>
      </w:r>
      <w:r w:rsidR="005A2C84" w:rsidRPr="009257E7">
        <w:rPr>
          <w:lang w:val="es-ES"/>
        </w:rPr>
        <w:t>a</w:t>
      </w:r>
      <w:r w:rsidRPr="009257E7">
        <w:rPr>
          <w:lang w:val="es-ES"/>
        </w:rPr>
        <w:t xml:space="preserve"> </w:t>
      </w:r>
      <w:r w:rsidR="005A2C84" w:rsidRPr="009257E7">
        <w:rPr>
          <w:lang w:val="es-ES"/>
        </w:rPr>
        <w:t>l</w:t>
      </w:r>
      <w:r w:rsidRPr="009257E7">
        <w:rPr>
          <w:lang w:val="es-ES"/>
        </w:rPr>
        <w:t xml:space="preserve">a </w:t>
      </w:r>
      <w:r w:rsidR="005A2C84" w:rsidRPr="009257E7">
        <w:rPr>
          <w:lang w:val="es-ES"/>
        </w:rPr>
        <w:t>violencia</w:t>
      </w:r>
      <w:r w:rsidRPr="009257E7">
        <w:rPr>
          <w:lang w:val="es-ES"/>
        </w:rPr>
        <w:t xml:space="preserve"> </w:t>
      </w:r>
      <w:r w:rsidR="005A2C84" w:rsidRPr="009257E7">
        <w:rPr>
          <w:lang w:val="es-ES"/>
        </w:rPr>
        <w:t>estatal</w:t>
      </w:r>
      <w:r w:rsidRPr="009257E7">
        <w:rPr>
          <w:lang w:val="es-ES"/>
        </w:rPr>
        <w:t xml:space="preserve">. Las élites </w:t>
      </w:r>
      <w:r w:rsidRPr="009257E7">
        <w:rPr>
          <w:lang w:val="es-ES"/>
        </w:rPr>
        <w:lastRenderedPageBreak/>
        <w:t xml:space="preserve">originales establecieron el sistema, y sus sucesores </w:t>
      </w:r>
      <w:r w:rsidR="005A2C84" w:rsidRPr="009257E7">
        <w:rPr>
          <w:lang w:val="es-ES"/>
        </w:rPr>
        <w:t>de</w:t>
      </w:r>
      <w:r w:rsidRPr="009257E7">
        <w:rPr>
          <w:lang w:val="es-ES"/>
        </w:rPr>
        <w:t xml:space="preserve"> interés persiguen hoy esa misma meta, o truco, del gobierno minoritario.</w:t>
      </w:r>
    </w:p>
    <w:p w14:paraId="7FC023D1" w14:textId="43CB9383" w:rsidR="00DE671F" w:rsidRPr="009257E7" w:rsidRDefault="00DE671F" w:rsidP="00E155F0">
      <w:pPr>
        <w:pStyle w:val="NormalWeb"/>
        <w:ind w:firstLine="360"/>
        <w:rPr>
          <w:lang w:val="es-ES"/>
        </w:rPr>
      </w:pPr>
      <w:proofErr w:type="gramStart"/>
      <w:r w:rsidRPr="009257E7">
        <w:rPr>
          <w:lang w:val="es-ES"/>
        </w:rPr>
        <w:t>Histórica</w:t>
      </w:r>
      <w:r w:rsidR="00E155F0" w:rsidRPr="009257E7">
        <w:rPr>
          <w:lang w:val="es-ES"/>
        </w:rPr>
        <w:t>mente</w:t>
      </w:r>
      <w:r w:rsidRPr="009257E7">
        <w:rPr>
          <w:lang w:val="es-ES"/>
        </w:rPr>
        <w:t xml:space="preserve"> y actualmente</w:t>
      </w:r>
      <w:proofErr w:type="gramEnd"/>
      <w:r w:rsidRPr="009257E7">
        <w:rPr>
          <w:lang w:val="es-ES"/>
        </w:rPr>
        <w:t>, la supresión del voto se logra mediante desinformación, intimidación, manipulación de distritos electorales y acceso restringido. Estas prácticas son establecidas por legisladores, implementadas en gran medida por funcionari</w:t>
      </w:r>
      <w:r w:rsidR="00E155F0" w:rsidRPr="009257E7">
        <w:rPr>
          <w:lang w:val="es-ES"/>
        </w:rPr>
        <w:t>o</w:t>
      </w:r>
      <w:r w:rsidRPr="009257E7">
        <w:rPr>
          <w:lang w:val="es-ES"/>
        </w:rPr>
        <w:t>s designad</w:t>
      </w:r>
      <w:r w:rsidR="00E155F0" w:rsidRPr="009257E7">
        <w:rPr>
          <w:lang w:val="es-ES"/>
        </w:rPr>
        <w:t>o</w:t>
      </w:r>
      <w:r w:rsidRPr="009257E7">
        <w:rPr>
          <w:lang w:val="es-ES"/>
        </w:rPr>
        <w:t>s y, cuando es necesario,</w:t>
      </w:r>
      <w:r w:rsidR="0009715D" w:rsidRPr="009257E7">
        <w:rPr>
          <w:lang w:val="es-ES"/>
        </w:rPr>
        <w:t xml:space="preserve"> defendidas</w:t>
      </w:r>
      <w:r w:rsidRPr="009257E7">
        <w:rPr>
          <w:lang w:val="es-ES"/>
        </w:rPr>
        <w:t xml:space="preserve"> por actores judiciales. Esta realidad quedó plenamente expuesta durante la elección presidencial de 2000 entre los candidatos George W. Bush y Al Gore, cuando cinco jueces de la Corte Suprema revocaron la decisión de la Corte Suprema de Florida. Por un solo voto, detuvieron el conteo de votos en Florida</w:t>
      </w:r>
      <w:r w:rsidR="0009715D" w:rsidRPr="009257E7">
        <w:rPr>
          <w:lang w:val="es-ES"/>
        </w:rPr>
        <w:t>,</w:t>
      </w:r>
      <w:r w:rsidRPr="009257E7">
        <w:rPr>
          <w:lang w:val="es-ES"/>
        </w:rPr>
        <w:t xml:space="preserve"> </w:t>
      </w:r>
      <w:r w:rsidR="0009715D" w:rsidRPr="009257E7">
        <w:rPr>
          <w:lang w:val="es-ES"/>
        </w:rPr>
        <w:t>pes</w:t>
      </w:r>
      <w:r w:rsidRPr="009257E7">
        <w:rPr>
          <w:lang w:val="es-ES"/>
        </w:rPr>
        <w:t xml:space="preserve">e a las disidencias vocales de sus cuatro colegas. La diferencia de votos en Florida era de apenas 537. Podía haber ido en cualquiera de las dos direcciones y, con ella, la presidencia. En cambio, la Corte Suprema de </w:t>
      </w:r>
      <w:r w:rsidR="0009715D" w:rsidRPr="009257E7">
        <w:rPr>
          <w:lang w:val="es-ES"/>
        </w:rPr>
        <w:t xml:space="preserve">los </w:t>
      </w:r>
      <w:r w:rsidRPr="009257E7">
        <w:rPr>
          <w:lang w:val="es-ES"/>
        </w:rPr>
        <w:t xml:space="preserve">Estados Unidos decidió a favor del candidato republicano George </w:t>
      </w:r>
      <w:r w:rsidR="0009715D" w:rsidRPr="009257E7">
        <w:rPr>
          <w:lang w:val="es-ES"/>
        </w:rPr>
        <w:t xml:space="preserve">W. </w:t>
      </w:r>
      <w:r w:rsidRPr="009257E7">
        <w:rPr>
          <w:lang w:val="es-ES"/>
        </w:rPr>
        <w:t xml:space="preserve">Bush. Gore, sin embargo, ganó el voto popular a nivel nacional. La lucha por votar y por suprimir el voto de manera selectiva solo se ha intensificado en las décadas posteriores a </w:t>
      </w:r>
      <w:r w:rsidRPr="009257E7">
        <w:rPr>
          <w:rStyle w:val="Emphasis"/>
          <w:lang w:val="es-ES"/>
        </w:rPr>
        <w:t>Bush v. Gore</w:t>
      </w:r>
      <w:r w:rsidR="008F15EE" w:rsidRPr="009257E7">
        <w:rPr>
          <w:rStyle w:val="FootnoteReference"/>
          <w:i/>
          <w:iCs/>
          <w:lang w:val="es-ES"/>
        </w:rPr>
        <w:footnoteReference w:id="102"/>
      </w:r>
      <w:r w:rsidRPr="009257E7">
        <w:rPr>
          <w:lang w:val="es-ES"/>
        </w:rPr>
        <w:t>.</w:t>
      </w:r>
    </w:p>
    <w:p w14:paraId="092AF81F" w14:textId="31BFCEF6" w:rsidR="00DE671F" w:rsidRPr="009257E7" w:rsidRDefault="00DE671F" w:rsidP="008F15EE">
      <w:pPr>
        <w:pStyle w:val="NormalWeb"/>
        <w:ind w:firstLine="360"/>
        <w:rPr>
          <w:lang w:val="es-ES"/>
        </w:rPr>
      </w:pPr>
      <w:r w:rsidRPr="009257E7">
        <w:rPr>
          <w:lang w:val="es-ES"/>
        </w:rPr>
        <w:t>Las luchas modernas por los derechos al voto no solo i</w:t>
      </w:r>
      <w:r w:rsidR="000041DC" w:rsidRPr="009257E7">
        <w:rPr>
          <w:lang w:val="es-ES"/>
        </w:rPr>
        <w:t>mplic</w:t>
      </w:r>
      <w:r w:rsidRPr="009257E7">
        <w:rPr>
          <w:lang w:val="es-ES"/>
        </w:rPr>
        <w:t xml:space="preserve">an la imposición de obstáculos tangibles al </w:t>
      </w:r>
      <w:r w:rsidR="000041DC" w:rsidRPr="009257E7">
        <w:rPr>
          <w:lang w:val="es-ES"/>
        </w:rPr>
        <w:t xml:space="preserve">ejercicio del </w:t>
      </w:r>
      <w:r w:rsidRPr="009257E7">
        <w:rPr>
          <w:lang w:val="es-ES"/>
        </w:rPr>
        <w:t>voto</w:t>
      </w:r>
      <w:r w:rsidR="000041DC" w:rsidRPr="009257E7">
        <w:rPr>
          <w:lang w:val="es-ES"/>
        </w:rPr>
        <w:t xml:space="preserve"> por parte</w:t>
      </w:r>
      <w:r w:rsidRPr="009257E7">
        <w:rPr>
          <w:lang w:val="es-ES"/>
        </w:rPr>
        <w:t xml:space="preserve"> de integrantes de grupos marginados. El poder electoral se concentra entre las élites y su “base” o aliades, mientras se diluye simultáneamente entre el resto, de maneras que otorgan ventajas afirmativas e imponen restricciones dirigidas. Por ejemplo, proveer abundantes centros de votación en algunas áreas ocurre al mismo tiempo que otras áreas </w:t>
      </w:r>
      <w:r w:rsidR="005C0491" w:rsidRPr="009257E7">
        <w:rPr>
          <w:lang w:val="es-ES"/>
        </w:rPr>
        <w:t>carecen</w:t>
      </w:r>
      <w:r w:rsidRPr="009257E7">
        <w:rPr>
          <w:lang w:val="es-ES"/>
        </w:rPr>
        <w:t xml:space="preserve"> de centros suficientes. El resultado es que las bases y aliades elitistas emiten más votos y con mayor rapidez que cualquier otra persona, lo que convierte </w:t>
      </w:r>
      <w:r w:rsidR="005C0491" w:rsidRPr="009257E7">
        <w:rPr>
          <w:lang w:val="es-ES"/>
        </w:rPr>
        <w:t xml:space="preserve">a </w:t>
      </w:r>
      <w:r w:rsidRPr="009257E7">
        <w:rPr>
          <w:lang w:val="es-ES"/>
        </w:rPr>
        <w:t xml:space="preserve">una minoría en una mayoría aparente. Entre los obstáculos relacionados se encuentran cerrar centros de votación o dejarlos sin personal suficiente y limitar los horarios de votación o el acceso al voto por correo o al voto adelantado. Las críticas antiguas al Servicio Postal de Estados Unidos se han convertido en llamados a retirarle fondos para impedir el envío y </w:t>
      </w:r>
      <w:r w:rsidR="00C83A17" w:rsidRPr="009257E7">
        <w:rPr>
          <w:lang w:val="es-ES"/>
        </w:rPr>
        <w:t xml:space="preserve">el </w:t>
      </w:r>
      <w:r w:rsidRPr="009257E7">
        <w:rPr>
          <w:lang w:val="es-ES"/>
        </w:rPr>
        <w:t xml:space="preserve">conteo de votos no emitidos en persona. Este conjunto multifacético de técnicas es </w:t>
      </w:r>
      <w:r w:rsidR="00C83A17" w:rsidRPr="009257E7">
        <w:rPr>
          <w:lang w:val="es-ES"/>
        </w:rPr>
        <w:t>aparentemente</w:t>
      </w:r>
      <w:r w:rsidRPr="009257E7">
        <w:rPr>
          <w:lang w:val="es-ES"/>
        </w:rPr>
        <w:t xml:space="preserve"> </w:t>
      </w:r>
      <w:r w:rsidR="00C83A17" w:rsidRPr="009257E7">
        <w:rPr>
          <w:lang w:val="es-ES"/>
        </w:rPr>
        <w:t>neutral</w:t>
      </w:r>
      <w:r w:rsidRPr="009257E7">
        <w:rPr>
          <w:lang w:val="es-ES"/>
        </w:rPr>
        <w:t xml:space="preserve">, pero está diseñado quirúrgicamente para </w:t>
      </w:r>
      <w:r w:rsidR="00C83A17" w:rsidRPr="009257E7">
        <w:rPr>
          <w:lang w:val="es-ES"/>
        </w:rPr>
        <w:t>canaliza</w:t>
      </w:r>
      <w:r w:rsidRPr="009257E7">
        <w:rPr>
          <w:lang w:val="es-ES"/>
        </w:rPr>
        <w:t xml:space="preserve">r ventajas u obstáculos electorales hacia grupos identitarios específicos. Este conjunto combina sustitutos jurídicos y prácticos de las identidades sociales para crear abundancia y escasez artificiales en el acceso al voto, lo </w:t>
      </w:r>
      <w:r w:rsidR="00C83A17" w:rsidRPr="009257E7">
        <w:rPr>
          <w:lang w:val="es-ES"/>
        </w:rPr>
        <w:t>que</w:t>
      </w:r>
      <w:r w:rsidRPr="009257E7">
        <w:rPr>
          <w:lang w:val="es-ES"/>
        </w:rPr>
        <w:t xml:space="preserve"> </w:t>
      </w:r>
      <w:r w:rsidR="00004340" w:rsidRPr="009257E7">
        <w:rPr>
          <w:lang w:val="es-ES"/>
        </w:rPr>
        <w:t>constituye</w:t>
      </w:r>
      <w:r w:rsidRPr="009257E7">
        <w:rPr>
          <w:lang w:val="es-ES"/>
        </w:rPr>
        <w:t xml:space="preserve"> un programa continuo desde arriba para secuestrar la democracia</w:t>
      </w:r>
      <w:r w:rsidR="00C83A17" w:rsidRPr="009257E7">
        <w:rPr>
          <w:lang w:val="es-ES"/>
        </w:rPr>
        <w:t>,</w:t>
      </w:r>
      <w:r w:rsidRPr="009257E7">
        <w:rPr>
          <w:lang w:val="es-ES"/>
        </w:rPr>
        <w:t xml:space="preserve"> sin importar las consecuencias.</w:t>
      </w:r>
    </w:p>
    <w:p w14:paraId="507D8604" w14:textId="471B6D5B" w:rsidR="00DE671F" w:rsidRPr="009257E7" w:rsidRDefault="00DE671F" w:rsidP="00004340">
      <w:pPr>
        <w:pStyle w:val="NormalWeb"/>
        <w:ind w:firstLine="360"/>
        <w:rPr>
          <w:lang w:val="es-ES"/>
        </w:rPr>
      </w:pPr>
      <w:r w:rsidRPr="009257E7">
        <w:rPr>
          <w:lang w:val="es-ES"/>
        </w:rPr>
        <w:t>Este programa</w:t>
      </w:r>
      <w:r w:rsidR="00004340" w:rsidRPr="009257E7">
        <w:rPr>
          <w:lang w:val="es-ES"/>
        </w:rPr>
        <w:t>,</w:t>
      </w:r>
      <w:r w:rsidRPr="009257E7">
        <w:rPr>
          <w:lang w:val="es-ES"/>
        </w:rPr>
        <w:t xml:space="preserve"> desde arriba</w:t>
      </w:r>
      <w:r w:rsidR="00004340" w:rsidRPr="009257E7">
        <w:rPr>
          <w:lang w:val="es-ES"/>
        </w:rPr>
        <w:t>,</w:t>
      </w:r>
      <w:r w:rsidRPr="009257E7">
        <w:rPr>
          <w:lang w:val="es-ES"/>
        </w:rPr>
        <w:t xml:space="preserve"> incluye actos oficiales que privan indebidamente a individuos de</w:t>
      </w:r>
      <w:r w:rsidR="00004340" w:rsidRPr="009257E7">
        <w:rPr>
          <w:lang w:val="es-ES"/>
        </w:rPr>
        <w:t xml:space="preserve"> su</w:t>
      </w:r>
      <w:r w:rsidRPr="009257E7">
        <w:rPr>
          <w:lang w:val="es-ES"/>
        </w:rPr>
        <w:t xml:space="preserve"> derecho al voto, como depuraciones de listas electorales, leyes restrictivas de identificación electoral y</w:t>
      </w:r>
      <w:r w:rsidR="00004340" w:rsidRPr="009257E7">
        <w:rPr>
          <w:lang w:val="es-ES"/>
        </w:rPr>
        <w:t xml:space="preserve"> la</w:t>
      </w:r>
      <w:r w:rsidRPr="009257E7">
        <w:rPr>
          <w:lang w:val="es-ES"/>
        </w:rPr>
        <w:t xml:space="preserve"> privación del derecho al voto por condenas penales. Aquí son evidentes los ejercicios antidemocráticos del poder. Por ejemplo, la Enmienda 4 constitucional de Florida fue adoptada en 2018 por una mayoría electoral abrumadora en un referéndum popular contra las leyes estatales </w:t>
      </w:r>
      <w:r w:rsidR="008638CE" w:rsidRPr="009257E7">
        <w:rPr>
          <w:lang w:val="es-ES"/>
        </w:rPr>
        <w:t>qu</w:t>
      </w:r>
      <w:r w:rsidRPr="009257E7">
        <w:rPr>
          <w:lang w:val="es-ES"/>
        </w:rPr>
        <w:t xml:space="preserve">e privan del derecho al voto </w:t>
      </w:r>
      <w:r w:rsidR="008638CE" w:rsidRPr="009257E7">
        <w:rPr>
          <w:lang w:val="es-ES"/>
        </w:rPr>
        <w:t>a</w:t>
      </w:r>
      <w:r w:rsidRPr="009257E7">
        <w:rPr>
          <w:lang w:val="es-ES"/>
        </w:rPr>
        <w:t xml:space="preserve"> </w:t>
      </w:r>
      <w:r w:rsidR="008638CE" w:rsidRPr="009257E7">
        <w:rPr>
          <w:lang w:val="es-ES"/>
        </w:rPr>
        <w:t>las perso</w:t>
      </w:r>
      <w:r w:rsidRPr="009257E7">
        <w:rPr>
          <w:lang w:val="es-ES"/>
        </w:rPr>
        <w:t xml:space="preserve">nas </w:t>
      </w:r>
      <w:r w:rsidR="008638CE" w:rsidRPr="009257E7">
        <w:rPr>
          <w:lang w:val="es-ES"/>
        </w:rPr>
        <w:t>condenadas por delito</w:t>
      </w:r>
      <w:r w:rsidRPr="009257E7">
        <w:rPr>
          <w:lang w:val="es-ES"/>
        </w:rPr>
        <w:t xml:space="preserve">s. La enmienda ordenaba la restauración automática del derecho al voto de </w:t>
      </w:r>
      <w:r w:rsidR="008638CE" w:rsidRPr="009257E7">
        <w:rPr>
          <w:lang w:val="es-ES"/>
        </w:rPr>
        <w:t xml:space="preserve">las </w:t>
      </w:r>
      <w:r w:rsidRPr="009257E7">
        <w:rPr>
          <w:lang w:val="es-ES"/>
        </w:rPr>
        <w:t xml:space="preserve">personas con condenas penales al completar sus sentencias, incluidas la libertad condicional y la probatoria. Inmediatamente después de la adopción de la Enmienda 4, la legislatura estatal promulgó restricciones nuevas “diseñadas específicamente para confundir, complicar y reducir el número de personas elegibles para votar bajo la Enmienda 4”. Estas restricciones hicieron del pago de costas judiciales, multas y cargos similares una condición previa para votar, “en contradicción directa con el lenguaje </w:t>
      </w:r>
      <w:r w:rsidRPr="009257E7">
        <w:rPr>
          <w:lang w:val="es-ES"/>
        </w:rPr>
        <w:lastRenderedPageBreak/>
        <w:t>claro e inequívoco de la Enmienda 4, que ordena la restauración automática del derecho al voto a quienes han c</w:t>
      </w:r>
      <w:r w:rsidR="00C8169A" w:rsidRPr="009257E7">
        <w:rPr>
          <w:lang w:val="es-ES"/>
        </w:rPr>
        <w:t>umpli</w:t>
      </w:r>
      <w:r w:rsidRPr="009257E7">
        <w:rPr>
          <w:lang w:val="es-ES"/>
        </w:rPr>
        <w:t>do los términos de su sentencia”</w:t>
      </w:r>
      <w:r w:rsidR="004063AC" w:rsidRPr="009257E7">
        <w:rPr>
          <w:rStyle w:val="FootnoteReference"/>
          <w:lang w:val="es-ES"/>
        </w:rPr>
        <w:footnoteReference w:id="103"/>
      </w:r>
      <w:r w:rsidRPr="009257E7">
        <w:rPr>
          <w:lang w:val="es-ES"/>
        </w:rPr>
        <w:t>. Este ejemplo muestra cómo la supresión selectiva del voto sigue siendo central en el manual desde arriba de las élites</w:t>
      </w:r>
      <w:r w:rsidR="00C8169A" w:rsidRPr="009257E7">
        <w:rPr>
          <w:lang w:val="es-ES"/>
        </w:rPr>
        <w:t>,</w:t>
      </w:r>
      <w:r w:rsidRPr="009257E7">
        <w:rPr>
          <w:lang w:val="es-ES"/>
        </w:rPr>
        <w:t xml:space="preserve"> para controlar la “democracia” sin importar las consecuencias.</w:t>
      </w:r>
    </w:p>
    <w:p w14:paraId="7A8B2F9A" w14:textId="1D93B432" w:rsidR="00DE671F" w:rsidRPr="009257E7" w:rsidRDefault="00DE671F" w:rsidP="004063AC">
      <w:pPr>
        <w:pStyle w:val="NormalWeb"/>
        <w:ind w:firstLine="360"/>
        <w:rPr>
          <w:lang w:val="es-ES"/>
        </w:rPr>
      </w:pPr>
      <w:r w:rsidRPr="009257E7">
        <w:rPr>
          <w:lang w:val="es-ES"/>
        </w:rPr>
        <w:t xml:space="preserve">Al subrayar este resultado sistémico fundamental, los politólogos Martin Gilens y </w:t>
      </w:r>
      <w:proofErr w:type="spellStart"/>
      <w:r w:rsidRPr="009257E7">
        <w:rPr>
          <w:lang w:val="es-ES"/>
        </w:rPr>
        <w:t>Benjamin</w:t>
      </w:r>
      <w:proofErr w:type="spellEnd"/>
      <w:r w:rsidRPr="009257E7">
        <w:rPr>
          <w:lang w:val="es-ES"/>
        </w:rPr>
        <w:t xml:space="preserve"> Page presentaron hallazgos empíricos que muestran cómo la democracia opera como instrumento de las élites económicas organizadas y de su poder colectivizado, a pesar de </w:t>
      </w:r>
      <w:r w:rsidR="004063AC" w:rsidRPr="009257E7">
        <w:rPr>
          <w:lang w:val="es-ES"/>
        </w:rPr>
        <w:t xml:space="preserve">los </w:t>
      </w:r>
      <w:r w:rsidRPr="009257E7">
        <w:rPr>
          <w:lang w:val="es-ES"/>
        </w:rPr>
        <w:t>sentimientos populares —y</w:t>
      </w:r>
      <w:r w:rsidR="004063AC" w:rsidRPr="009257E7">
        <w:rPr>
          <w:lang w:val="es-ES"/>
        </w:rPr>
        <w:t xml:space="preserve"> de las</w:t>
      </w:r>
      <w:r w:rsidRPr="009257E7">
        <w:rPr>
          <w:lang w:val="es-ES"/>
        </w:rPr>
        <w:t xml:space="preserve"> mayorías reales— en sentido contrario</w:t>
      </w:r>
      <w:r w:rsidR="005079D8" w:rsidRPr="009257E7">
        <w:rPr>
          <w:rStyle w:val="FootnoteReference"/>
          <w:lang w:val="es-ES"/>
        </w:rPr>
        <w:footnoteReference w:id="104"/>
      </w:r>
      <w:r w:rsidRPr="009257E7">
        <w:rPr>
          <w:lang w:val="es-ES"/>
        </w:rPr>
        <w:t xml:space="preserve">. Además, las élites económicas </w:t>
      </w:r>
      <w:r w:rsidR="00E25B8E" w:rsidRPr="009257E7">
        <w:rPr>
          <w:lang w:val="es-ES"/>
        </w:rPr>
        <w:t xml:space="preserve">se </w:t>
      </w:r>
      <w:r w:rsidRPr="009257E7">
        <w:rPr>
          <w:lang w:val="es-ES"/>
        </w:rPr>
        <w:t>corresponden con</w:t>
      </w:r>
      <w:r w:rsidR="00E25B8E" w:rsidRPr="009257E7">
        <w:rPr>
          <w:lang w:val="es-ES"/>
        </w:rPr>
        <w:t xml:space="preserve"> las</w:t>
      </w:r>
      <w:r w:rsidRPr="009257E7">
        <w:rPr>
          <w:lang w:val="es-ES"/>
        </w:rPr>
        <w:t xml:space="preserve"> élites raciales y de género, lo que conecta la clase con otras identidades sociales. </w:t>
      </w:r>
      <w:proofErr w:type="spellStart"/>
      <w:r w:rsidRPr="009257E7">
        <w:rPr>
          <w:lang w:val="es-ES"/>
        </w:rPr>
        <w:t>Gilens</w:t>
      </w:r>
      <w:proofErr w:type="spellEnd"/>
      <w:r w:rsidRPr="009257E7">
        <w:rPr>
          <w:lang w:val="es-ES"/>
        </w:rPr>
        <w:t xml:space="preserve"> y Page encontraron que la única fuerza capaz de detener a las élites económicas era la acción colectiva de grupos organizados: los individuos “promedio” pueden promover sus intereses y</w:t>
      </w:r>
      <w:r w:rsidR="005079D8" w:rsidRPr="009257E7">
        <w:rPr>
          <w:lang w:val="es-ES"/>
        </w:rPr>
        <w:t>,</w:t>
      </w:r>
      <w:r w:rsidRPr="009257E7">
        <w:rPr>
          <w:lang w:val="es-ES"/>
        </w:rPr>
        <w:t xml:space="preserve"> de hecho</w:t>
      </w:r>
      <w:r w:rsidR="005079D8" w:rsidRPr="009257E7">
        <w:rPr>
          <w:lang w:val="es-ES"/>
        </w:rPr>
        <w:t>,</w:t>
      </w:r>
      <w:r w:rsidRPr="009257E7">
        <w:rPr>
          <w:lang w:val="es-ES"/>
        </w:rPr>
        <w:t xml:space="preserve"> lo hacen, pero solo cuando colaboran en coaliciones. La democracia es un proceso diario de formulación de políticas durante todo el año, interrumpido por espectáculos electorales periódicos que producen poca diferencia en las decisiones de política pública. La campaña electoral debe combinarse con </w:t>
      </w:r>
      <w:r w:rsidR="001F7BAB" w:rsidRPr="009257E7">
        <w:rPr>
          <w:lang w:val="es-ES"/>
        </w:rPr>
        <w:t xml:space="preserve">la </w:t>
      </w:r>
      <w:r w:rsidRPr="009257E7">
        <w:rPr>
          <w:lang w:val="es-ES"/>
        </w:rPr>
        <w:t>organización desde abajo durante todo el año y con acci</w:t>
      </w:r>
      <w:r w:rsidR="001F7BAB" w:rsidRPr="009257E7">
        <w:rPr>
          <w:lang w:val="es-ES"/>
        </w:rPr>
        <w:t>ones</w:t>
      </w:r>
      <w:r w:rsidRPr="009257E7">
        <w:rPr>
          <w:lang w:val="es-ES"/>
        </w:rPr>
        <w:t xml:space="preserve"> enfocada</w:t>
      </w:r>
      <w:r w:rsidR="001F7BAB" w:rsidRPr="009257E7">
        <w:rPr>
          <w:lang w:val="es-ES"/>
        </w:rPr>
        <w:t>s</w:t>
      </w:r>
      <w:r w:rsidRPr="009257E7">
        <w:rPr>
          <w:lang w:val="es-ES"/>
        </w:rPr>
        <w:t xml:space="preserve"> en políticas públicas para marcar una diferencia. La democracia formal también forma parte del Desafío Crítico y de las luchas contra él.</w:t>
      </w:r>
    </w:p>
    <w:p w14:paraId="4B6C0716" w14:textId="1674A5F9" w:rsidR="004E7A6A" w:rsidRPr="009257E7" w:rsidRDefault="004E7A6A" w:rsidP="006E21D2">
      <w:pPr>
        <w:pStyle w:val="NormalWeb"/>
        <w:ind w:firstLine="360"/>
        <w:rPr>
          <w:lang w:val="es-ES"/>
        </w:rPr>
      </w:pPr>
      <w:r w:rsidRPr="009257E7">
        <w:rPr>
          <w:lang w:val="es-ES"/>
        </w:rPr>
        <w:t xml:space="preserve">Como señalan </w:t>
      </w:r>
      <w:proofErr w:type="spellStart"/>
      <w:r w:rsidRPr="009257E7">
        <w:rPr>
          <w:lang w:val="es-ES"/>
        </w:rPr>
        <w:t>Gilens</w:t>
      </w:r>
      <w:proofErr w:type="spellEnd"/>
      <w:r w:rsidRPr="009257E7">
        <w:rPr>
          <w:lang w:val="es-ES"/>
        </w:rPr>
        <w:t xml:space="preserve"> y Page, la toma de decisiones “democrática” en </w:t>
      </w:r>
      <w:r w:rsidR="006E21D2" w:rsidRPr="009257E7">
        <w:rPr>
          <w:lang w:val="es-ES"/>
        </w:rPr>
        <w:t xml:space="preserve">los </w:t>
      </w:r>
      <w:r w:rsidRPr="009257E7">
        <w:rPr>
          <w:lang w:val="es-ES"/>
        </w:rPr>
        <w:t>Estados Unidos contemporáneo</w:t>
      </w:r>
      <w:r w:rsidR="006E21D2" w:rsidRPr="009257E7">
        <w:rPr>
          <w:lang w:val="es-ES"/>
        </w:rPr>
        <w:t>s</w:t>
      </w:r>
      <w:r w:rsidRPr="009257E7">
        <w:rPr>
          <w:lang w:val="es-ES"/>
        </w:rPr>
        <w:t xml:space="preserve"> está sesgada de manera sistémica para derrotar a la democracia misma. Los individuos ricos y las corporaciones actúan de forma organizada para </w:t>
      </w:r>
      <w:r w:rsidR="006E21D2" w:rsidRPr="009257E7">
        <w:rPr>
          <w:lang w:val="es-ES"/>
        </w:rPr>
        <w:t>aprovech</w:t>
      </w:r>
      <w:r w:rsidRPr="009257E7">
        <w:rPr>
          <w:lang w:val="es-ES"/>
        </w:rPr>
        <w:t>ar el apalancamiento colectivo de su poder material concentrado y promover aún más sus intereses grupales. Las élites también se aseguran de que la gente “promedio” carezca de lo mismo: organización, recursos y poder.</w:t>
      </w:r>
    </w:p>
    <w:p w14:paraId="0A58B914" w14:textId="3A43C384" w:rsidR="004E7A6A" w:rsidRPr="009257E7" w:rsidRDefault="004E7A6A" w:rsidP="00574252">
      <w:pPr>
        <w:pStyle w:val="NormalWeb"/>
        <w:ind w:firstLine="360"/>
        <w:rPr>
          <w:lang w:val="es-ES"/>
        </w:rPr>
      </w:pPr>
      <w:r w:rsidRPr="009257E7">
        <w:rPr>
          <w:lang w:val="es-ES"/>
        </w:rPr>
        <w:t>En consecuencia, mayorías reales</w:t>
      </w:r>
      <w:r w:rsidR="00574252" w:rsidRPr="009257E7">
        <w:rPr>
          <w:lang w:val="es-ES"/>
        </w:rPr>
        <w:t xml:space="preserve"> y </w:t>
      </w:r>
      <w:r w:rsidRPr="009257E7">
        <w:rPr>
          <w:lang w:val="es-ES"/>
        </w:rPr>
        <w:t xml:space="preserve">documentadas de ciudadanes </w:t>
      </w:r>
      <w:proofErr w:type="gramStart"/>
      <w:r w:rsidRPr="009257E7">
        <w:rPr>
          <w:lang w:val="es-ES"/>
        </w:rPr>
        <w:t>diverses</w:t>
      </w:r>
      <w:proofErr w:type="gramEnd"/>
      <w:r w:rsidRPr="009257E7">
        <w:rPr>
          <w:lang w:val="es-ES"/>
        </w:rPr>
        <w:t xml:space="preserve"> pero promedio, rutinariamente no afectan los resultados de política pública cuando sus intereses o preferencias difieren de las prioridades de las élites económicas —en su mayoría blancas y hombres cis—. En asunto tras asunto</w:t>
      </w:r>
      <w:r w:rsidR="00CF20D0" w:rsidRPr="009257E7">
        <w:rPr>
          <w:lang w:val="es-ES"/>
        </w:rPr>
        <w:t>,</w:t>
      </w:r>
      <w:r w:rsidRPr="009257E7">
        <w:rPr>
          <w:lang w:val="es-ES"/>
        </w:rPr>
        <w:t xml:space="preserve"> examinado</w:t>
      </w:r>
      <w:r w:rsidR="00CF20D0" w:rsidRPr="009257E7">
        <w:rPr>
          <w:lang w:val="es-ES"/>
        </w:rPr>
        <w:t>s</w:t>
      </w:r>
      <w:r w:rsidRPr="009257E7">
        <w:rPr>
          <w:lang w:val="es-ES"/>
        </w:rPr>
        <w:t xml:space="preserve"> por Gilens y Page, los intereses elitistas dictaron la política pública, y esa política tendió a aumentar el poder ya concentrado de las élites para contiendas futuras. A menos que la abogacía sistémica lo controle, cada ronda de este tipo sigue el mismo patrón para arraigar aún más el Desafío Crítico.</w:t>
      </w:r>
    </w:p>
    <w:p w14:paraId="08C0DED4" w14:textId="5F92EE51" w:rsidR="004E7A6A" w:rsidRPr="009257E7" w:rsidRDefault="004E7A6A" w:rsidP="00CF20D0">
      <w:pPr>
        <w:pStyle w:val="NormalWeb"/>
        <w:ind w:firstLine="360"/>
        <w:rPr>
          <w:lang w:val="es-ES"/>
        </w:rPr>
      </w:pPr>
      <w:r w:rsidRPr="009257E7">
        <w:rPr>
          <w:lang w:val="es-ES"/>
        </w:rPr>
        <w:t xml:space="preserve">Esta historia ha reducido la democracia formal en </w:t>
      </w:r>
      <w:r w:rsidR="00CF20D0" w:rsidRPr="009257E7">
        <w:rPr>
          <w:lang w:val="es-ES"/>
        </w:rPr>
        <w:t xml:space="preserve">los </w:t>
      </w:r>
      <w:r w:rsidRPr="009257E7">
        <w:rPr>
          <w:lang w:val="es-ES"/>
        </w:rPr>
        <w:t>Estados Unidos, con el tiempo, a rituales públicos periódicos —elecciones— en los que, por lo general, menos de la mitad de les votantes elegibles se molestan en participar. Sin embargo, según encuestas regulares, est</w:t>
      </w:r>
      <w:r w:rsidR="00DE312B" w:rsidRPr="009257E7">
        <w:rPr>
          <w:lang w:val="es-ES"/>
        </w:rPr>
        <w:t>o</w:t>
      </w:r>
      <w:r w:rsidRPr="009257E7">
        <w:rPr>
          <w:lang w:val="es-ES"/>
        </w:rPr>
        <w:t xml:space="preserve">s votantes formalmente ausentes han </w:t>
      </w:r>
      <w:r w:rsidR="00DE312B" w:rsidRPr="009257E7">
        <w:rPr>
          <w:lang w:val="es-ES"/>
        </w:rPr>
        <w:t>expres</w:t>
      </w:r>
      <w:r w:rsidRPr="009257E7">
        <w:rPr>
          <w:lang w:val="es-ES"/>
        </w:rPr>
        <w:t xml:space="preserve">ado sus puntos de vista sobre el sistema y las “opciones” que este </w:t>
      </w:r>
      <w:r w:rsidR="00DE312B" w:rsidRPr="009257E7">
        <w:rPr>
          <w:lang w:val="es-ES"/>
        </w:rPr>
        <w:t>ofrec</w:t>
      </w:r>
      <w:r w:rsidRPr="009257E7">
        <w:rPr>
          <w:lang w:val="es-ES"/>
        </w:rPr>
        <w:t xml:space="preserve">e al pueblo. En efecto, han votado con sus pies, de forma individual y colectiva, </w:t>
      </w:r>
      <w:r w:rsidR="00DE312B" w:rsidRPr="009257E7">
        <w:rPr>
          <w:lang w:val="es-ES"/>
        </w:rPr>
        <w:t xml:space="preserve">por </w:t>
      </w:r>
      <w:r w:rsidRPr="009257E7">
        <w:rPr>
          <w:lang w:val="es-ES"/>
        </w:rPr>
        <w:t xml:space="preserve">su sentido de extrañamiento e inutilidad. Por diseño, esta reducción de la democracia a rituales públicos está profundamente racializada y </w:t>
      </w:r>
      <w:proofErr w:type="spellStart"/>
      <w:r w:rsidRPr="009257E7">
        <w:rPr>
          <w:lang w:val="es-ES"/>
        </w:rPr>
        <w:t>generizada</w:t>
      </w:r>
      <w:proofErr w:type="spellEnd"/>
      <w:r w:rsidRPr="009257E7">
        <w:rPr>
          <w:lang w:val="es-ES"/>
        </w:rPr>
        <w:t xml:space="preserve">. El académico del derecho Terry Smith explica cómo las élites adineradas y racializadas usan su control de la </w:t>
      </w:r>
      <w:r w:rsidRPr="009257E7">
        <w:rPr>
          <w:lang w:val="es-ES"/>
        </w:rPr>
        <w:lastRenderedPageBreak/>
        <w:t xml:space="preserve">adjudicación para asegurar su </w:t>
      </w:r>
      <w:r w:rsidR="009576B1" w:rsidRPr="009257E7">
        <w:rPr>
          <w:lang w:val="es-ES"/>
        </w:rPr>
        <w:t>dominio</w:t>
      </w:r>
      <w:r w:rsidRPr="009257E7">
        <w:rPr>
          <w:lang w:val="es-ES"/>
        </w:rPr>
        <w:t xml:space="preserve"> de la democracia, y viceversa. Todo el arreglo depende de suficientes votantes entrenad</w:t>
      </w:r>
      <w:r w:rsidR="009576B1" w:rsidRPr="009257E7">
        <w:rPr>
          <w:lang w:val="es-ES"/>
        </w:rPr>
        <w:t>o</w:t>
      </w:r>
      <w:r w:rsidRPr="009257E7">
        <w:rPr>
          <w:lang w:val="es-ES"/>
        </w:rPr>
        <w:t xml:space="preserve">s para actuar, </w:t>
      </w:r>
      <w:r w:rsidR="009576B1" w:rsidRPr="009257E7">
        <w:rPr>
          <w:lang w:val="es-ES"/>
        </w:rPr>
        <w:t xml:space="preserve">durante </w:t>
      </w:r>
      <w:r w:rsidRPr="009257E7">
        <w:rPr>
          <w:lang w:val="es-ES"/>
        </w:rPr>
        <w:t>suficiente tiempo, como integrantes de bloques raciales en choques electorales periódicos. Como explica Smith:</w:t>
      </w:r>
    </w:p>
    <w:p w14:paraId="6A312515" w14:textId="5DE70384" w:rsidR="004E7A6A" w:rsidRPr="009257E7" w:rsidRDefault="004E7A6A" w:rsidP="009576B1">
      <w:pPr>
        <w:pStyle w:val="NormalWeb"/>
        <w:ind w:left="360"/>
        <w:rPr>
          <w:lang w:val="es-ES"/>
        </w:rPr>
      </w:pPr>
      <w:r w:rsidRPr="009257E7">
        <w:rPr>
          <w:lang w:val="es-ES"/>
        </w:rPr>
        <w:t xml:space="preserve">Si soy una persona rica —y, correlativamente, una persona blanca—, puedo contribuir hasta $[3,500] por ciclo electoral [...] al candidato [federal] de mi elección. Puedo contribuir [dinero adicional] “duro” [dentro de límites especificados] [...] y una cantidad ilimitada de dinero “blando” [a un partido político o a un comité de acción política para actividades de “construcción partidaria”]. [...] Todas estas contribuciones y gastos pueden realizarse con </w:t>
      </w:r>
      <w:r w:rsidR="003145C5" w:rsidRPr="009257E7">
        <w:rPr>
          <w:lang w:val="es-ES"/>
        </w:rPr>
        <w:t>l</w:t>
      </w:r>
      <w:r w:rsidRPr="009257E7">
        <w:rPr>
          <w:lang w:val="es-ES"/>
        </w:rPr>
        <w:t xml:space="preserve">a intención o </w:t>
      </w:r>
      <w:r w:rsidR="003145C5" w:rsidRPr="009257E7">
        <w:rPr>
          <w:lang w:val="es-ES"/>
        </w:rPr>
        <w:t>el</w:t>
      </w:r>
      <w:r w:rsidRPr="009257E7">
        <w:rPr>
          <w:lang w:val="es-ES"/>
        </w:rPr>
        <w:t xml:space="preserve"> efecto </w:t>
      </w:r>
      <w:r w:rsidR="003145C5" w:rsidRPr="009257E7">
        <w:rPr>
          <w:lang w:val="es-ES"/>
        </w:rPr>
        <w:t xml:space="preserve">de </w:t>
      </w:r>
      <w:r w:rsidRPr="009257E7">
        <w:rPr>
          <w:lang w:val="es-ES"/>
        </w:rPr>
        <w:t>subordina</w:t>
      </w:r>
      <w:r w:rsidR="003145C5" w:rsidRPr="009257E7">
        <w:rPr>
          <w:lang w:val="es-ES"/>
        </w:rPr>
        <w:t>ción</w:t>
      </w:r>
      <w:r w:rsidRPr="009257E7">
        <w:rPr>
          <w:lang w:val="es-ES"/>
        </w:rPr>
        <w:t>; es decir, pueden usarse para movilizar mayorías de votantes contra grupos externos. [...] [L]a Constitución, al menos según la interpretación de la Corte y de l</w:t>
      </w:r>
      <w:r w:rsidR="00555416" w:rsidRPr="009257E7">
        <w:rPr>
          <w:lang w:val="es-ES"/>
        </w:rPr>
        <w:t>o</w:t>
      </w:r>
      <w:r w:rsidRPr="009257E7">
        <w:rPr>
          <w:lang w:val="es-ES"/>
        </w:rPr>
        <w:t xml:space="preserve">s opositores de la reforma, permite que los recursos privados </w:t>
      </w:r>
      <w:r w:rsidR="00555416" w:rsidRPr="009257E7">
        <w:rPr>
          <w:lang w:val="es-ES"/>
        </w:rPr>
        <w:t>ejerz</w:t>
      </w:r>
      <w:r w:rsidRPr="009257E7">
        <w:rPr>
          <w:lang w:val="es-ES"/>
        </w:rPr>
        <w:t>an una influencia liberal —algunas personas dirían prácticamente sin control— sobre la esfera pública.</w:t>
      </w:r>
    </w:p>
    <w:p w14:paraId="7A688E10" w14:textId="727E23B2" w:rsidR="004E7A6A" w:rsidRPr="009257E7" w:rsidRDefault="004E7A6A" w:rsidP="009576B1">
      <w:pPr>
        <w:pStyle w:val="NormalWeb"/>
        <w:ind w:left="360"/>
        <w:rPr>
          <w:lang w:val="es-ES"/>
        </w:rPr>
      </w:pPr>
      <w:r w:rsidRPr="009257E7">
        <w:rPr>
          <w:lang w:val="es-ES"/>
        </w:rPr>
        <w:t>Ahora supongamos que soy un votante negr</w:t>
      </w:r>
      <w:r w:rsidR="00555416" w:rsidRPr="009257E7">
        <w:rPr>
          <w:lang w:val="es-ES"/>
        </w:rPr>
        <w:t>o</w:t>
      </w:r>
      <w:r w:rsidRPr="009257E7">
        <w:rPr>
          <w:lang w:val="es-ES"/>
        </w:rPr>
        <w:t xml:space="preserve"> —y, correlativamente, más pobre—. [...] Quiero postularme al Congreso. [...] Yo, junto con un grupo de otres votantes negr</w:t>
      </w:r>
      <w:r w:rsidR="00555416" w:rsidRPr="009257E7">
        <w:rPr>
          <w:lang w:val="es-ES"/>
        </w:rPr>
        <w:t>o</w:t>
      </w:r>
      <w:r w:rsidRPr="009257E7">
        <w:rPr>
          <w:lang w:val="es-ES"/>
        </w:rPr>
        <w:t>s con ideas afines, cabildeo ante integrantes de nuestro caucus legislativo estatal negro, quienes</w:t>
      </w:r>
      <w:r w:rsidR="00555416" w:rsidRPr="009257E7">
        <w:rPr>
          <w:lang w:val="es-ES"/>
        </w:rPr>
        <w:t>,</w:t>
      </w:r>
      <w:r w:rsidRPr="009257E7">
        <w:rPr>
          <w:lang w:val="es-ES"/>
        </w:rPr>
        <w:t xml:space="preserve"> a su vez</w:t>
      </w:r>
      <w:r w:rsidR="00555416" w:rsidRPr="009257E7">
        <w:rPr>
          <w:lang w:val="es-ES"/>
        </w:rPr>
        <w:t>,</w:t>
      </w:r>
      <w:r w:rsidRPr="009257E7">
        <w:rPr>
          <w:lang w:val="es-ES"/>
        </w:rPr>
        <w:t xml:space="preserve"> presionan a sus colegas blan</w:t>
      </w:r>
      <w:r w:rsidR="006D3EAC" w:rsidRPr="009257E7">
        <w:rPr>
          <w:lang w:val="es-ES"/>
        </w:rPr>
        <w:t>co</w:t>
      </w:r>
      <w:r w:rsidRPr="009257E7">
        <w:rPr>
          <w:lang w:val="es-ES"/>
        </w:rPr>
        <w:t>s del partido para crear un distrito de mayoría-minoría. [...] Tenemos éxito. [...]</w:t>
      </w:r>
    </w:p>
    <w:p w14:paraId="181EEA2F" w14:textId="065CDA3C" w:rsidR="004E7A6A" w:rsidRPr="009257E7" w:rsidRDefault="004E7A6A" w:rsidP="009576B1">
      <w:pPr>
        <w:pStyle w:val="NormalWeb"/>
        <w:ind w:left="360"/>
        <w:rPr>
          <w:lang w:val="es-ES"/>
        </w:rPr>
      </w:pPr>
      <w:r w:rsidRPr="009257E7">
        <w:rPr>
          <w:lang w:val="es-ES"/>
        </w:rPr>
        <w:t xml:space="preserve">[Esos] distritos, sin embargo, son declarados inconstitucionales bajo la Decimocuarta </w:t>
      </w:r>
      <w:proofErr w:type="gramStart"/>
      <w:r w:rsidRPr="009257E7">
        <w:rPr>
          <w:lang w:val="es-ES"/>
        </w:rPr>
        <w:t>Enmienda[</w:t>
      </w:r>
      <w:proofErr w:type="gramEnd"/>
      <w:r w:rsidRPr="009257E7">
        <w:rPr>
          <w:lang w:val="es-ES"/>
        </w:rPr>
        <w:t>:] [...] “Cuando el Estado asigna votantes sobre la base de la raza, incurre en la suposición ofensiva y degradante de que l</w:t>
      </w:r>
      <w:r w:rsidR="006D3EAC" w:rsidRPr="009257E7">
        <w:rPr>
          <w:lang w:val="es-ES"/>
        </w:rPr>
        <w:t>o</w:t>
      </w:r>
      <w:r w:rsidRPr="009257E7">
        <w:rPr>
          <w:lang w:val="es-ES"/>
        </w:rPr>
        <w:t>s votantes de una raza particular, por causa de su raza, ‘piensan igual, comparten los mismos intereses políticos y preferirán l</w:t>
      </w:r>
      <w:r w:rsidR="006D3EAC" w:rsidRPr="009257E7">
        <w:rPr>
          <w:lang w:val="es-ES"/>
        </w:rPr>
        <w:t>o</w:t>
      </w:r>
      <w:r w:rsidRPr="009257E7">
        <w:rPr>
          <w:lang w:val="es-ES"/>
        </w:rPr>
        <w:t>s mism</w:t>
      </w:r>
      <w:r w:rsidR="006D3EAC" w:rsidRPr="009257E7">
        <w:rPr>
          <w:lang w:val="es-ES"/>
        </w:rPr>
        <w:t>o</w:t>
      </w:r>
      <w:r w:rsidRPr="009257E7">
        <w:rPr>
          <w:lang w:val="es-ES"/>
        </w:rPr>
        <w:t>s candidat</w:t>
      </w:r>
      <w:r w:rsidR="006D3EAC" w:rsidRPr="009257E7">
        <w:rPr>
          <w:lang w:val="es-ES"/>
        </w:rPr>
        <w:t>o</w:t>
      </w:r>
      <w:r w:rsidRPr="009257E7">
        <w:rPr>
          <w:lang w:val="es-ES"/>
        </w:rPr>
        <w:t>s en las urnas’”. La respuesta breve a la preocupación de la Corte es que las personas negras prefieren o no prefieren candidat</w:t>
      </w:r>
      <w:r w:rsidR="00547CCA" w:rsidRPr="009257E7">
        <w:rPr>
          <w:lang w:val="es-ES"/>
        </w:rPr>
        <w:t>o</w:t>
      </w:r>
      <w:r w:rsidRPr="009257E7">
        <w:rPr>
          <w:lang w:val="es-ES"/>
        </w:rPr>
        <w:t>s de su misma raza. Si los prefieren, ¿por qué esta expresión no está tan protegida como el gasto de dinero bajo la Primera Enmienda? En resumen, ¿por qué la Corte Suprema es blanda con el dinero, pero dura con la raza?</w:t>
      </w:r>
      <w:r w:rsidR="008C125D" w:rsidRPr="009257E7">
        <w:rPr>
          <w:rStyle w:val="FootnoteReference"/>
          <w:lang w:val="es-ES"/>
        </w:rPr>
        <w:footnoteReference w:id="105"/>
      </w:r>
    </w:p>
    <w:p w14:paraId="750AD5FA" w14:textId="184AB090" w:rsidR="004E7A6A" w:rsidRPr="009257E7" w:rsidRDefault="004E7A6A" w:rsidP="008C125D">
      <w:pPr>
        <w:pStyle w:val="NormalWeb"/>
        <w:ind w:firstLine="360"/>
        <w:rPr>
          <w:lang w:val="es-ES"/>
        </w:rPr>
      </w:pPr>
      <w:r w:rsidRPr="009257E7">
        <w:rPr>
          <w:lang w:val="es-ES"/>
        </w:rPr>
        <w:t xml:space="preserve">Smith muestra cómo </w:t>
      </w:r>
      <w:r w:rsidR="008C125D" w:rsidRPr="009257E7">
        <w:rPr>
          <w:lang w:val="es-ES"/>
        </w:rPr>
        <w:t xml:space="preserve">los </w:t>
      </w:r>
      <w:r w:rsidRPr="009257E7">
        <w:rPr>
          <w:lang w:val="es-ES"/>
        </w:rPr>
        <w:t>jueces nombrad</w:t>
      </w:r>
      <w:r w:rsidR="008C125D" w:rsidRPr="009257E7">
        <w:rPr>
          <w:lang w:val="es-ES"/>
        </w:rPr>
        <w:t>o</w:t>
      </w:r>
      <w:r w:rsidRPr="009257E7">
        <w:rPr>
          <w:lang w:val="es-ES"/>
        </w:rPr>
        <w:t xml:space="preserve">s por las élites equiparan el dinero con la expresión por decreto. Esta equiparación se afirma judicialmente como derecho precisamente porque puede eximir a quienes ejercen poder en forma de dinero “grande” y “oscuro” de prácticamente toda </w:t>
      </w:r>
      <w:r w:rsidR="00AF560A" w:rsidRPr="009257E7">
        <w:rPr>
          <w:lang w:val="es-ES"/>
        </w:rPr>
        <w:t xml:space="preserve">la </w:t>
      </w:r>
      <w:r w:rsidRPr="009257E7">
        <w:rPr>
          <w:lang w:val="es-ES"/>
        </w:rPr>
        <w:t xml:space="preserve">divulgación pública o </w:t>
      </w:r>
      <w:r w:rsidR="00AF560A" w:rsidRPr="009257E7">
        <w:rPr>
          <w:lang w:val="es-ES"/>
        </w:rPr>
        <w:t xml:space="preserve">la </w:t>
      </w:r>
      <w:r w:rsidRPr="009257E7">
        <w:rPr>
          <w:lang w:val="es-ES"/>
        </w:rPr>
        <w:t>regulación jurídica, aunque nada en la Primera Enmienda exige esta decisión antidemocrática. Al mismo tiempo, es</w:t>
      </w:r>
      <w:r w:rsidR="00AF560A" w:rsidRPr="009257E7">
        <w:rPr>
          <w:lang w:val="es-ES"/>
        </w:rPr>
        <w:t>o</w:t>
      </w:r>
      <w:r w:rsidRPr="009257E7">
        <w:rPr>
          <w:lang w:val="es-ES"/>
        </w:rPr>
        <w:t>s mism</w:t>
      </w:r>
      <w:r w:rsidR="00AF560A" w:rsidRPr="009257E7">
        <w:rPr>
          <w:lang w:val="es-ES"/>
        </w:rPr>
        <w:t>o</w:t>
      </w:r>
      <w:r w:rsidRPr="009257E7">
        <w:rPr>
          <w:lang w:val="es-ES"/>
        </w:rPr>
        <w:t>s integrantes designad</w:t>
      </w:r>
      <w:r w:rsidR="00AF560A" w:rsidRPr="009257E7">
        <w:rPr>
          <w:lang w:val="es-ES"/>
        </w:rPr>
        <w:t>o</w:t>
      </w:r>
      <w:r w:rsidRPr="009257E7">
        <w:rPr>
          <w:lang w:val="es-ES"/>
        </w:rPr>
        <w:t xml:space="preserve">s restringen la capacidad de los grupos subordinados —como las personas negras en Estados Unidos— para organizarse en torno a agravios raciales compartidos con fines de acción democrática, al equiparar esos esfuerzos con decisiones “sospechosas” sometidas a “escrutinio estricto” judicial. Esta prohibición se impone judicialmente precisamente porque esos agravios </w:t>
      </w:r>
      <w:r w:rsidR="00AF560A" w:rsidRPr="009257E7">
        <w:rPr>
          <w:lang w:val="es-ES"/>
        </w:rPr>
        <w:t>constituye</w:t>
      </w:r>
      <w:r w:rsidRPr="009257E7">
        <w:rPr>
          <w:lang w:val="es-ES"/>
        </w:rPr>
        <w:t>n lesiones sistémicas ya racializadas, aunque nada en la Decimocuarta Enmienda justifica ni exige este esquema dual. De hecho, un régimen jurídico basado en principios derivados de estas dos enmiendas podría entenderse como uno que exige exactamente lo contrario de este statu quo.</w:t>
      </w:r>
    </w:p>
    <w:p w14:paraId="3FF24DD6" w14:textId="2FB715C3" w:rsidR="00720FE2" w:rsidRPr="009257E7" w:rsidRDefault="00720FE2" w:rsidP="00720FE2">
      <w:pPr>
        <w:pStyle w:val="NormalWeb"/>
        <w:ind w:firstLine="360"/>
        <w:rPr>
          <w:lang w:val="es-ES"/>
        </w:rPr>
      </w:pPr>
      <w:r w:rsidRPr="009257E7">
        <w:rPr>
          <w:lang w:val="es-ES"/>
        </w:rPr>
        <w:lastRenderedPageBreak/>
        <w:t xml:space="preserve">Las élites económicas racializadas y </w:t>
      </w:r>
      <w:proofErr w:type="spellStart"/>
      <w:r w:rsidRPr="009257E7">
        <w:rPr>
          <w:lang w:val="es-ES"/>
        </w:rPr>
        <w:t>generizadas</w:t>
      </w:r>
      <w:proofErr w:type="spellEnd"/>
      <w:r w:rsidRPr="009257E7">
        <w:rPr>
          <w:lang w:val="es-ES"/>
        </w:rPr>
        <w:t xml:space="preserve"> usan colectivamente su dinero y </w:t>
      </w:r>
      <w:r w:rsidR="000E43C5" w:rsidRPr="009257E7">
        <w:rPr>
          <w:lang w:val="es-ES"/>
        </w:rPr>
        <w:t xml:space="preserve">su </w:t>
      </w:r>
      <w:r w:rsidRPr="009257E7">
        <w:rPr>
          <w:lang w:val="es-ES"/>
        </w:rPr>
        <w:t>poder acumulados para manipular la adjudicación en combinación con la democracia. Las élites y sus aliades trabajan intensamente para movilizar el apoyo público, sobre todo entre votantes blan</w:t>
      </w:r>
      <w:r w:rsidR="000E43C5" w:rsidRPr="009257E7">
        <w:rPr>
          <w:lang w:val="es-ES"/>
        </w:rPr>
        <w:t>co</w:t>
      </w:r>
      <w:r w:rsidRPr="009257E7">
        <w:rPr>
          <w:lang w:val="es-ES"/>
        </w:rPr>
        <w:t>s y de clase media, a favor de estos esquemas antidemocráticos. A menudo, las élites despliegan mitos racializados sobre fraude electoral para desviar la atención de los abusos desde arriba del derecho y el poder, dirigidos a manipular los resultados electorales en todo el país.</w:t>
      </w:r>
    </w:p>
    <w:p w14:paraId="602033DD" w14:textId="7339667E" w:rsidR="008F5B70" w:rsidRPr="009257E7" w:rsidRDefault="00720FE2" w:rsidP="000E43C5">
      <w:pPr>
        <w:pStyle w:val="NormalWeb"/>
        <w:ind w:firstLine="360"/>
        <w:rPr>
          <w:b/>
          <w:bCs/>
          <w:lang w:val="es-ES"/>
        </w:rPr>
      </w:pPr>
      <w:r w:rsidRPr="009257E7">
        <w:rPr>
          <w:lang w:val="es-ES"/>
        </w:rPr>
        <w:t xml:space="preserve">Mediante los sustitutos de la política de “silbato para perros” y la creación y manipulación desde arriba de “noticias falsas”, las élites engañan e inflaman al público con falsedades cada vez mayores. Como otras formas de opresión, las campañas de supresión del voto </w:t>
      </w:r>
      <w:r w:rsidR="000E43C5" w:rsidRPr="009257E7">
        <w:rPr>
          <w:lang w:val="es-ES"/>
        </w:rPr>
        <w:t>emple</w:t>
      </w:r>
      <w:r w:rsidRPr="009257E7">
        <w:rPr>
          <w:lang w:val="es-ES"/>
        </w:rPr>
        <w:t>an toda</w:t>
      </w:r>
      <w:r w:rsidR="000E43C5" w:rsidRPr="009257E7">
        <w:rPr>
          <w:lang w:val="es-ES"/>
        </w:rPr>
        <w:t>s</w:t>
      </w:r>
      <w:r w:rsidRPr="009257E7">
        <w:rPr>
          <w:lang w:val="es-ES"/>
        </w:rPr>
        <w:t xml:space="preserve"> </w:t>
      </w:r>
      <w:r w:rsidR="000E43C5" w:rsidRPr="009257E7">
        <w:rPr>
          <w:lang w:val="es-ES"/>
        </w:rPr>
        <w:t>las herramientas</w:t>
      </w:r>
      <w:r w:rsidRPr="009257E7">
        <w:rPr>
          <w:lang w:val="es-ES"/>
        </w:rPr>
        <w:t xml:space="preserve"> y oportunidad</w:t>
      </w:r>
      <w:r w:rsidR="000E43C5" w:rsidRPr="009257E7">
        <w:rPr>
          <w:lang w:val="es-ES"/>
        </w:rPr>
        <w:t>es</w:t>
      </w:r>
      <w:r w:rsidRPr="009257E7">
        <w:rPr>
          <w:lang w:val="es-ES"/>
        </w:rPr>
        <w:t xml:space="preserve"> disponible</w:t>
      </w:r>
      <w:r w:rsidR="000E43C5" w:rsidRPr="009257E7">
        <w:rPr>
          <w:lang w:val="es-ES"/>
        </w:rPr>
        <w:t>s</w:t>
      </w:r>
      <w:r w:rsidRPr="009257E7">
        <w:rPr>
          <w:lang w:val="es-ES"/>
        </w:rPr>
        <w:t xml:space="preserve"> para impedir una democracia popular y participativa. Este es el mundo complejo en el que trabajan les abogades sistémiques cuando usan las herramientas de la democracia formal para promover la justicia desde abajo en un mundo de ideología neoliberal y violencia sistémica.</w:t>
      </w:r>
      <w:r w:rsidR="000E43C5" w:rsidRPr="009257E7">
        <w:rPr>
          <w:lang w:val="es-ES"/>
        </w:rPr>
        <w:br/>
      </w:r>
      <w:r w:rsidR="008F5B70" w:rsidRPr="009257E7">
        <w:rPr>
          <w:b/>
          <w:bCs/>
          <w:lang w:val="es-ES"/>
        </w:rPr>
        <w:br/>
        <w:t>2.5 El capitalismo racial, la ideología neoliberal y la violencia legalizada concentran, magnifican e imponen el poder público de las élites privadas</w:t>
      </w:r>
    </w:p>
    <w:p w14:paraId="6A74AA26" w14:textId="77777777" w:rsidR="00482EC0" w:rsidRPr="009257E7" w:rsidRDefault="00482EC0" w:rsidP="002713A9">
      <w:pPr>
        <w:pStyle w:val="NormalWeb"/>
        <w:ind w:firstLine="360"/>
        <w:rPr>
          <w:lang w:val="es-ES"/>
        </w:rPr>
      </w:pPr>
      <w:r w:rsidRPr="009257E7">
        <w:rPr>
          <w:lang w:val="es-ES"/>
        </w:rPr>
        <w:t xml:space="preserve">El académico de </w:t>
      </w:r>
      <w:proofErr w:type="spellStart"/>
      <w:r w:rsidRPr="009257E7">
        <w:rPr>
          <w:lang w:val="es-ES"/>
        </w:rPr>
        <w:t>Critical</w:t>
      </w:r>
      <w:proofErr w:type="spellEnd"/>
      <w:r w:rsidRPr="009257E7">
        <w:rPr>
          <w:lang w:val="es-ES"/>
        </w:rPr>
        <w:t xml:space="preserve"> </w:t>
      </w:r>
      <w:proofErr w:type="spellStart"/>
      <w:r w:rsidRPr="009257E7">
        <w:rPr>
          <w:lang w:val="es-ES"/>
        </w:rPr>
        <w:t>Race</w:t>
      </w:r>
      <w:proofErr w:type="spellEnd"/>
      <w:r w:rsidRPr="009257E7">
        <w:rPr>
          <w:lang w:val="es-ES"/>
        </w:rPr>
        <w:t xml:space="preserve"> Theory y </w:t>
      </w:r>
      <w:proofErr w:type="spellStart"/>
      <w:r w:rsidRPr="009257E7">
        <w:rPr>
          <w:lang w:val="es-ES"/>
        </w:rPr>
        <w:t>LatCrit</w:t>
      </w:r>
      <w:proofErr w:type="spellEnd"/>
      <w:r w:rsidRPr="009257E7">
        <w:rPr>
          <w:lang w:val="es-ES"/>
        </w:rPr>
        <w:t xml:space="preserve"> Charles Pouncy observó que:</w:t>
      </w:r>
    </w:p>
    <w:p w14:paraId="18B052F7" w14:textId="1A76702D" w:rsidR="00482EC0" w:rsidRPr="009257E7" w:rsidRDefault="00482EC0" w:rsidP="006F4912">
      <w:pPr>
        <w:pStyle w:val="NormalWeb"/>
        <w:ind w:left="360"/>
        <w:rPr>
          <w:lang w:val="es-ES"/>
        </w:rPr>
      </w:pPr>
      <w:r w:rsidRPr="009257E7">
        <w:rPr>
          <w:lang w:val="es-ES"/>
        </w:rPr>
        <w:t>El neoliberalismo magnifica la precariedad y sus consecuencias. La estructura y el impacto de esas consecuencias están determinados tanto por el acontecimiento como por los instrumentos económicos desplegados para mantener</w:t>
      </w:r>
      <w:r w:rsidR="006F4912" w:rsidRPr="009257E7">
        <w:rPr>
          <w:lang w:val="es-ES"/>
        </w:rPr>
        <w:t>lo</w:t>
      </w:r>
      <w:r w:rsidRPr="009257E7">
        <w:rPr>
          <w:lang w:val="es-ES"/>
        </w:rPr>
        <w:t>, corregir</w:t>
      </w:r>
      <w:r w:rsidR="006F4912" w:rsidRPr="009257E7">
        <w:rPr>
          <w:lang w:val="es-ES"/>
        </w:rPr>
        <w:t>lo</w:t>
      </w:r>
      <w:r w:rsidRPr="009257E7">
        <w:rPr>
          <w:lang w:val="es-ES"/>
        </w:rPr>
        <w:t xml:space="preserve"> o amplificar</w:t>
      </w:r>
      <w:r w:rsidR="006F4912" w:rsidRPr="009257E7">
        <w:rPr>
          <w:lang w:val="es-ES"/>
        </w:rPr>
        <w:t>l</w:t>
      </w:r>
      <w:r w:rsidRPr="009257E7">
        <w:rPr>
          <w:lang w:val="es-ES"/>
        </w:rPr>
        <w:t>o. [...] [C]</w:t>
      </w:r>
      <w:proofErr w:type="spellStart"/>
      <w:r w:rsidRPr="009257E7">
        <w:rPr>
          <w:lang w:val="es-ES"/>
        </w:rPr>
        <w:t>omo</w:t>
      </w:r>
      <w:proofErr w:type="spellEnd"/>
      <w:r w:rsidRPr="009257E7">
        <w:rPr>
          <w:lang w:val="es-ES"/>
        </w:rPr>
        <w:t xml:space="preserve"> consecuencia, las corporaciones, instrumentos del capital, experimentan una rentabilidad sin precedentes, mientras las clases trabajadoras y medias e</w:t>
      </w:r>
      <w:r w:rsidR="006F4912" w:rsidRPr="009257E7">
        <w:rPr>
          <w:lang w:val="es-ES"/>
        </w:rPr>
        <w:t>nfr</w:t>
      </w:r>
      <w:r w:rsidRPr="009257E7">
        <w:rPr>
          <w:lang w:val="es-ES"/>
        </w:rPr>
        <w:t>entan dificultades cada vez mayores [y una precariedad económica c</w:t>
      </w:r>
      <w:r w:rsidR="006F4912" w:rsidRPr="009257E7">
        <w:rPr>
          <w:lang w:val="es-ES"/>
        </w:rPr>
        <w:t>reciente</w:t>
      </w:r>
      <w:r w:rsidRPr="009257E7">
        <w:rPr>
          <w:lang w:val="es-ES"/>
        </w:rPr>
        <w:t>].</w:t>
      </w:r>
      <w:r w:rsidR="008240E1" w:rsidRPr="009257E7">
        <w:rPr>
          <w:rStyle w:val="FootnoteReference"/>
          <w:lang w:val="es-ES"/>
        </w:rPr>
        <w:footnoteReference w:id="106"/>
      </w:r>
    </w:p>
    <w:p w14:paraId="3F6B9B6E" w14:textId="48C9B077" w:rsidR="00482EC0" w:rsidRPr="009257E7" w:rsidRDefault="00482EC0" w:rsidP="008240E1">
      <w:pPr>
        <w:pStyle w:val="NormalWeb"/>
        <w:ind w:firstLine="360"/>
        <w:rPr>
          <w:lang w:val="es-ES"/>
        </w:rPr>
      </w:pPr>
      <w:r w:rsidRPr="009257E7">
        <w:rPr>
          <w:lang w:val="es-ES"/>
        </w:rPr>
        <w:t xml:space="preserve">Las élites usan esta estructura arraigada de desigualdad material para magnificar su riqueza “privada” y su poder público de generación en generación. Trasladan a otras personas el costo social de su búsqueda de ganancias cada vez mayores; es decir, “externalizan” la contaminación y la degradación para maximizar sus propias ganancias. Reducen salarios y manipulan </w:t>
      </w:r>
      <w:r w:rsidR="008240E1" w:rsidRPr="009257E7">
        <w:rPr>
          <w:lang w:val="es-ES"/>
        </w:rPr>
        <w:t xml:space="preserve">los </w:t>
      </w:r>
      <w:r w:rsidRPr="009257E7">
        <w:rPr>
          <w:lang w:val="es-ES"/>
        </w:rPr>
        <w:t xml:space="preserve">beneficios para mejorar la “productividad” laboral: para apretar las tuercas de la explotación </w:t>
      </w:r>
      <w:r w:rsidR="008240E1" w:rsidRPr="009257E7">
        <w:rPr>
          <w:lang w:val="es-ES"/>
        </w:rPr>
        <w:t xml:space="preserve">de la clase </w:t>
      </w:r>
      <w:r w:rsidRPr="009257E7">
        <w:rPr>
          <w:lang w:val="es-ES"/>
        </w:rPr>
        <w:t>trabajadora e inflar sus propias ganancias.</w:t>
      </w:r>
    </w:p>
    <w:p w14:paraId="1E36B2AA" w14:textId="2735A65F" w:rsidR="00482EC0" w:rsidRPr="009257E7" w:rsidRDefault="00482EC0" w:rsidP="008240E1">
      <w:pPr>
        <w:pStyle w:val="NormalWeb"/>
        <w:ind w:firstLine="360"/>
        <w:rPr>
          <w:lang w:val="es-ES"/>
        </w:rPr>
      </w:pPr>
      <w:r w:rsidRPr="009257E7">
        <w:rPr>
          <w:lang w:val="es-ES"/>
        </w:rPr>
        <w:t>Desde el comienzo, como hemos visto, las identidades sociales se han u</w:t>
      </w:r>
      <w:r w:rsidR="008240E1" w:rsidRPr="009257E7">
        <w:rPr>
          <w:lang w:val="es-ES"/>
        </w:rPr>
        <w:t>tiliz</w:t>
      </w:r>
      <w:r w:rsidRPr="009257E7">
        <w:rPr>
          <w:lang w:val="es-ES"/>
        </w:rPr>
        <w:t xml:space="preserve">ado para estructurar sistemas de casta. La supremacía blanca y otras ideologías identitarias fueron centrales </w:t>
      </w:r>
      <w:r w:rsidR="00600B0E" w:rsidRPr="009257E7">
        <w:rPr>
          <w:lang w:val="es-ES"/>
        </w:rPr>
        <w:t>en</w:t>
      </w:r>
      <w:r w:rsidRPr="009257E7">
        <w:rPr>
          <w:lang w:val="es-ES"/>
        </w:rPr>
        <w:t xml:space="preserve"> el diseño no solo del derecho y</w:t>
      </w:r>
      <w:r w:rsidR="00600B0E" w:rsidRPr="009257E7">
        <w:rPr>
          <w:lang w:val="es-ES"/>
        </w:rPr>
        <w:t xml:space="preserve"> de</w:t>
      </w:r>
      <w:r w:rsidRPr="009257E7">
        <w:rPr>
          <w:lang w:val="es-ES"/>
        </w:rPr>
        <w:t xml:space="preserve"> la sociedad, sino también de la economía. Al reconocer este hecho fundacional, el desarrollo económico de </w:t>
      </w:r>
      <w:r w:rsidR="00600B0E" w:rsidRPr="009257E7">
        <w:rPr>
          <w:lang w:val="es-ES"/>
        </w:rPr>
        <w:t xml:space="preserve">los </w:t>
      </w:r>
      <w:r w:rsidRPr="009257E7">
        <w:rPr>
          <w:lang w:val="es-ES"/>
        </w:rPr>
        <w:t xml:space="preserve">Estados Unidos —y de otros </w:t>
      </w:r>
      <w:r w:rsidR="00600B0E" w:rsidRPr="009257E7">
        <w:rPr>
          <w:lang w:val="es-ES"/>
        </w:rPr>
        <w:t>contexto</w:t>
      </w:r>
      <w:r w:rsidRPr="009257E7">
        <w:rPr>
          <w:lang w:val="es-ES"/>
        </w:rPr>
        <w:t>s similares— se entiende como una forma de “capitalismo racial”. Al resumir este marco, las académicas críticas del derecho Carmen Gonz</w:t>
      </w:r>
      <w:r w:rsidR="00600B0E" w:rsidRPr="009257E7">
        <w:rPr>
          <w:lang w:val="es-ES"/>
        </w:rPr>
        <w:t>á</w:t>
      </w:r>
      <w:r w:rsidRPr="009257E7">
        <w:rPr>
          <w:lang w:val="es-ES"/>
        </w:rPr>
        <w:t>lez y Athena Mutua explican:</w:t>
      </w:r>
    </w:p>
    <w:p w14:paraId="3370E638" w14:textId="062362C8" w:rsidR="00482EC0" w:rsidRPr="009257E7" w:rsidRDefault="00482EC0" w:rsidP="00600B0E">
      <w:pPr>
        <w:pStyle w:val="NormalWeb"/>
        <w:ind w:left="360"/>
        <w:rPr>
          <w:lang w:val="es-ES"/>
        </w:rPr>
      </w:pPr>
      <w:r w:rsidRPr="009257E7">
        <w:rPr>
          <w:lang w:val="es-ES"/>
        </w:rPr>
        <w:t xml:space="preserve">El concepto de capitalismo racial ofrece una explicación estructural e histórica de </w:t>
      </w:r>
      <w:r w:rsidR="00023910" w:rsidRPr="009257E7">
        <w:rPr>
          <w:lang w:val="es-ES"/>
        </w:rPr>
        <w:t>cómo</w:t>
      </w:r>
      <w:r w:rsidRPr="009257E7">
        <w:rPr>
          <w:lang w:val="es-ES"/>
        </w:rPr>
        <w:t xml:space="preserve"> la raza y la clase están vinculadas en la economía global, incluida la manera en que moldean otras estructuras opresivas</w:t>
      </w:r>
      <w:r w:rsidR="00023910" w:rsidRPr="009257E7">
        <w:rPr>
          <w:lang w:val="es-ES"/>
        </w:rPr>
        <w:t>,</w:t>
      </w:r>
      <w:r w:rsidRPr="009257E7">
        <w:rPr>
          <w:lang w:val="es-ES"/>
        </w:rPr>
        <w:t xml:space="preserve"> como el patriarcado. El derecho desempeña un papel importante </w:t>
      </w:r>
      <w:r w:rsidRPr="009257E7">
        <w:rPr>
          <w:lang w:val="es-ES"/>
        </w:rPr>
        <w:lastRenderedPageBreak/>
        <w:t xml:space="preserve">en el capitalismo racial, pues estructura sus prácticas y jerarquías sociales, epistémicas y económicas. [...] [con] dos características estructurales clave [...]: la producción de ganancias y la producción de raza. Por producción de </w:t>
      </w:r>
      <w:r w:rsidR="00DD05F5" w:rsidRPr="009257E7">
        <w:rPr>
          <w:lang w:val="es-ES"/>
        </w:rPr>
        <w:t>ganancias nos referimos a la captura, la consolidación y la expansión del plusvalor, de las ganancias económicas o de la riqueza y del poder</w:t>
      </w:r>
      <w:r w:rsidRPr="009257E7">
        <w:rPr>
          <w:lang w:val="es-ES"/>
        </w:rPr>
        <w:t xml:space="preserve"> político mediante procesos de explotación, expropiación y expulsión. Estos procesos están </w:t>
      </w:r>
      <w:r w:rsidR="00DD05F5" w:rsidRPr="009257E7">
        <w:rPr>
          <w:lang w:val="es-ES"/>
        </w:rPr>
        <w:t>profund</w:t>
      </w:r>
      <w:r w:rsidRPr="009257E7">
        <w:rPr>
          <w:lang w:val="es-ES"/>
        </w:rPr>
        <w:t xml:space="preserve">amente arraigados en la producción de raza. Por producción de raza, nos referimos a los procesos mediante los cuales se crean y perpetúan las “razas” y las jerarquías raciales, incluidos [...] espacios </w:t>
      </w:r>
      <w:r w:rsidR="00DD05F5" w:rsidRPr="009257E7">
        <w:rPr>
          <w:lang w:val="es-ES"/>
        </w:rPr>
        <w:t>en los qu</w:t>
      </w:r>
      <w:r w:rsidRPr="009257E7">
        <w:rPr>
          <w:lang w:val="es-ES"/>
        </w:rPr>
        <w:t>e la naturaleza degradada, la tierra y los seres humanos considerados no rentables son abandonados y dejados</w:t>
      </w:r>
      <w:r w:rsidR="00DD05F5" w:rsidRPr="009257E7">
        <w:rPr>
          <w:lang w:val="es-ES"/>
        </w:rPr>
        <w:t xml:space="preserve"> a</w:t>
      </w:r>
      <w:r w:rsidRPr="009257E7">
        <w:rPr>
          <w:lang w:val="es-ES"/>
        </w:rPr>
        <w:t xml:space="preserve"> morir. Estos procesos de producción de raza reflejan las estrategias y los resultados de la producción </w:t>
      </w:r>
      <w:r w:rsidR="00DD05F5" w:rsidRPr="009257E7">
        <w:rPr>
          <w:lang w:val="es-ES"/>
        </w:rPr>
        <w:t>orientada a la</w:t>
      </w:r>
      <w:r w:rsidRPr="009257E7">
        <w:rPr>
          <w:lang w:val="es-ES"/>
        </w:rPr>
        <w:t xml:space="preserve"> ganancia. En otras palabras, la producción de ganancias y la producción de raza se constituyen mutuamente: la producción de ganancias crea o refuerza la producción de raza, y la producción de raza estructura y facilita la producción de ganancias. Juntas, forman una red estructurada de extracción racializada que hace posible la meta central del capitalismo racial: la acumulación de riqueza y poder.</w:t>
      </w:r>
    </w:p>
    <w:p w14:paraId="0D3CD09B" w14:textId="56F3F4BE" w:rsidR="00482EC0" w:rsidRPr="009257E7" w:rsidRDefault="00482EC0" w:rsidP="00612240">
      <w:pPr>
        <w:pStyle w:val="NormalWeb"/>
        <w:ind w:left="360"/>
        <w:rPr>
          <w:lang w:val="es-ES"/>
        </w:rPr>
      </w:pPr>
      <w:r w:rsidRPr="009257E7">
        <w:rPr>
          <w:lang w:val="es-ES"/>
        </w:rPr>
        <w:t xml:space="preserve">Sostenemos que la producción de raza </w:t>
      </w:r>
      <w:r w:rsidR="00612240" w:rsidRPr="009257E7">
        <w:rPr>
          <w:lang w:val="es-ES"/>
        </w:rPr>
        <w:t>gener</w:t>
      </w:r>
      <w:r w:rsidRPr="009257E7">
        <w:rPr>
          <w:lang w:val="es-ES"/>
        </w:rPr>
        <w:t xml:space="preserve">a una vulnerabilidad </w:t>
      </w:r>
      <w:r w:rsidR="00612240" w:rsidRPr="009257E7">
        <w:rPr>
          <w:lang w:val="es-ES"/>
        </w:rPr>
        <w:t>específic</w:t>
      </w:r>
      <w:r w:rsidRPr="009257E7">
        <w:rPr>
          <w:lang w:val="es-ES"/>
        </w:rPr>
        <w:t xml:space="preserve">a frente a la explotación y la expropiación. Estructura, facilita y naturaliza las injusticias que </w:t>
      </w:r>
      <w:r w:rsidR="00DB1721" w:rsidRPr="009257E7">
        <w:rPr>
          <w:lang w:val="es-ES"/>
        </w:rPr>
        <w:t>producen</w:t>
      </w:r>
      <w:r w:rsidRPr="009257E7">
        <w:rPr>
          <w:lang w:val="es-ES"/>
        </w:rPr>
        <w:t xml:space="preserve"> los procesos de </w:t>
      </w:r>
      <w:r w:rsidR="00073427" w:rsidRPr="009257E7">
        <w:rPr>
          <w:lang w:val="es-ES"/>
        </w:rPr>
        <w:t>genera</w:t>
      </w:r>
      <w:r w:rsidRPr="009257E7">
        <w:rPr>
          <w:lang w:val="es-ES"/>
        </w:rPr>
        <w:t>ción de ganancias</w:t>
      </w:r>
      <w:r w:rsidR="00073427" w:rsidRPr="009257E7">
        <w:rPr>
          <w:lang w:val="es-ES"/>
        </w:rPr>
        <w:t>. L</w:t>
      </w:r>
      <w:r w:rsidRPr="009257E7">
        <w:rPr>
          <w:lang w:val="es-ES"/>
        </w:rPr>
        <w:t>a expropiación suele servir como fuente de racialización no blanca. Al hacerlo, la producción de raza refuerza un sistema global de supremacía y dominación euro/blanca, que asigna y distribuye los beneficios y las cargas de la sociedad según las líneas de la jerarquía racial.</w:t>
      </w:r>
    </w:p>
    <w:p w14:paraId="711B911D" w14:textId="19091F15" w:rsidR="00482EC0" w:rsidRPr="009257E7" w:rsidRDefault="00482EC0" w:rsidP="00612240">
      <w:pPr>
        <w:pStyle w:val="NormalWeb"/>
        <w:ind w:left="360"/>
        <w:rPr>
          <w:lang w:val="es-ES"/>
        </w:rPr>
      </w:pPr>
      <w:r w:rsidRPr="009257E7">
        <w:rPr>
          <w:lang w:val="es-ES"/>
        </w:rPr>
        <w:t>Aunque todes les trabajadores y sus familias son afectades por las relaciones sociales injustas y la mala distribución de recursos humanos y no humanos impuestas por el capitalismo racial, [...] las personas racializadas como no blancas son [las más] explotadas: por lo general, reciben menos paga que las personas blancas y están concentradas de forma desproporcionada en ocupaciones de salario bajo que difuminan la línea entre explotación y expropiación.</w:t>
      </w:r>
      <w:r w:rsidR="00DB1721" w:rsidRPr="009257E7">
        <w:rPr>
          <w:rStyle w:val="FootnoteReference"/>
          <w:lang w:val="es-ES"/>
        </w:rPr>
        <w:footnoteReference w:id="107"/>
      </w:r>
    </w:p>
    <w:p w14:paraId="499AF853" w14:textId="77A4D8A0" w:rsidR="00482EC0" w:rsidRPr="009257E7" w:rsidRDefault="00482EC0" w:rsidP="007F7F14">
      <w:pPr>
        <w:pStyle w:val="NormalWeb"/>
        <w:ind w:firstLine="360"/>
        <w:rPr>
          <w:lang w:val="es-ES"/>
        </w:rPr>
      </w:pPr>
      <w:r w:rsidRPr="009257E7">
        <w:rPr>
          <w:lang w:val="es-ES"/>
        </w:rPr>
        <w:t>Hoy, estas técnicas elitistas, ya muy usadas, y otras similares continúan y se refinan bajo el gobierno del “neoliberalismo”: una ideología socioeconómica desde arriba que intensifica el capitalismo racial ya arraigado por los legados coloniales e imperiales basados en identidades, grupos, intereses y poder. El neoliberalismo u</w:t>
      </w:r>
      <w:r w:rsidR="007F7F14" w:rsidRPr="009257E7">
        <w:rPr>
          <w:lang w:val="es-ES"/>
        </w:rPr>
        <w:t>tiliz</w:t>
      </w:r>
      <w:r w:rsidRPr="009257E7">
        <w:rPr>
          <w:lang w:val="es-ES"/>
        </w:rPr>
        <w:t xml:space="preserve">a el derecho para aumentar la desigualdad sistémica mientras niega su </w:t>
      </w:r>
      <w:r w:rsidR="007F7F14" w:rsidRPr="009257E7">
        <w:rPr>
          <w:lang w:val="es-ES"/>
        </w:rPr>
        <w:t xml:space="preserve">propia </w:t>
      </w:r>
      <w:r w:rsidRPr="009257E7">
        <w:rPr>
          <w:lang w:val="es-ES"/>
        </w:rPr>
        <w:t xml:space="preserve">existencia. El neoliberalismo no es neutral </w:t>
      </w:r>
      <w:r w:rsidR="007F7F14" w:rsidRPr="009257E7">
        <w:rPr>
          <w:lang w:val="es-ES"/>
        </w:rPr>
        <w:t>respecto d</w:t>
      </w:r>
      <w:r w:rsidRPr="009257E7">
        <w:rPr>
          <w:lang w:val="es-ES"/>
        </w:rPr>
        <w:t>e la identidad ni se opone a la regulación. En la práctica, el neoliberalismo se opone solo a las regulaciones —o identidades— que interfieren con las agendas elitistas. El neoliberalismo magnifica la precariedad: un estado de cosas en el que la mayor parte del mundo vive cerca del borde de la pobreza y de la inseguridad financiera implacable; vive apenas “de cheque en cheque”.</w:t>
      </w:r>
    </w:p>
    <w:p w14:paraId="2EB15662" w14:textId="77777777" w:rsidR="00482EC0" w:rsidRPr="009257E7" w:rsidRDefault="00482EC0" w:rsidP="000E43C5">
      <w:pPr>
        <w:pStyle w:val="NormalWeb"/>
        <w:ind w:firstLine="360"/>
        <w:rPr>
          <w:lang w:val="es-ES"/>
        </w:rPr>
      </w:pPr>
    </w:p>
    <w:p w14:paraId="6F7A14E9" w14:textId="5332CD00" w:rsidR="00CF3E9A" w:rsidRPr="009257E7" w:rsidRDefault="00CF3E9A" w:rsidP="00B235C0">
      <w:pPr>
        <w:pStyle w:val="NormalWeb"/>
        <w:ind w:firstLine="360"/>
        <w:rPr>
          <w:lang w:val="es-ES"/>
        </w:rPr>
      </w:pPr>
      <w:r w:rsidRPr="009257E7">
        <w:rPr>
          <w:lang w:val="es-ES"/>
        </w:rPr>
        <w:lastRenderedPageBreak/>
        <w:t xml:space="preserve">El neoliberalismo también fragmenta deliberadamente a las personas no elitistas de la sociedad. Pierre Bourdieu, sociólogo, antropólogo y filósofo, señala que las imágenes neoliberales de “un mercado puro y perfecto” disfrazan las metas y </w:t>
      </w:r>
      <w:r w:rsidR="004C0044" w:rsidRPr="009257E7">
        <w:rPr>
          <w:lang w:val="es-ES"/>
        </w:rPr>
        <w:t xml:space="preserve">las </w:t>
      </w:r>
      <w:r w:rsidRPr="009257E7">
        <w:rPr>
          <w:lang w:val="es-ES"/>
        </w:rPr>
        <w:t>acciones elitistas dirigidas a eliminar o debilitar estructuras colectivas responsables ante las personas no elitistas</w:t>
      </w:r>
      <w:r w:rsidR="009035F6" w:rsidRPr="009257E7">
        <w:rPr>
          <w:rStyle w:val="FootnoteReference"/>
          <w:lang w:val="es-ES"/>
        </w:rPr>
        <w:footnoteReference w:id="108"/>
      </w:r>
      <w:r w:rsidRPr="009257E7">
        <w:rPr>
          <w:lang w:val="es-ES"/>
        </w:rPr>
        <w:t>. Estas incluyen agentes públicos —como el Estado nación— que regulan el capital “privado”, así como organizaciones privadas, como sindicatos, universidades y cooperativas, que protegen o promueven alternativas frente al darwinismo neoliberal. Como derecho, el neoliberalismo refleja la política y las prioridades del memorando de Powell de 197</w:t>
      </w:r>
      <w:r w:rsidR="004C0044" w:rsidRPr="009257E7">
        <w:rPr>
          <w:lang w:val="es-ES"/>
        </w:rPr>
        <w:t>0</w:t>
      </w:r>
      <w:r w:rsidRPr="009257E7">
        <w:rPr>
          <w:lang w:val="es-ES"/>
        </w:rPr>
        <w:t>.</w:t>
      </w:r>
    </w:p>
    <w:p w14:paraId="39812050" w14:textId="352D1CA1" w:rsidR="00CF3E9A" w:rsidRPr="009257E7" w:rsidRDefault="00CF3E9A" w:rsidP="00F92D18">
      <w:pPr>
        <w:pStyle w:val="NormalWeb"/>
        <w:ind w:firstLine="360"/>
        <w:rPr>
          <w:lang w:val="es-ES"/>
        </w:rPr>
      </w:pPr>
      <w:r w:rsidRPr="009257E7">
        <w:rPr>
          <w:lang w:val="es-ES"/>
        </w:rPr>
        <w:t>En el universo ahora transnacional, l</w:t>
      </w:r>
      <w:r w:rsidR="009035F6" w:rsidRPr="009257E7">
        <w:rPr>
          <w:lang w:val="es-ES"/>
        </w:rPr>
        <w:t>o</w:t>
      </w:r>
      <w:r w:rsidRPr="009257E7">
        <w:rPr>
          <w:lang w:val="es-ES"/>
        </w:rPr>
        <w:t xml:space="preserve">s inversionistas y sus intereses </w:t>
      </w:r>
      <w:r w:rsidR="009035F6" w:rsidRPr="009257E7">
        <w:rPr>
          <w:lang w:val="es-ES"/>
        </w:rPr>
        <w:t>dom</w:t>
      </w:r>
      <w:r w:rsidRPr="009257E7">
        <w:rPr>
          <w:lang w:val="es-ES"/>
        </w:rPr>
        <w:t xml:space="preserve">inan de forma suprema </w:t>
      </w:r>
      <w:r w:rsidR="009035F6" w:rsidRPr="009257E7">
        <w:rPr>
          <w:lang w:val="es-ES"/>
        </w:rPr>
        <w:t>mediante</w:t>
      </w:r>
      <w:r w:rsidRPr="009257E7">
        <w:rPr>
          <w:lang w:val="es-ES"/>
        </w:rPr>
        <w:t xml:space="preserve"> el derecho. El gobierno y las leyes funcionan principalmente para proteger la propiedad de una élite, hacer cumplir contratos, resguardar </w:t>
      </w:r>
      <w:r w:rsidR="00F92D18" w:rsidRPr="009257E7">
        <w:rPr>
          <w:lang w:val="es-ES"/>
        </w:rPr>
        <w:t xml:space="preserve">la </w:t>
      </w:r>
      <w:r w:rsidRPr="009257E7">
        <w:rPr>
          <w:lang w:val="es-ES"/>
        </w:rPr>
        <w:t>riqueza, mantener a les trabajadores bajo control y someter cualquier disidencia percibida como</w:t>
      </w:r>
      <w:r w:rsidR="00F92D18" w:rsidRPr="009257E7">
        <w:rPr>
          <w:lang w:val="es-ES"/>
        </w:rPr>
        <w:t xml:space="preserve"> una</w:t>
      </w:r>
      <w:r w:rsidRPr="009257E7">
        <w:rPr>
          <w:lang w:val="es-ES"/>
        </w:rPr>
        <w:t xml:space="preserve"> amenaza real a los intereses elitistas. Se induce a los gobiernos a regular los mercados “libres”, las corporaciones y los actores comunitarios y laborales principalmente en favor de los intereses de las élites.</w:t>
      </w:r>
    </w:p>
    <w:p w14:paraId="29C173E8" w14:textId="3F3987DE" w:rsidR="00CF3E9A" w:rsidRPr="009257E7" w:rsidRDefault="00CF3E9A" w:rsidP="00F92D18">
      <w:pPr>
        <w:pStyle w:val="NormalWeb"/>
        <w:ind w:firstLine="360"/>
        <w:rPr>
          <w:lang w:val="es-ES"/>
        </w:rPr>
      </w:pPr>
      <w:r w:rsidRPr="009257E7">
        <w:rPr>
          <w:lang w:val="es-ES"/>
        </w:rPr>
        <w:t xml:space="preserve">El neoliberalismo usa el derecho para redistribuir riqueza desde el medio y desde abajo hacia la cima mediante: (1) la desregulación de las corporaciones, (2) la privatización de funciones públicas, (3) los recortes de impuestos y el aumento de subsidios para las élites, (4) la reducción drástica de </w:t>
      </w:r>
      <w:r w:rsidR="00C177E9" w:rsidRPr="009257E7">
        <w:rPr>
          <w:lang w:val="es-ES"/>
        </w:rPr>
        <w:t xml:space="preserve">los </w:t>
      </w:r>
      <w:r w:rsidRPr="009257E7">
        <w:rPr>
          <w:lang w:val="es-ES"/>
        </w:rPr>
        <w:t xml:space="preserve">servicios sociales para las masas y (5) la represión o cooptación de cualquier oposición: la receta neoliberal para todo problema social. Sin embargo, el “consenso elitista” encarnado hoy en la ideología y </w:t>
      </w:r>
      <w:r w:rsidR="00C177E9" w:rsidRPr="009257E7">
        <w:rPr>
          <w:lang w:val="es-ES"/>
        </w:rPr>
        <w:t xml:space="preserve">la </w:t>
      </w:r>
      <w:r w:rsidRPr="009257E7">
        <w:rPr>
          <w:lang w:val="es-ES"/>
        </w:rPr>
        <w:t xml:space="preserve">práctica neoliberales es </w:t>
      </w:r>
      <w:r w:rsidR="00C177E9" w:rsidRPr="009257E7">
        <w:rPr>
          <w:lang w:val="es-ES"/>
        </w:rPr>
        <w:t>constantemente</w:t>
      </w:r>
      <w:r w:rsidRPr="009257E7">
        <w:rPr>
          <w:lang w:val="es-ES"/>
        </w:rPr>
        <w:t xml:space="preserve"> </w:t>
      </w:r>
      <w:r w:rsidR="00C177E9" w:rsidRPr="009257E7">
        <w:rPr>
          <w:lang w:val="es-ES"/>
        </w:rPr>
        <w:t>desafiado</w:t>
      </w:r>
      <w:r w:rsidRPr="009257E7">
        <w:rPr>
          <w:lang w:val="es-ES"/>
        </w:rPr>
        <w:t xml:space="preserve">. El derecho puede usarse —y se usa— de forma crítica. Mediante la deconstrucción, los análisis críticos del derecho descubren vínculos entre identidad, injusticia y lucha en múltiples contextos, lo que </w:t>
      </w:r>
      <w:r w:rsidR="00937E08" w:rsidRPr="009257E7">
        <w:rPr>
          <w:lang w:val="es-ES"/>
        </w:rPr>
        <w:t>orienta</w:t>
      </w:r>
      <w:r w:rsidRPr="009257E7">
        <w:rPr>
          <w:lang w:val="es-ES"/>
        </w:rPr>
        <w:t xml:space="preserve"> la acción colectiva efectiva.</w:t>
      </w:r>
      <w:r w:rsidR="00C177E9" w:rsidRPr="009257E7">
        <w:rPr>
          <w:lang w:val="es-ES"/>
        </w:rPr>
        <w:t xml:space="preserve"> </w:t>
      </w:r>
    </w:p>
    <w:p w14:paraId="7D8852C2" w14:textId="43452B13" w:rsidR="00CF3E9A" w:rsidRPr="009257E7" w:rsidRDefault="00CF3E9A" w:rsidP="00B02A08">
      <w:pPr>
        <w:pStyle w:val="NormalWeb"/>
        <w:rPr>
          <w:lang w:val="es-ES"/>
        </w:rPr>
      </w:pPr>
      <w:r w:rsidRPr="009257E7">
        <w:rPr>
          <w:lang w:val="es-ES"/>
        </w:rPr>
        <w:t xml:space="preserve">El triunfo del neoliberalismo en Estados Unidos queda confirmado por la mayor desigualdad económica desde los días de los barones ladrones de la </w:t>
      </w:r>
      <w:proofErr w:type="spellStart"/>
      <w:r w:rsidRPr="009257E7">
        <w:rPr>
          <w:rStyle w:val="Emphasis"/>
          <w:lang w:val="es-ES"/>
        </w:rPr>
        <w:t>Gilded</w:t>
      </w:r>
      <w:proofErr w:type="spellEnd"/>
      <w:r w:rsidRPr="009257E7">
        <w:rPr>
          <w:rStyle w:val="Emphasis"/>
          <w:lang w:val="es-ES"/>
        </w:rPr>
        <w:t xml:space="preserve"> Age</w:t>
      </w:r>
      <w:r w:rsidRPr="009257E7">
        <w:rPr>
          <w:lang w:val="es-ES"/>
        </w:rPr>
        <w:t xml:space="preserve"> de la década de 1920, antes de la Gran Depresión. Las corporaciones multinacionales </w:t>
      </w:r>
      <w:r w:rsidR="00B02A08" w:rsidRPr="009257E7">
        <w:rPr>
          <w:lang w:val="es-ES"/>
        </w:rPr>
        <w:t>ejerce</w:t>
      </w:r>
      <w:r w:rsidRPr="009257E7">
        <w:rPr>
          <w:lang w:val="es-ES"/>
        </w:rPr>
        <w:t xml:space="preserve">n su poder multinacional sobre objetivos locales y los abruman </w:t>
      </w:r>
      <w:r w:rsidR="00B02A08" w:rsidRPr="009257E7">
        <w:rPr>
          <w:lang w:val="es-ES"/>
        </w:rPr>
        <w:t>con</w:t>
      </w:r>
      <w:r w:rsidRPr="009257E7">
        <w:rPr>
          <w:lang w:val="es-ES"/>
        </w:rPr>
        <w:t xml:space="preserve"> la pura disparidad de recursos. Influyen en el derecho y la sociedad de formas más profundas de lo que sus predecesoras más pequeñas jamás pudieron. Y lo han hecho para promover el neoliberalismo, de modo que la dominación elitista se intensifique en el </w:t>
      </w:r>
      <w:r w:rsidR="00B02A08" w:rsidRPr="009257E7">
        <w:rPr>
          <w:lang w:val="es-ES"/>
        </w:rPr>
        <w:t>ámbito jurídic</w:t>
      </w:r>
      <w:r w:rsidRPr="009257E7">
        <w:rPr>
          <w:lang w:val="es-ES"/>
        </w:rPr>
        <w:t>o y</w:t>
      </w:r>
      <w:r w:rsidR="00B02A08" w:rsidRPr="009257E7">
        <w:rPr>
          <w:lang w:val="es-ES"/>
        </w:rPr>
        <w:t xml:space="preserve"> en</w:t>
      </w:r>
      <w:r w:rsidRPr="009257E7">
        <w:rPr>
          <w:lang w:val="es-ES"/>
        </w:rPr>
        <w:t xml:space="preserve"> la sociedad,</w:t>
      </w:r>
      <w:r w:rsidR="00B02A08" w:rsidRPr="009257E7">
        <w:rPr>
          <w:lang w:val="es-ES"/>
        </w:rPr>
        <w:t xml:space="preserve"> a nivel</w:t>
      </w:r>
      <w:r w:rsidRPr="009257E7">
        <w:rPr>
          <w:lang w:val="es-ES"/>
        </w:rPr>
        <w:t xml:space="preserve"> local y global.</w:t>
      </w:r>
      <w:r w:rsidR="00C30341" w:rsidRPr="009257E7">
        <w:rPr>
          <w:lang w:val="es-ES"/>
        </w:rPr>
        <w:t xml:space="preserve"> </w:t>
      </w:r>
    </w:p>
    <w:p w14:paraId="71DBE79E" w14:textId="12AFD96D" w:rsidR="00CF3E9A" w:rsidRPr="009257E7" w:rsidRDefault="00CF3E9A" w:rsidP="00B02A08">
      <w:pPr>
        <w:pStyle w:val="NormalWeb"/>
        <w:ind w:firstLine="360"/>
        <w:rPr>
          <w:lang w:val="es-ES"/>
        </w:rPr>
      </w:pPr>
      <w:r w:rsidRPr="009257E7">
        <w:rPr>
          <w:lang w:val="es-ES"/>
        </w:rPr>
        <w:t>Para ilustrarlo, considérese cómo l</w:t>
      </w:r>
      <w:r w:rsidR="00B02A08" w:rsidRPr="009257E7">
        <w:rPr>
          <w:lang w:val="es-ES"/>
        </w:rPr>
        <w:t>o</w:t>
      </w:r>
      <w:r w:rsidRPr="009257E7">
        <w:rPr>
          <w:lang w:val="es-ES"/>
        </w:rPr>
        <w:t xml:space="preserve">s </w:t>
      </w:r>
      <w:r w:rsidR="00B02A08" w:rsidRPr="009257E7">
        <w:rPr>
          <w:lang w:val="es-ES"/>
        </w:rPr>
        <w:t xml:space="preserve">funcionarios </w:t>
      </w:r>
      <w:r w:rsidRPr="009257E7">
        <w:rPr>
          <w:lang w:val="es-ES"/>
        </w:rPr>
        <w:t>elect</w:t>
      </w:r>
      <w:r w:rsidR="00B02A08" w:rsidRPr="009257E7">
        <w:rPr>
          <w:lang w:val="es-ES"/>
        </w:rPr>
        <w:t>o</w:t>
      </w:r>
      <w:r w:rsidRPr="009257E7">
        <w:rPr>
          <w:lang w:val="es-ES"/>
        </w:rPr>
        <w:t xml:space="preserve">s de Puerto Rico usaron las crisis —estados de “excepción” frente a tiempos supuestamente normales— como razones para imponer políticas de austeridad económica creciente y </w:t>
      </w:r>
      <w:r w:rsidR="00D849D8" w:rsidRPr="009257E7">
        <w:rPr>
          <w:lang w:val="es-ES"/>
        </w:rPr>
        <w:t xml:space="preserve">de </w:t>
      </w:r>
      <w:r w:rsidRPr="009257E7">
        <w:rPr>
          <w:lang w:val="es-ES"/>
        </w:rPr>
        <w:t xml:space="preserve">concentración antidemocrática del poder ejecutivo. Estas medidas no contradicen el legado de gobierno antidemocrático y </w:t>
      </w:r>
      <w:r w:rsidR="00D849D8" w:rsidRPr="009257E7">
        <w:rPr>
          <w:lang w:val="es-ES"/>
        </w:rPr>
        <w:t xml:space="preserve">de </w:t>
      </w:r>
      <w:r w:rsidRPr="009257E7">
        <w:rPr>
          <w:lang w:val="es-ES"/>
        </w:rPr>
        <w:t xml:space="preserve">desigualdad económica establecido por las élites en tiempos coloniales. Son una continuación e intensificación de </w:t>
      </w:r>
      <w:r w:rsidR="00D849D8" w:rsidRPr="009257E7">
        <w:rPr>
          <w:lang w:val="es-ES"/>
        </w:rPr>
        <w:t xml:space="preserve">los </w:t>
      </w:r>
      <w:r w:rsidRPr="009257E7">
        <w:rPr>
          <w:lang w:val="es-ES"/>
        </w:rPr>
        <w:t>patrones coloniales. Puerto Rico es un ejemplo de “neoliberalismo</w:t>
      </w:r>
      <w:r w:rsidR="00987E2F" w:rsidRPr="009257E7">
        <w:rPr>
          <w:lang w:val="es-ES"/>
        </w:rPr>
        <w:t>-colonial</w:t>
      </w:r>
      <w:r w:rsidRPr="009257E7">
        <w:rPr>
          <w:lang w:val="es-ES"/>
        </w:rPr>
        <w:t xml:space="preserve">”, un conjunto de “transformaciones políticas, sociojurídicas y económicas” que han “desempeñado un papel central en garantizar” que los intereses coloniales y de clase sigan siendo servidos —y justificados por el derecho— hasta hoy. Este marco jurídico orwelliano priva a les puertorriqueñes de las herramientas de autogobierno necesarias para resolver problemas </w:t>
      </w:r>
      <w:r w:rsidRPr="009257E7">
        <w:rPr>
          <w:lang w:val="es-ES"/>
        </w:rPr>
        <w:lastRenderedPageBreak/>
        <w:t>sistémicos, mientras les culpa políticamente por no resolver esos problemas debido a una supuesta incapacidad colectiva para el autogobierno. Mientras tanto, los hechos hablan por sí mismos. ¿Han creado las élites otro laboratorio neoliberal para su explotación, ganancia y disfrute colectivos? Como describe el sociólogo José Atiles Osoria:</w:t>
      </w:r>
    </w:p>
    <w:p w14:paraId="1C517E14" w14:textId="04B4DEA0" w:rsidR="00CF3E9A" w:rsidRPr="009257E7" w:rsidRDefault="00CF3E9A" w:rsidP="004E154B">
      <w:pPr>
        <w:pStyle w:val="NormalWeb"/>
        <w:ind w:left="360"/>
        <w:rPr>
          <w:lang w:val="es-ES"/>
        </w:rPr>
      </w:pPr>
      <w:r w:rsidRPr="009257E7">
        <w:rPr>
          <w:lang w:val="es-ES"/>
        </w:rPr>
        <w:t xml:space="preserve">El 17 de octubre de 2017, doce años después de que comenzara la crisis económica y financiera, y menos de un mes después de que los huracanes Irma y María azotaran Puerto Rico, el gobernador puertorriqueño Ricardo Rosselló Nevares envió a la Asamblea Legislativa un proyecto de ley titulado “Proyecto para Crear el Nuevo Gobierno de Puerto Rico”. Este proyecto buscaba permitir </w:t>
      </w:r>
      <w:r w:rsidR="00F711FF" w:rsidRPr="009257E7">
        <w:rPr>
          <w:lang w:val="es-ES"/>
        </w:rPr>
        <w:t>a</w:t>
      </w:r>
      <w:r w:rsidRPr="009257E7">
        <w:rPr>
          <w:lang w:val="es-ES"/>
        </w:rPr>
        <w:t>l gobernador reestructurar la rama ejecutiva sin consultar a la rama legislativa. [...] [E]</w:t>
      </w:r>
      <w:proofErr w:type="spellStart"/>
      <w:r w:rsidRPr="009257E7">
        <w:rPr>
          <w:lang w:val="es-ES"/>
        </w:rPr>
        <w:t>sta</w:t>
      </w:r>
      <w:proofErr w:type="spellEnd"/>
      <w:r w:rsidRPr="009257E7">
        <w:rPr>
          <w:lang w:val="es-ES"/>
        </w:rPr>
        <w:t xml:space="preserve"> delegación de poder duraría diez años, y se implementaría [...] [también] para externalizar y privatizar aún más </w:t>
      </w:r>
      <w:r w:rsidR="00F711FF" w:rsidRPr="009257E7">
        <w:rPr>
          <w:lang w:val="es-ES"/>
        </w:rPr>
        <w:t xml:space="preserve">los </w:t>
      </w:r>
      <w:r w:rsidRPr="009257E7">
        <w:rPr>
          <w:lang w:val="es-ES"/>
        </w:rPr>
        <w:t>servicios tradicionalmente provistos por el gobierno local. En diciembre de 2017, [...] el proyecto se convirtió en ley. [...]</w:t>
      </w:r>
    </w:p>
    <w:p w14:paraId="7D5E8B78" w14:textId="327A8E0D" w:rsidR="00CF3E9A" w:rsidRPr="009257E7" w:rsidRDefault="00CF3E9A" w:rsidP="004E154B">
      <w:pPr>
        <w:pStyle w:val="NormalWeb"/>
        <w:ind w:left="360"/>
        <w:rPr>
          <w:lang w:val="es-ES"/>
        </w:rPr>
      </w:pPr>
      <w:r w:rsidRPr="009257E7">
        <w:rPr>
          <w:lang w:val="es-ES"/>
        </w:rPr>
        <w:t xml:space="preserve">[...] [Puerto Rico hoy representa] </w:t>
      </w:r>
      <w:r w:rsidR="00F711FF" w:rsidRPr="009257E7">
        <w:rPr>
          <w:lang w:val="es-ES"/>
        </w:rPr>
        <w:t xml:space="preserve">un </w:t>
      </w:r>
      <w:r w:rsidRPr="009257E7">
        <w:rPr>
          <w:lang w:val="es-ES"/>
        </w:rPr>
        <w:t>neoliberalismo</w:t>
      </w:r>
      <w:r w:rsidR="00F711FF" w:rsidRPr="009257E7">
        <w:rPr>
          <w:lang w:val="es-ES"/>
        </w:rPr>
        <w:t xml:space="preserve"> colonial</w:t>
      </w:r>
      <w:r w:rsidRPr="009257E7">
        <w:rPr>
          <w:lang w:val="es-ES"/>
        </w:rPr>
        <w:t xml:space="preserve"> [...] [con] la normalización de medidas excepcionales [de crisis] como políticas gubernamentales. [...]</w:t>
      </w:r>
    </w:p>
    <w:p w14:paraId="2F19825D" w14:textId="1A58E93A" w:rsidR="00CF3E9A" w:rsidRPr="009257E7" w:rsidRDefault="00CF3E9A" w:rsidP="004E154B">
      <w:pPr>
        <w:pStyle w:val="NormalWeb"/>
        <w:ind w:left="360"/>
        <w:rPr>
          <w:lang w:val="es-ES"/>
        </w:rPr>
      </w:pPr>
      <w:r w:rsidRPr="009257E7">
        <w:rPr>
          <w:lang w:val="es-ES"/>
        </w:rPr>
        <w:t xml:space="preserve">[...] [Esto] ha desempeñado un papel central en </w:t>
      </w:r>
      <w:r w:rsidR="00F711FF" w:rsidRPr="009257E7">
        <w:rPr>
          <w:lang w:val="es-ES"/>
        </w:rPr>
        <w:t>la garantía de</w:t>
      </w:r>
      <w:r w:rsidRPr="009257E7">
        <w:rPr>
          <w:lang w:val="es-ES"/>
        </w:rPr>
        <w:t xml:space="preserve"> los intereses coloniales y de clase y, por lo tanto, constituye el marco jurídico </w:t>
      </w:r>
      <w:r w:rsidR="00F711FF" w:rsidRPr="009257E7">
        <w:rPr>
          <w:lang w:val="es-ES"/>
        </w:rPr>
        <w:t>de</w:t>
      </w:r>
      <w:r w:rsidRPr="009257E7">
        <w:rPr>
          <w:lang w:val="es-ES"/>
        </w:rPr>
        <w:t xml:space="preserve"> la corrupción sistémica. [...]</w:t>
      </w:r>
    </w:p>
    <w:p w14:paraId="00AB08B9" w14:textId="77777777" w:rsidR="00CF3E9A" w:rsidRPr="009257E7" w:rsidRDefault="00CF3E9A" w:rsidP="004E154B">
      <w:pPr>
        <w:pStyle w:val="NormalWeb"/>
        <w:ind w:left="360"/>
        <w:rPr>
          <w:lang w:val="es-ES"/>
        </w:rPr>
      </w:pPr>
      <w:r w:rsidRPr="009257E7">
        <w:rPr>
          <w:lang w:val="es-ES"/>
        </w:rPr>
        <w:t>[...] El gobierno local comenzó [...] no solo a controlar y criminalizar los movimientos anticoloniales, estudiantiles, ambientales y otros movimientos sociales, como lo ha hecho desde 1952, cuando se creó el Estado Libre Asociado de Puerto Rico, sino también a [...] defender los intereses económicos de la clase gobernante.</w:t>
      </w:r>
    </w:p>
    <w:p w14:paraId="3C7A5A01" w14:textId="192793EB" w:rsidR="00CF3E9A" w:rsidRPr="009257E7" w:rsidRDefault="00CF3E9A" w:rsidP="004E154B">
      <w:pPr>
        <w:pStyle w:val="NormalWeb"/>
        <w:ind w:left="360"/>
        <w:rPr>
          <w:lang w:val="es-ES"/>
        </w:rPr>
      </w:pPr>
      <w:r w:rsidRPr="009257E7">
        <w:rPr>
          <w:lang w:val="es-ES"/>
        </w:rPr>
        <w:t xml:space="preserve">[...] [E]s importante </w:t>
      </w:r>
      <w:proofErr w:type="gramStart"/>
      <w:r w:rsidRPr="009257E7">
        <w:rPr>
          <w:lang w:val="es-ES"/>
        </w:rPr>
        <w:t>señalar</w:t>
      </w:r>
      <w:proofErr w:type="gramEnd"/>
      <w:r w:rsidRPr="009257E7">
        <w:rPr>
          <w:lang w:val="es-ES"/>
        </w:rPr>
        <w:t xml:space="preserve"> que la administración de Rosselló —como todas las administraciones anteriores— ha sido vigorosamente confrontada y resistida, incluso en medio de las circunstancias más adversas y amenazantes para la vida de miles de puertorriqueñes después del huracán. [...] Hasta el día de hoy, organizaciones comunitarias de base [...] y la sociedad civil en general se han </w:t>
      </w:r>
      <w:proofErr w:type="gramStart"/>
      <w:r w:rsidRPr="009257E7">
        <w:rPr>
          <w:lang w:val="es-ES"/>
        </w:rPr>
        <w:t>organizado[</w:t>
      </w:r>
      <w:proofErr w:type="gramEnd"/>
      <w:r w:rsidRPr="009257E7">
        <w:rPr>
          <w:lang w:val="es-ES"/>
        </w:rPr>
        <w:t>:] [...] donde hay poder, hay resistencia.</w:t>
      </w:r>
      <w:r w:rsidR="008824FA" w:rsidRPr="009257E7">
        <w:rPr>
          <w:rStyle w:val="FootnoteReference"/>
          <w:lang w:val="es-ES"/>
        </w:rPr>
        <w:footnoteReference w:id="109"/>
      </w:r>
    </w:p>
    <w:p w14:paraId="4658A43F" w14:textId="5C724937" w:rsidR="004E154B" w:rsidRPr="009257E7" w:rsidRDefault="004E154B" w:rsidP="001D3404">
      <w:pPr>
        <w:pStyle w:val="NormalWeb"/>
        <w:ind w:firstLine="360"/>
        <w:rPr>
          <w:lang w:val="es-ES"/>
        </w:rPr>
      </w:pPr>
      <w:r w:rsidRPr="009257E7">
        <w:rPr>
          <w:lang w:val="es-ES"/>
        </w:rPr>
        <w:t>Osoria concluye que las crisis actuales de deuda, desastre</w:t>
      </w:r>
      <w:r w:rsidR="001D3404" w:rsidRPr="009257E7">
        <w:rPr>
          <w:lang w:val="es-ES"/>
        </w:rPr>
        <w:t>s</w:t>
      </w:r>
      <w:r w:rsidRPr="009257E7">
        <w:rPr>
          <w:lang w:val="es-ES"/>
        </w:rPr>
        <w:t xml:space="preserve"> natural</w:t>
      </w:r>
      <w:r w:rsidR="001D3404" w:rsidRPr="009257E7">
        <w:rPr>
          <w:lang w:val="es-ES"/>
        </w:rPr>
        <w:t>es</w:t>
      </w:r>
      <w:r w:rsidRPr="009257E7">
        <w:rPr>
          <w:lang w:val="es-ES"/>
        </w:rPr>
        <w:t xml:space="preserve"> y fracaso</w:t>
      </w:r>
      <w:r w:rsidR="001D3404" w:rsidRPr="009257E7">
        <w:rPr>
          <w:lang w:val="es-ES"/>
        </w:rPr>
        <w:t>s</w:t>
      </w:r>
      <w:r w:rsidRPr="009257E7">
        <w:rPr>
          <w:lang w:val="es-ES"/>
        </w:rPr>
        <w:t xml:space="preserve"> económico</w:t>
      </w:r>
      <w:r w:rsidR="001D3404" w:rsidRPr="009257E7">
        <w:rPr>
          <w:lang w:val="es-ES"/>
        </w:rPr>
        <w:t>s</w:t>
      </w:r>
      <w:r w:rsidRPr="009257E7">
        <w:rPr>
          <w:lang w:val="es-ES"/>
        </w:rPr>
        <w:t xml:space="preserve"> son productos del poder, el privilegio y la subordinación basados en identidades, intereses e historias grupales. L</w:t>
      </w:r>
      <w:r w:rsidR="001D3404" w:rsidRPr="009257E7">
        <w:rPr>
          <w:lang w:val="es-ES"/>
        </w:rPr>
        <w:t>e</w:t>
      </w:r>
      <w:r w:rsidRPr="009257E7">
        <w:rPr>
          <w:lang w:val="es-ES"/>
        </w:rPr>
        <w:t xml:space="preserve">s actores organizados desde abajo pueden exponer los engaños y aprender de los esfuerzos continuos de las élites organizadas para proteger sus intereses, a menudo al recurrir a las experiencias y al poder colectivizado de comunidades en la diáspora. Considérese la perspectiva crítica desde abajo de Hedge Clippers, una campaña nacional dedicada a desenmascarar “los esquemas y </w:t>
      </w:r>
      <w:r w:rsidR="001D3404" w:rsidRPr="009257E7">
        <w:rPr>
          <w:lang w:val="es-ES"/>
        </w:rPr>
        <w:t xml:space="preserve">las </w:t>
      </w:r>
      <w:r w:rsidRPr="009257E7">
        <w:rPr>
          <w:lang w:val="es-ES"/>
        </w:rPr>
        <w:t>estrategias de dinero oscuro que la élite multimillonaria usa para expandir su riqueza, consolidar poder y ocultar la rendición de cuentas por sus malas acciones”:</w:t>
      </w:r>
    </w:p>
    <w:p w14:paraId="51A1E5FE" w14:textId="77777777" w:rsidR="004E154B" w:rsidRPr="009257E7" w:rsidRDefault="004E154B" w:rsidP="004F2C58">
      <w:pPr>
        <w:pStyle w:val="NormalWeb"/>
        <w:ind w:left="360"/>
        <w:rPr>
          <w:lang w:val="es-ES"/>
        </w:rPr>
      </w:pPr>
      <w:r w:rsidRPr="009257E7">
        <w:rPr>
          <w:lang w:val="es-ES"/>
        </w:rPr>
        <w:lastRenderedPageBreak/>
        <w:t>La crisis [actual de deuda] está expulsando a más puertorriqueñes de la isla hacia el continente, lo que alimenta un “intercambio poblacional” continuo en el cual puertorriqueñes jóvenes y desempleades abandonan la isla en busca de trabajo, mientras [...] financistas [estadounidenses] ricos acuden a la isla para aprovechar exenciones contributivas y recortes en impuestos corporativos, ingresos personales y ganancias de capital. [...]</w:t>
      </w:r>
    </w:p>
    <w:p w14:paraId="4B012AB2" w14:textId="55D2502A" w:rsidR="004E154B" w:rsidRPr="009257E7" w:rsidRDefault="004E154B" w:rsidP="004F2C58">
      <w:pPr>
        <w:pStyle w:val="NormalWeb"/>
        <w:ind w:left="360"/>
        <w:rPr>
          <w:lang w:val="es-ES"/>
        </w:rPr>
      </w:pPr>
      <w:r w:rsidRPr="009257E7">
        <w:rPr>
          <w:lang w:val="es-ES"/>
        </w:rPr>
        <w:t>[...] [P]ara pagar a sus acreedores, el gobierno puertorriqueño ha implementado un presupuesto de austeridad severa que crea una crisis humanitaria en la isla y amenaza el acceso de les puertorriqueñes a servicios básicos, incluidos la atención médica, la educación e incluso la electricidad. [...]</w:t>
      </w:r>
    </w:p>
    <w:p w14:paraId="06CFDE50" w14:textId="00D076B6" w:rsidR="004E154B" w:rsidRPr="009257E7" w:rsidRDefault="004E154B" w:rsidP="0042633B">
      <w:pPr>
        <w:pStyle w:val="NormalWeb"/>
        <w:ind w:left="360"/>
        <w:rPr>
          <w:lang w:val="es-ES"/>
        </w:rPr>
      </w:pPr>
      <w:r w:rsidRPr="009257E7">
        <w:rPr>
          <w:lang w:val="es-ES"/>
        </w:rPr>
        <w:t xml:space="preserve">[...] [Pero] hay oposición, incluida [...] una madre puertorriqueña de cuatro hijes que [...] </w:t>
      </w:r>
      <w:proofErr w:type="spellStart"/>
      <w:r w:rsidRPr="009257E7">
        <w:rPr>
          <w:lang w:val="es-ES"/>
        </w:rPr>
        <w:t>viv</w:t>
      </w:r>
      <w:proofErr w:type="spellEnd"/>
      <w:r w:rsidRPr="009257E7">
        <w:rPr>
          <w:lang w:val="es-ES"/>
        </w:rPr>
        <w:t>[</w:t>
      </w:r>
      <w:proofErr w:type="spellStart"/>
      <w:r w:rsidRPr="009257E7">
        <w:rPr>
          <w:lang w:val="es-ES"/>
        </w:rPr>
        <w:t>ió</w:t>
      </w:r>
      <w:proofErr w:type="spellEnd"/>
      <w:r w:rsidRPr="009257E7">
        <w:rPr>
          <w:lang w:val="es-ES"/>
        </w:rPr>
        <w:t xml:space="preserve">] en Chicago durante 33 </w:t>
      </w:r>
      <w:proofErr w:type="gramStart"/>
      <w:r w:rsidRPr="009257E7">
        <w:rPr>
          <w:lang w:val="es-ES"/>
        </w:rPr>
        <w:t>años[</w:t>
      </w:r>
      <w:proofErr w:type="gramEnd"/>
      <w:r w:rsidRPr="009257E7">
        <w:rPr>
          <w:lang w:val="es-ES"/>
        </w:rPr>
        <w:t xml:space="preserve">:] [...] “Aprendí más sobre los </w:t>
      </w:r>
      <w:r w:rsidRPr="009257E7">
        <w:rPr>
          <w:rStyle w:val="Emphasis"/>
          <w:lang w:val="es-ES"/>
        </w:rPr>
        <w:t>swaps</w:t>
      </w:r>
      <w:r w:rsidRPr="009257E7">
        <w:rPr>
          <w:lang w:val="es-ES"/>
        </w:rPr>
        <w:t xml:space="preserve"> depredadores de los bancos de Wall Street con el distrito escolar de Chicago y vi cómo los bancos ven nuestras escuelas y comunidades como otra forma de obtener ganancias. [...] [L]o mismo exactamente está ocurriendo en Puerto Rico. Quieren que el dinero público vaya a fondos de cobertura antes que a escuelas, atención médica e infraestructura. [...] ¿Cuándo importarán las vidas de mis hijes? [...] ‘¿No tienen suficiente?’ [...] Una cosa es ser empresario. Otra cosa es ser un monstruo. En Chicago y Puerto Rico, las personas se están educando y se están levantando. Si no luchamos hoy, no veremos un mañana. No tenemos otra opción que luchar”.</w:t>
      </w:r>
      <w:r w:rsidR="00E66650" w:rsidRPr="009257E7">
        <w:rPr>
          <w:rStyle w:val="FootnoteReference"/>
          <w:lang w:val="es-ES"/>
        </w:rPr>
        <w:footnoteReference w:id="110"/>
      </w:r>
    </w:p>
    <w:p w14:paraId="6F9048E6" w14:textId="77777777" w:rsidR="004E154B" w:rsidRPr="009257E7" w:rsidRDefault="004E154B" w:rsidP="00E66650">
      <w:pPr>
        <w:pStyle w:val="NormalWeb"/>
        <w:ind w:firstLine="360"/>
        <w:rPr>
          <w:lang w:val="es-ES"/>
        </w:rPr>
      </w:pPr>
      <w:r w:rsidRPr="009257E7">
        <w:rPr>
          <w:lang w:val="es-ES"/>
        </w:rPr>
        <w:t>Estos ejemplos muestran solo la punta de un iceberg histórico y sistémico. Ilustran cómo las élites estadounidenses usan a les puertorriqueñes, y a todo el hemisferio, como laboratorio neoliberal para ganancias personales o corporativas, en detrimento del público local. Cada vez más, hacen lo mismo “en casa”, dentro de Estados Unidos, para controlar la democracia y la sociedad.</w:t>
      </w:r>
    </w:p>
    <w:p w14:paraId="0D499558" w14:textId="7D692EA6" w:rsidR="004E154B" w:rsidRPr="009257E7" w:rsidRDefault="004E154B" w:rsidP="00E66650">
      <w:pPr>
        <w:pStyle w:val="NormalWeb"/>
        <w:ind w:firstLine="360"/>
        <w:rPr>
          <w:lang w:val="es-ES"/>
        </w:rPr>
      </w:pPr>
      <w:r w:rsidRPr="009257E7">
        <w:rPr>
          <w:lang w:val="es-ES"/>
        </w:rPr>
        <w:t>Los sistemas de educación pública —y los sistemas paralelos racializados de educación privada y parroquial— transmiten formación y conocimiento que pueden resultar poderosos para reforzar o desestabilizar patrones de dominación y subordinación. El sistema educativo público se financia en términos marcadamente desiguales que se correlacionan con la raza, la etnicidad, la clase, el sexo y otras identidades. Las leyes de financiamiento educativo facilitan una transferencia masiva de recursos públicos hacia escuelas privadas mayormente blancas</w:t>
      </w:r>
      <w:r w:rsidR="003E58FE" w:rsidRPr="009257E7">
        <w:rPr>
          <w:rStyle w:val="FootnoteReference"/>
          <w:lang w:val="es-ES"/>
        </w:rPr>
        <w:footnoteReference w:id="111"/>
      </w:r>
      <w:r w:rsidRPr="009257E7">
        <w:rPr>
          <w:lang w:val="es-ES"/>
        </w:rPr>
        <w:t>. Con recursos profundamente desiguales y enseñanza sesgada, algunos grupos reciben apoyo sistémico para alcanzar el éxito “personal”, mientras otros son empujados hacia el fracaso colectivo, supuestamente por fallas personales.</w:t>
      </w:r>
    </w:p>
    <w:p w14:paraId="5AF31920" w14:textId="77777777" w:rsidR="004E154B" w:rsidRPr="009257E7" w:rsidRDefault="004E154B" w:rsidP="00D53DB8">
      <w:pPr>
        <w:pStyle w:val="NormalWeb"/>
        <w:ind w:firstLine="360"/>
        <w:rPr>
          <w:lang w:val="es-ES"/>
        </w:rPr>
      </w:pPr>
      <w:r w:rsidRPr="009257E7">
        <w:rPr>
          <w:lang w:val="es-ES"/>
        </w:rPr>
        <w:t xml:space="preserve">La desigualdad sistémica en la educación se defiende como justa, normal y legítima. De esta manera, la educación —tanto pública como privada— entrena sistemáticamente a integrantes de todos los grupos para aceptar su lugar en los sistemas de castas identitarias. La educación como sistema generalmente inculca y normaliza una conciencia desde arriba de docilidad y una cultura de obediencia, como se examina con mayor detalle más adelante, en el capítulo 3, en el contexto de la educación jurídica. La estructura social de la desigualdad legalizada se internaliza, se </w:t>
      </w:r>
      <w:r w:rsidRPr="009257E7">
        <w:rPr>
          <w:lang w:val="es-ES"/>
        </w:rPr>
        <w:lastRenderedPageBreak/>
        <w:t>arraiga y se preserva. A menos que sean interrumpidos, los sistemas reproducen de forma rutinaria sus resultados para sostener el statu quo de castas arraigadas.</w:t>
      </w:r>
    </w:p>
    <w:p w14:paraId="3B17B765" w14:textId="5B9AA03F" w:rsidR="004E154B" w:rsidRPr="009257E7" w:rsidRDefault="004E154B" w:rsidP="00153433">
      <w:pPr>
        <w:pStyle w:val="NormalWeb"/>
        <w:ind w:firstLine="360"/>
        <w:rPr>
          <w:lang w:val="es-ES"/>
        </w:rPr>
      </w:pPr>
      <w:r w:rsidRPr="009257E7">
        <w:rPr>
          <w:lang w:val="es-ES"/>
        </w:rPr>
        <w:t>Las interrupciones desde abajo, usualmente organizadas por estudiantes, madres, padres y docentes, podrían enfocarse en el financiamiento escolar desigual basado en impuestos sobre la propiedad, en esfuerzos para desviar recursos de distritos escolares de mayoría-minoría, o en prácticas administrativas y disciplinarias que refuerzan desigualdades sistémicas, como la “tubería de la escuela a la prisión” o el acceso desigual a programas de educación especial. Estas interrupciones podrían interferir con la función de la educación como entrenamiento para aceptar y reproducir la desigualdad.</w:t>
      </w:r>
      <w:r w:rsidR="00153433" w:rsidRPr="009257E7">
        <w:rPr>
          <w:lang w:val="es-ES"/>
        </w:rPr>
        <w:t xml:space="preserve"> </w:t>
      </w:r>
    </w:p>
    <w:p w14:paraId="17E35E35" w14:textId="33A7483C" w:rsidR="004E154B" w:rsidRPr="009257E7" w:rsidRDefault="004E154B" w:rsidP="0085647F">
      <w:pPr>
        <w:pStyle w:val="NormalWeb"/>
        <w:ind w:firstLine="360"/>
        <w:rPr>
          <w:lang w:val="es-ES"/>
        </w:rPr>
      </w:pPr>
      <w:r w:rsidRPr="009257E7">
        <w:rPr>
          <w:lang w:val="es-ES"/>
        </w:rPr>
        <w:t xml:space="preserve">Si la educación falla, o cuando falla, en mantener tranquilizadas a las masas, entonces el derecho provee mecanismos de control coercitivo. La vigilancia policial militarizada, el encarcelamiento masivo y la </w:t>
      </w:r>
      <w:proofErr w:type="spellStart"/>
      <w:r w:rsidRPr="009257E7">
        <w:rPr>
          <w:lang w:val="es-ES"/>
        </w:rPr>
        <w:t>crimigración</w:t>
      </w:r>
      <w:proofErr w:type="spellEnd"/>
      <w:r w:rsidRPr="009257E7">
        <w:rPr>
          <w:lang w:val="es-ES"/>
        </w:rPr>
        <w:t xml:space="preserve"> ofrecen tres ejemplos interrelacionados. Los primeros dos operan en sinergia: la vigilancia policial militarizada conduce al encarcelamiento masivo, y el encarcelamiento masivo genera demanda de más vigilancia policial. El tercero —la </w:t>
      </w:r>
      <w:proofErr w:type="spellStart"/>
      <w:r w:rsidRPr="009257E7">
        <w:rPr>
          <w:lang w:val="es-ES"/>
        </w:rPr>
        <w:t>crimigración</w:t>
      </w:r>
      <w:proofErr w:type="spellEnd"/>
      <w:r w:rsidRPr="009257E7">
        <w:rPr>
          <w:lang w:val="es-ES"/>
        </w:rPr>
        <w:t xml:space="preserve">— describe la extensión y fusión de este mantenimiento complejo de la casta en el campo de la inmigración. Estos sistemas coercitivos convierten a </w:t>
      </w:r>
      <w:r w:rsidR="002D2304" w:rsidRPr="009257E7">
        <w:rPr>
          <w:lang w:val="es-ES"/>
        </w:rPr>
        <w:t xml:space="preserve">los </w:t>
      </w:r>
      <w:r w:rsidRPr="009257E7">
        <w:rPr>
          <w:lang w:val="es-ES"/>
        </w:rPr>
        <w:t>Estados Unidos en el “Estado carcelario” número uno, con una desigualdad en la “aplicación” que sigue las castas basadas en la identidad. La mayoría de las masas encarceladas en este Estado carcelario son negras, marrones y pobres. Además, las tasas de encarcelamiento per cápita en Estados Unidos superan las de Corea del Norte, China, Irán, Cuba y otros países condenados como represivos</w:t>
      </w:r>
      <w:r w:rsidR="0072571D" w:rsidRPr="009257E7">
        <w:rPr>
          <w:rStyle w:val="FootnoteReference"/>
          <w:lang w:val="es-ES"/>
        </w:rPr>
        <w:footnoteReference w:id="112"/>
      </w:r>
      <w:r w:rsidRPr="009257E7">
        <w:rPr>
          <w:lang w:val="es-ES"/>
        </w:rPr>
        <w:t xml:space="preserve">. Esta expansión de sistemas —derecho, educación, policía, prisiones, inmigración y otros— asegura el empobrecimiento y </w:t>
      </w:r>
      <w:proofErr w:type="spellStart"/>
      <w:r w:rsidRPr="009257E7">
        <w:rPr>
          <w:lang w:val="es-ES"/>
        </w:rPr>
        <w:t>desempoderamiento</w:t>
      </w:r>
      <w:proofErr w:type="spellEnd"/>
      <w:r w:rsidRPr="009257E7">
        <w:rPr>
          <w:lang w:val="es-ES"/>
        </w:rPr>
        <w:t xml:space="preserve"> de vidas negras y marrones, así como el enriquecimiento y empoderamiento de las élites gobernantes.</w:t>
      </w:r>
      <w:r w:rsidR="0085647F" w:rsidRPr="009257E7">
        <w:rPr>
          <w:lang w:val="es-ES"/>
        </w:rPr>
        <w:t xml:space="preserve"> </w:t>
      </w:r>
    </w:p>
    <w:p w14:paraId="08A1D9CB" w14:textId="51EB6E1F" w:rsidR="004E154B" w:rsidRPr="009257E7" w:rsidRDefault="004E154B" w:rsidP="0072571D">
      <w:pPr>
        <w:pStyle w:val="NormalWeb"/>
        <w:ind w:firstLine="360"/>
        <w:rPr>
          <w:lang w:val="es-ES"/>
        </w:rPr>
      </w:pPr>
      <w:r w:rsidRPr="009257E7">
        <w:rPr>
          <w:lang w:val="es-ES"/>
        </w:rPr>
        <w:t xml:space="preserve">Las políticas y </w:t>
      </w:r>
      <w:r w:rsidR="0072571D" w:rsidRPr="009257E7">
        <w:rPr>
          <w:lang w:val="es-ES"/>
        </w:rPr>
        <w:t xml:space="preserve">las </w:t>
      </w:r>
      <w:r w:rsidRPr="009257E7">
        <w:rPr>
          <w:lang w:val="es-ES"/>
        </w:rPr>
        <w:t>prácticas del Estado carcelario mantienen en pie el Desafío Crítico, día tras día y década tras década. Estos sistemas entrelazados han sido descritos como el “nuevo” Jim Crow porque resucitan los mecanismos sistémicos de control desde arriba</w:t>
      </w:r>
      <w:r w:rsidR="0041013A" w:rsidRPr="009257E7">
        <w:rPr>
          <w:lang w:val="es-ES"/>
        </w:rPr>
        <w:t>,</w:t>
      </w:r>
      <w:r w:rsidRPr="009257E7">
        <w:rPr>
          <w:lang w:val="es-ES"/>
        </w:rPr>
        <w:t xml:space="preserve"> que prevalecieron desde la creación de </w:t>
      </w:r>
      <w:r w:rsidR="0041013A" w:rsidRPr="009257E7">
        <w:rPr>
          <w:lang w:val="es-ES"/>
        </w:rPr>
        <w:t xml:space="preserve">los </w:t>
      </w:r>
      <w:r w:rsidRPr="009257E7">
        <w:rPr>
          <w:lang w:val="es-ES"/>
        </w:rPr>
        <w:t>Estados Unidos y, como derecho formal, hasta bien entrado el siglo XX</w:t>
      </w:r>
      <w:r w:rsidR="0048323D" w:rsidRPr="009257E7">
        <w:rPr>
          <w:rStyle w:val="FootnoteReference"/>
          <w:lang w:val="es-ES"/>
        </w:rPr>
        <w:footnoteReference w:id="113"/>
      </w:r>
      <w:r w:rsidRPr="009257E7">
        <w:rPr>
          <w:lang w:val="es-ES"/>
        </w:rPr>
        <w:t>. Al enfocarse en la creación de la Comisión y las Guías Federales de Sentencia en 1984 y en sus efectos sistémicos desde entonces, el académico del derecho penal Ricardo Bascuas explica:</w:t>
      </w:r>
    </w:p>
    <w:p w14:paraId="442CFF9C" w14:textId="6293AEB1" w:rsidR="004E154B" w:rsidRPr="009257E7" w:rsidRDefault="004E154B" w:rsidP="0048323D">
      <w:pPr>
        <w:pStyle w:val="NormalWeb"/>
        <w:ind w:left="720"/>
        <w:rPr>
          <w:lang w:val="es-ES"/>
        </w:rPr>
      </w:pPr>
      <w:r w:rsidRPr="009257E7">
        <w:rPr>
          <w:lang w:val="es-ES"/>
        </w:rPr>
        <w:t>En un régimen de sentencias fijas y severas, el control ejecutivo exclusivo sobre la mitigación facilita en gran medida los procesamientos. Les acusades cuya única esperanza de una sentencia menos draconiana depende de</w:t>
      </w:r>
      <w:r w:rsidR="0048323D" w:rsidRPr="009257E7">
        <w:rPr>
          <w:lang w:val="es-ES"/>
        </w:rPr>
        <w:t>l</w:t>
      </w:r>
      <w:r w:rsidRPr="009257E7">
        <w:rPr>
          <w:lang w:val="es-ES"/>
        </w:rPr>
        <w:t xml:space="preserve"> fiscal pueden ser forzades a declararse culpables y a proporcionar información y testimonio útiles contra otres. Para lograr eso, [el Departamento de Justicia] ha presionado continuamente para mantener altas las sentencias de las Guías y para impedir que les jueces se aparten hacia abajo sin la aquiescencia de la fiscalía. El Departamento incluso ha logrado que las reducciones de </w:t>
      </w:r>
      <w:r w:rsidRPr="009257E7">
        <w:rPr>
          <w:lang w:val="es-ES"/>
        </w:rPr>
        <w:lastRenderedPageBreak/>
        <w:t xml:space="preserve">sentencia por declaraciones de culpabilidad dependan parcialmente de si </w:t>
      </w:r>
      <w:r w:rsidR="00A86C98" w:rsidRPr="009257E7">
        <w:rPr>
          <w:lang w:val="es-ES"/>
        </w:rPr>
        <w:t>el</w:t>
      </w:r>
      <w:r w:rsidRPr="009257E7">
        <w:rPr>
          <w:lang w:val="es-ES"/>
        </w:rPr>
        <w:t xml:space="preserve"> fiscal queda satisfech</w:t>
      </w:r>
      <w:r w:rsidR="00A86C98" w:rsidRPr="009257E7">
        <w:rPr>
          <w:lang w:val="es-ES"/>
        </w:rPr>
        <w:t>o</w:t>
      </w:r>
      <w:r w:rsidRPr="009257E7">
        <w:rPr>
          <w:lang w:val="es-ES"/>
        </w:rPr>
        <w:t xml:space="preserve"> con que le acusade haya confesado plenamente.</w:t>
      </w:r>
    </w:p>
    <w:p w14:paraId="0D56ECBA" w14:textId="614FA67D" w:rsidR="004E154B" w:rsidRPr="009257E7" w:rsidRDefault="004E154B" w:rsidP="00A86C98">
      <w:pPr>
        <w:pStyle w:val="NormalWeb"/>
        <w:ind w:left="720"/>
        <w:rPr>
          <w:lang w:val="es-ES"/>
        </w:rPr>
      </w:pPr>
      <w:r w:rsidRPr="009257E7">
        <w:rPr>
          <w:lang w:val="es-ES"/>
        </w:rPr>
        <w:t>[...] [L]as Guías imponen costos reales al derecho a juicio. [...] Los datos muestran que [...] [en] 2008, l</w:t>
      </w:r>
      <w:r w:rsidR="00A86C98" w:rsidRPr="009257E7">
        <w:rPr>
          <w:lang w:val="es-ES"/>
        </w:rPr>
        <w:t>o</w:t>
      </w:r>
      <w:r w:rsidRPr="009257E7">
        <w:rPr>
          <w:lang w:val="es-ES"/>
        </w:rPr>
        <w:t>s fiscales federales llevaron a juicio menos de la mitad de los casos [en tribunal] que llevaron en 1980, a pesar de un aumento de dos veces y media en el número de casos. La razón del aumento abrumador en las declaraciones de culpabilidad es que las Guías obligan a les acusades a optar por la sentencia impuesta por “aceptar responsabilidad” o a arriesgarse a una sentencia drásticamente mayor por la posibilidad de una absolución.</w:t>
      </w:r>
      <w:r w:rsidR="000452BB" w:rsidRPr="009257E7">
        <w:rPr>
          <w:rStyle w:val="FootnoteReference"/>
          <w:lang w:val="es-ES"/>
        </w:rPr>
        <w:footnoteReference w:id="114"/>
      </w:r>
    </w:p>
    <w:p w14:paraId="3DEA0CBC" w14:textId="65EB7B9A" w:rsidR="00B43B74" w:rsidRPr="009257E7" w:rsidRDefault="00B43B74" w:rsidP="00A561F4">
      <w:pPr>
        <w:pStyle w:val="NormalWeb"/>
        <w:ind w:firstLine="720"/>
        <w:rPr>
          <w:lang w:val="es-ES"/>
        </w:rPr>
      </w:pPr>
      <w:r w:rsidRPr="009257E7">
        <w:rPr>
          <w:lang w:val="es-ES"/>
        </w:rPr>
        <w:t xml:space="preserve">La desaparición sistémica contemporánea del juicio penal por jurado se llevó a cabo a plena vista mediante “reformas” desde arriba que hicieron que el acceso a </w:t>
      </w:r>
      <w:r w:rsidR="00A561F4" w:rsidRPr="009257E7">
        <w:rPr>
          <w:lang w:val="es-ES"/>
        </w:rPr>
        <w:t xml:space="preserve">los </w:t>
      </w:r>
      <w:r w:rsidRPr="009257E7">
        <w:rPr>
          <w:lang w:val="es-ES"/>
        </w:rPr>
        <w:t xml:space="preserve">veredictos de jurado </w:t>
      </w:r>
      <w:r w:rsidR="00A561F4" w:rsidRPr="009257E7">
        <w:rPr>
          <w:lang w:val="es-ES"/>
        </w:rPr>
        <w:t>resulta</w:t>
      </w:r>
      <w:r w:rsidRPr="009257E7">
        <w:rPr>
          <w:lang w:val="es-ES"/>
        </w:rPr>
        <w:t xml:space="preserve">ra cada vez más </w:t>
      </w:r>
      <w:r w:rsidR="00A561F4" w:rsidRPr="009257E7">
        <w:rPr>
          <w:lang w:val="es-ES"/>
        </w:rPr>
        <w:t>arriesgad</w:t>
      </w:r>
      <w:r w:rsidRPr="009257E7">
        <w:rPr>
          <w:lang w:val="es-ES"/>
        </w:rPr>
        <w:t xml:space="preserve">o. Hacer que el acceso a un juicio sea inalcanzable para la mayoría de les acusades socava los propósitos atribuidos al derecho constitucional a </w:t>
      </w:r>
      <w:r w:rsidR="00A5439C" w:rsidRPr="009257E7">
        <w:rPr>
          <w:lang w:val="es-ES"/>
        </w:rPr>
        <w:t xml:space="preserve">la </w:t>
      </w:r>
      <w:r w:rsidRPr="009257E7">
        <w:rPr>
          <w:lang w:val="es-ES"/>
        </w:rPr>
        <w:t xml:space="preserve">asistencia letrada: asegurar una audiencia justa ante un jurado imparcial de pares. En cambio, esta reestructuración sistémica asegura que menos abogades —y jueces— tengan la capacidad de garantizar procedimientos “justos” </w:t>
      </w:r>
      <w:r w:rsidR="00A5439C" w:rsidRPr="009257E7">
        <w:rPr>
          <w:lang w:val="es-ES"/>
        </w:rPr>
        <w:t>en</w:t>
      </w:r>
      <w:r w:rsidRPr="009257E7">
        <w:rPr>
          <w:lang w:val="es-ES"/>
        </w:rPr>
        <w:t xml:space="preserve"> un sistema supuestamente adversarial. Con el tiempo, los juicios se desvanecen de forma “natural” a medida que la memoria institucional olvida cómo llevarlos a cabo. Esta brecha intencional y su cultivo elitista ayudan, por tanto, a explicar la persistencia sistémica de los problemas de “acceso a la justicia”, a pesar de las expresiones repetidas desde arriba de fidelidad a la justicia igualitaria. El rediseño de las reglas básicas hace que el encarcelamiento masivo </w:t>
      </w:r>
      <w:r w:rsidR="00E2221B" w:rsidRPr="009257E7">
        <w:rPr>
          <w:lang w:val="es-ES"/>
        </w:rPr>
        <w:t>resulte</w:t>
      </w:r>
      <w:r w:rsidRPr="009257E7">
        <w:rPr>
          <w:lang w:val="es-ES"/>
        </w:rPr>
        <w:t xml:space="preserve"> más fácil, </w:t>
      </w:r>
      <w:proofErr w:type="gramStart"/>
      <w:r w:rsidR="00E2221B" w:rsidRPr="009257E7">
        <w:rPr>
          <w:lang w:val="es-ES"/>
        </w:rPr>
        <w:t xml:space="preserve">más </w:t>
      </w:r>
      <w:r w:rsidRPr="009257E7">
        <w:rPr>
          <w:lang w:val="es-ES"/>
        </w:rPr>
        <w:t>rápido y</w:t>
      </w:r>
      <w:r w:rsidR="00E2221B" w:rsidRPr="009257E7">
        <w:rPr>
          <w:lang w:val="es-ES"/>
        </w:rPr>
        <w:t xml:space="preserve"> más</w:t>
      </w:r>
      <w:r w:rsidRPr="009257E7">
        <w:rPr>
          <w:lang w:val="es-ES"/>
        </w:rPr>
        <w:t xml:space="preserve"> barato</w:t>
      </w:r>
      <w:proofErr w:type="gramEnd"/>
      <w:r w:rsidRPr="009257E7">
        <w:rPr>
          <w:lang w:val="es-ES"/>
        </w:rPr>
        <w:t xml:space="preserve"> para las élites. La presión para “declararse culpable” mantiene en marcha el Estado carcelario.</w:t>
      </w:r>
      <w:r w:rsidR="00A561F4" w:rsidRPr="009257E7">
        <w:rPr>
          <w:lang w:val="es-ES"/>
        </w:rPr>
        <w:t xml:space="preserve"> </w:t>
      </w:r>
    </w:p>
    <w:p w14:paraId="56F75B51" w14:textId="50B950A3" w:rsidR="00B43B74" w:rsidRPr="009257E7" w:rsidRDefault="00B43B74" w:rsidP="00E2221B">
      <w:pPr>
        <w:pStyle w:val="NormalWeb"/>
        <w:ind w:firstLine="720"/>
        <w:rPr>
          <w:lang w:val="es-ES"/>
        </w:rPr>
      </w:pPr>
      <w:r w:rsidRPr="009257E7">
        <w:rPr>
          <w:lang w:val="es-ES"/>
        </w:rPr>
        <w:t>El académico del derecho penal y exfiscal federal Paul Butler pregunta de forma provocadora si les abogades pueden crear cambio desde “adentro” como fiscales con sensibilidad social:</w:t>
      </w:r>
      <w:r w:rsidR="00D662B0" w:rsidRPr="009257E7">
        <w:rPr>
          <w:lang w:val="es-ES"/>
        </w:rPr>
        <w:t xml:space="preserve"> </w:t>
      </w:r>
    </w:p>
    <w:p w14:paraId="6A771627" w14:textId="54B462E8" w:rsidR="00B43B74" w:rsidRPr="009257E7" w:rsidRDefault="00B43B74" w:rsidP="00D662B0">
      <w:pPr>
        <w:pStyle w:val="NormalWeb"/>
        <w:ind w:left="720"/>
        <w:rPr>
          <w:lang w:val="es-ES"/>
        </w:rPr>
      </w:pPr>
      <w:r w:rsidRPr="009257E7">
        <w:rPr>
          <w:lang w:val="es-ES"/>
        </w:rPr>
        <w:t xml:space="preserve">La naturaleza adversarial del sistema de justicia, la cultura de la fiscalía y la política del crimen plantean obstáculos insuperables para fiscales preocupades por la justicia económica y racial. [...] [L]es fiscales pasan demasiado tiempo formulando argumentos a favor del poder policial. Piden a les jueces que adopten interpretaciones estrechas de la Constitución y de los derechos individuales. [...] Convertirse en fiscal para ayudar a resolver la injusticia en el sistema de justicia penal es [...] como trabajar </w:t>
      </w:r>
      <w:r w:rsidR="00E42F24" w:rsidRPr="009257E7">
        <w:rPr>
          <w:lang w:val="es-ES"/>
        </w:rPr>
        <w:t>en</w:t>
      </w:r>
      <w:r w:rsidRPr="009257E7">
        <w:rPr>
          <w:lang w:val="es-ES"/>
        </w:rPr>
        <w:t xml:space="preserve"> una refinería de petróleo porque se quiere ayudar al </w:t>
      </w:r>
      <w:r w:rsidR="00E42F24" w:rsidRPr="009257E7">
        <w:rPr>
          <w:lang w:val="es-ES"/>
        </w:rPr>
        <w:t xml:space="preserve">medio </w:t>
      </w:r>
      <w:r w:rsidRPr="009257E7">
        <w:rPr>
          <w:lang w:val="es-ES"/>
        </w:rPr>
        <w:t>ambiente. [...]</w:t>
      </w:r>
    </w:p>
    <w:p w14:paraId="7599CD4D" w14:textId="182D2249" w:rsidR="00B43B74" w:rsidRPr="009257E7" w:rsidRDefault="00B43B74" w:rsidP="00D662B0">
      <w:pPr>
        <w:pStyle w:val="NormalWeb"/>
        <w:ind w:left="720"/>
        <w:rPr>
          <w:lang w:val="es-ES"/>
        </w:rPr>
      </w:pPr>
      <w:r w:rsidRPr="009257E7">
        <w:rPr>
          <w:lang w:val="es-ES"/>
        </w:rPr>
        <w:t>En el sistema estatal, donde se presentan el 90 por ciento de los casos penales, e</w:t>
      </w:r>
      <w:r w:rsidR="00E42F24" w:rsidRPr="009257E7">
        <w:rPr>
          <w:lang w:val="es-ES"/>
        </w:rPr>
        <w:t>l</w:t>
      </w:r>
      <w:r w:rsidRPr="009257E7">
        <w:rPr>
          <w:lang w:val="es-ES"/>
        </w:rPr>
        <w:t xml:space="preserve"> fiscal principal es un políti</w:t>
      </w:r>
      <w:r w:rsidR="00E42F24" w:rsidRPr="009257E7">
        <w:rPr>
          <w:lang w:val="es-ES"/>
        </w:rPr>
        <w:t>co</w:t>
      </w:r>
      <w:r w:rsidRPr="009257E7">
        <w:rPr>
          <w:lang w:val="es-ES"/>
        </w:rPr>
        <w:t xml:space="preserve"> que, en la mayoría de los casos, fue elect</w:t>
      </w:r>
      <w:r w:rsidR="00E42F24" w:rsidRPr="009257E7">
        <w:rPr>
          <w:lang w:val="es-ES"/>
        </w:rPr>
        <w:t>o</w:t>
      </w:r>
      <w:r w:rsidRPr="009257E7">
        <w:rPr>
          <w:lang w:val="es-ES"/>
        </w:rPr>
        <w:t xml:space="preserve"> mediante la política disfuncional de la justicia penal, en la cual las personas obtienen votos prometiendo encerrar a más personas en jaulas. [...]</w:t>
      </w:r>
    </w:p>
    <w:p w14:paraId="2865FBD5" w14:textId="1646F232" w:rsidR="00B43B74" w:rsidRPr="009257E7" w:rsidRDefault="00B43B74" w:rsidP="00D662B0">
      <w:pPr>
        <w:pStyle w:val="NormalWeb"/>
        <w:ind w:left="720"/>
        <w:rPr>
          <w:lang w:val="es-ES"/>
        </w:rPr>
      </w:pPr>
      <w:r w:rsidRPr="009257E7">
        <w:rPr>
          <w:lang w:val="es-ES"/>
        </w:rPr>
        <w:t xml:space="preserve">[En suma,] ¿contribuye al problema trabajar dentro del sistema? [Sí.] [...] Segundo, ¿es posible lograr una diferencia real desde adentro? Si solo se requiere una “reforma”, </w:t>
      </w:r>
      <w:r w:rsidRPr="009257E7">
        <w:rPr>
          <w:lang w:val="es-ES"/>
        </w:rPr>
        <w:lastRenderedPageBreak/>
        <w:t>trabajar dentro del sistema podría lograr ese cambio. Si, por el contrario, se necesita una transformación más sustancial, se vuelve más evidente que el cambio debe venir desde [afuera]. Quienes trabajan dentro pueden hacer ajustes menores al régimen de castigo, pero probablemente no pued</w:t>
      </w:r>
      <w:r w:rsidR="002F4330" w:rsidRPr="009257E7">
        <w:rPr>
          <w:lang w:val="es-ES"/>
        </w:rPr>
        <w:t>e</w:t>
      </w:r>
      <w:r w:rsidRPr="009257E7">
        <w:rPr>
          <w:lang w:val="es-ES"/>
        </w:rPr>
        <w:t>n transformarlo por completo.</w:t>
      </w:r>
      <w:r w:rsidR="004E5D49" w:rsidRPr="009257E7">
        <w:rPr>
          <w:rStyle w:val="FootnoteReference"/>
          <w:lang w:val="es-ES"/>
        </w:rPr>
        <w:footnoteReference w:id="115"/>
      </w:r>
    </w:p>
    <w:p w14:paraId="6B7AF3C4" w14:textId="77777777" w:rsidR="00B43B74" w:rsidRPr="009257E7" w:rsidRDefault="00B43B74" w:rsidP="002F4330">
      <w:pPr>
        <w:pStyle w:val="NormalWeb"/>
        <w:ind w:firstLine="720"/>
        <w:rPr>
          <w:lang w:val="es-ES"/>
        </w:rPr>
      </w:pPr>
      <w:r w:rsidRPr="009257E7">
        <w:rPr>
          <w:lang w:val="es-ES"/>
        </w:rPr>
        <w:t>Aunque algunas personas estadounidenses pueden sentirse protegidas de la violencia, y estarlo, por la fuerza del derecho, otras están sujetas a violencia legalizada a diario, a veces de forma crónica. Este uso selectivo de la violencia, combinado con la aculturación, la educación y la ideología, asegura con frecuencia la imposición física brutal del manual desde arriba de las élites.</w:t>
      </w:r>
    </w:p>
    <w:p w14:paraId="66E69ACA" w14:textId="45E52D59" w:rsidR="00B43B74" w:rsidRPr="009257E7" w:rsidRDefault="00B43B74" w:rsidP="002F4330">
      <w:pPr>
        <w:pStyle w:val="NormalWeb"/>
        <w:ind w:firstLine="720"/>
        <w:rPr>
          <w:lang w:val="es-ES"/>
        </w:rPr>
      </w:pPr>
      <w:r w:rsidRPr="009257E7">
        <w:rPr>
          <w:lang w:val="es-ES"/>
        </w:rPr>
        <w:t xml:space="preserve">En este torbellino, las personas transgénero enfrentan discriminación abierta, además de violencia cultural extrema y amenazas personales contra su seguridad física, </w:t>
      </w:r>
      <w:r w:rsidR="002F4330" w:rsidRPr="009257E7">
        <w:rPr>
          <w:lang w:val="es-ES"/>
        </w:rPr>
        <w:t xml:space="preserve">tanto </w:t>
      </w:r>
      <w:r w:rsidRPr="009257E7">
        <w:rPr>
          <w:lang w:val="es-ES"/>
        </w:rPr>
        <w:t xml:space="preserve">en la atención médica </w:t>
      </w:r>
      <w:r w:rsidR="002F4330" w:rsidRPr="009257E7">
        <w:rPr>
          <w:lang w:val="es-ES"/>
        </w:rPr>
        <w:t>como</w:t>
      </w:r>
      <w:r w:rsidRPr="009257E7">
        <w:rPr>
          <w:lang w:val="es-ES"/>
        </w:rPr>
        <w:t xml:space="preserve"> en otros espacios cotidianos del derecho y</w:t>
      </w:r>
      <w:r w:rsidR="002F4330" w:rsidRPr="009257E7">
        <w:rPr>
          <w:lang w:val="es-ES"/>
        </w:rPr>
        <w:t xml:space="preserve"> de</w:t>
      </w:r>
      <w:r w:rsidRPr="009257E7">
        <w:rPr>
          <w:lang w:val="es-ES"/>
        </w:rPr>
        <w:t xml:space="preserve"> la sociedad. Estos riesgos basados en la identidad, y los impedimentos jurídicos a su personalidad, atraviesan fronteras, al igual que la lucha. Un ejemplo de contestación continua son los esfuerzos de </w:t>
      </w:r>
      <w:proofErr w:type="spellStart"/>
      <w:r w:rsidRPr="009257E7">
        <w:rPr>
          <w:lang w:val="es-ES"/>
        </w:rPr>
        <w:t>United</w:t>
      </w:r>
      <w:proofErr w:type="spellEnd"/>
      <w:r w:rsidRPr="009257E7">
        <w:rPr>
          <w:lang w:val="es-ES"/>
        </w:rPr>
        <w:t xml:space="preserve"> Caribbean </w:t>
      </w:r>
      <w:proofErr w:type="gramStart"/>
      <w:r w:rsidRPr="009257E7">
        <w:rPr>
          <w:lang w:val="es-ES"/>
        </w:rPr>
        <w:t>Trans Network</w:t>
      </w:r>
      <w:proofErr w:type="gramEnd"/>
      <w:r w:rsidRPr="009257E7">
        <w:rPr>
          <w:lang w:val="es-ES"/>
        </w:rPr>
        <w:t xml:space="preserve"> —UCTRANS—, una red regional que destaca la necesidad de reforma jurídica para asegurar el reconocimiento legal de la identidad de género:</w:t>
      </w:r>
      <w:r w:rsidR="002F4330" w:rsidRPr="009257E7">
        <w:rPr>
          <w:lang w:val="es-ES"/>
        </w:rPr>
        <w:t xml:space="preserve"> </w:t>
      </w:r>
    </w:p>
    <w:p w14:paraId="37CD2980" w14:textId="6C8BDFE9" w:rsidR="00B43B74" w:rsidRPr="009257E7" w:rsidRDefault="00B43B74" w:rsidP="002F4330">
      <w:pPr>
        <w:pStyle w:val="NormalWeb"/>
        <w:ind w:left="720"/>
        <w:rPr>
          <w:lang w:val="es-ES"/>
        </w:rPr>
      </w:pPr>
      <w:r w:rsidRPr="009257E7">
        <w:rPr>
          <w:lang w:val="es-ES"/>
        </w:rPr>
        <w:t xml:space="preserve">Los derechos </w:t>
      </w:r>
      <w:r w:rsidR="00F0553C" w:rsidRPr="009257E7">
        <w:rPr>
          <w:lang w:val="es-ES"/>
        </w:rPr>
        <w:t xml:space="preserve">de las personas </w:t>
      </w:r>
      <w:r w:rsidRPr="009257E7">
        <w:rPr>
          <w:lang w:val="es-ES"/>
        </w:rPr>
        <w:t>trans son derechos humanos</w:t>
      </w:r>
      <w:r w:rsidR="00F0553C" w:rsidRPr="009257E7">
        <w:rPr>
          <w:lang w:val="es-ES"/>
        </w:rPr>
        <w:t>. L</w:t>
      </w:r>
      <w:r w:rsidRPr="009257E7">
        <w:rPr>
          <w:lang w:val="es-ES"/>
        </w:rPr>
        <w:t>as personas trans existen en el Caribe</w:t>
      </w:r>
      <w:r w:rsidR="00F0553C" w:rsidRPr="009257E7">
        <w:rPr>
          <w:lang w:val="es-ES"/>
        </w:rPr>
        <w:t>. T</w:t>
      </w:r>
      <w:r w:rsidRPr="009257E7">
        <w:rPr>
          <w:lang w:val="es-ES"/>
        </w:rPr>
        <w:t xml:space="preserve">enemos derecho a que se reconozca nuestra identidad de género. Es hora de que nuestros gobiernos den un paso hacia la igualdad. UCTRANS insta a nuestros gobiernos a cumplir las obligaciones internacionales </w:t>
      </w:r>
      <w:r w:rsidR="00F0553C" w:rsidRPr="009257E7">
        <w:rPr>
          <w:lang w:val="es-ES"/>
        </w:rPr>
        <w:t xml:space="preserve">en materia </w:t>
      </w:r>
      <w:r w:rsidRPr="009257E7">
        <w:rPr>
          <w:lang w:val="es-ES"/>
        </w:rPr>
        <w:t xml:space="preserve">de derechos humanos y a honrar la diversidad que caracteriza a la región caribeña, mediante esfuerzos conjuntos para proteger y reconocer los derechos de las personas trans y </w:t>
      </w:r>
      <w:r w:rsidR="00F0553C" w:rsidRPr="009257E7">
        <w:rPr>
          <w:lang w:val="es-ES"/>
        </w:rPr>
        <w:t>otorga</w:t>
      </w:r>
      <w:r w:rsidRPr="009257E7">
        <w:rPr>
          <w:lang w:val="es-ES"/>
        </w:rPr>
        <w:t xml:space="preserve">r el reconocimiento de </w:t>
      </w:r>
      <w:r w:rsidR="00F0553C" w:rsidRPr="009257E7">
        <w:rPr>
          <w:lang w:val="es-ES"/>
        </w:rPr>
        <w:t>su</w:t>
      </w:r>
      <w:r w:rsidRPr="009257E7">
        <w:rPr>
          <w:lang w:val="es-ES"/>
        </w:rPr>
        <w:t xml:space="preserve"> identidad de género mediante procedimientos administrativos expeditos.</w:t>
      </w:r>
      <w:r w:rsidR="00CF5EE1" w:rsidRPr="009257E7">
        <w:rPr>
          <w:rStyle w:val="FootnoteReference"/>
          <w:lang w:val="es-ES"/>
        </w:rPr>
        <w:footnoteReference w:id="116"/>
      </w:r>
    </w:p>
    <w:p w14:paraId="54BDDF7A" w14:textId="652B9ED3" w:rsidR="00B43B74" w:rsidRPr="009257E7" w:rsidRDefault="00B43B74" w:rsidP="00CF5EE1">
      <w:pPr>
        <w:pStyle w:val="NormalWeb"/>
        <w:ind w:firstLine="720"/>
        <w:rPr>
          <w:lang w:val="es-ES"/>
        </w:rPr>
      </w:pPr>
      <w:r w:rsidRPr="009257E7">
        <w:rPr>
          <w:lang w:val="es-ES"/>
        </w:rPr>
        <w:t xml:space="preserve">La violencia, en sus múltiples formas y como complemento de la cultura y </w:t>
      </w:r>
      <w:r w:rsidR="00CF5EE1" w:rsidRPr="009257E7">
        <w:rPr>
          <w:lang w:val="es-ES"/>
        </w:rPr>
        <w:t xml:space="preserve">de </w:t>
      </w:r>
      <w:r w:rsidRPr="009257E7">
        <w:rPr>
          <w:lang w:val="es-ES"/>
        </w:rPr>
        <w:t xml:space="preserve">la política pública, siempre ha sido clave en el manual de las élites. La abogacía sistémica toma en serio esta violencia y busca detenerla </w:t>
      </w:r>
      <w:r w:rsidR="00CF5EE1" w:rsidRPr="009257E7">
        <w:rPr>
          <w:lang w:val="es-ES"/>
        </w:rPr>
        <w:t>en</w:t>
      </w:r>
      <w:r w:rsidRPr="009257E7">
        <w:rPr>
          <w:lang w:val="es-ES"/>
        </w:rPr>
        <w:t xml:space="preserve"> </w:t>
      </w:r>
      <w:r w:rsidR="00CF5EE1" w:rsidRPr="009257E7">
        <w:rPr>
          <w:lang w:val="es-ES"/>
        </w:rPr>
        <w:t>su</w:t>
      </w:r>
      <w:r w:rsidRPr="009257E7">
        <w:rPr>
          <w:lang w:val="es-ES"/>
        </w:rPr>
        <w:t xml:space="preserve"> raíz. Por esta razón, controlar tanto el conocimiento como el derecho </w:t>
      </w:r>
      <w:r w:rsidR="00427359" w:rsidRPr="009257E7">
        <w:rPr>
          <w:lang w:val="es-ES"/>
        </w:rPr>
        <w:t>resulta</w:t>
      </w:r>
      <w:r w:rsidRPr="009257E7">
        <w:rPr>
          <w:lang w:val="es-ES"/>
        </w:rPr>
        <w:t xml:space="preserve"> clave para los objetivos desde arriba.</w:t>
      </w:r>
    </w:p>
    <w:p w14:paraId="617FE078" w14:textId="77777777" w:rsidR="007211B2" w:rsidRPr="009257E7" w:rsidRDefault="007211B2">
      <w:pPr>
        <w:rPr>
          <w:rFonts w:ascii="Times New Roman" w:eastAsia="Times New Roman" w:hAnsi="Times New Roman" w:cs="Times New Roman"/>
          <w:b/>
          <w:bCs/>
          <w:kern w:val="0"/>
          <w:lang w:val="es-ES"/>
          <w14:ligatures w14:val="none"/>
        </w:rPr>
      </w:pPr>
      <w:r w:rsidRPr="009257E7">
        <w:rPr>
          <w:rFonts w:ascii="Times New Roman" w:eastAsia="Times New Roman" w:hAnsi="Times New Roman" w:cs="Times New Roman"/>
          <w:b/>
          <w:bCs/>
          <w:kern w:val="0"/>
          <w:lang w:val="es-ES"/>
          <w14:ligatures w14:val="none"/>
        </w:rPr>
        <w:br w:type="page"/>
      </w:r>
    </w:p>
    <w:p w14:paraId="4E72A03E" w14:textId="7E38BB8C" w:rsidR="008F5B70" w:rsidRPr="009257E7" w:rsidRDefault="008F5B70" w:rsidP="008F5B70">
      <w:pPr>
        <w:spacing w:before="100" w:beforeAutospacing="1" w:after="100" w:afterAutospacing="1" w:line="240" w:lineRule="auto"/>
        <w:outlineLvl w:val="2"/>
        <w:rPr>
          <w:rFonts w:ascii="Times New Roman" w:eastAsia="Times New Roman" w:hAnsi="Times New Roman" w:cs="Times New Roman"/>
          <w:b/>
          <w:bCs/>
          <w:kern w:val="0"/>
          <w:lang w:val="es-ES"/>
          <w14:ligatures w14:val="none"/>
        </w:rPr>
      </w:pPr>
      <w:r w:rsidRPr="009257E7">
        <w:rPr>
          <w:rFonts w:ascii="Times New Roman" w:eastAsia="Times New Roman" w:hAnsi="Times New Roman" w:cs="Times New Roman"/>
          <w:b/>
          <w:bCs/>
          <w:kern w:val="0"/>
          <w:lang w:val="es-ES"/>
          <w14:ligatures w14:val="none"/>
        </w:rPr>
        <w:lastRenderedPageBreak/>
        <w:t>Capítulo 3: Comprender el derecho en la educación y la práctica como industria</w:t>
      </w:r>
    </w:p>
    <w:p w14:paraId="738926CC" w14:textId="7A40CC58" w:rsidR="00C81921" w:rsidRPr="009257E7" w:rsidRDefault="00C81921" w:rsidP="00C81921">
      <w:pPr>
        <w:spacing w:before="100" w:beforeAutospacing="1" w:after="100" w:afterAutospacing="1" w:line="240" w:lineRule="auto"/>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i/>
          <w:iCs/>
          <w:kern w:val="0"/>
          <w:lang w:val="es-ES"/>
          <w14:ligatures w14:val="none"/>
        </w:rPr>
        <w:t xml:space="preserve">[L]es abogades, en gran medida, </w:t>
      </w:r>
      <w:r w:rsidR="00F95DC0" w:rsidRPr="009257E7">
        <w:rPr>
          <w:rFonts w:ascii="Times New Roman" w:eastAsia="Times New Roman" w:hAnsi="Times New Roman" w:cs="Times New Roman"/>
          <w:i/>
          <w:iCs/>
          <w:kern w:val="0"/>
          <w:lang w:val="es-ES"/>
          <w14:ligatures w14:val="none"/>
        </w:rPr>
        <w:t xml:space="preserve">se </w:t>
      </w:r>
      <w:r w:rsidRPr="009257E7">
        <w:rPr>
          <w:rFonts w:ascii="Times New Roman" w:eastAsia="Times New Roman" w:hAnsi="Times New Roman" w:cs="Times New Roman"/>
          <w:i/>
          <w:iCs/>
          <w:kern w:val="0"/>
          <w:lang w:val="es-ES"/>
          <w14:ligatures w14:val="none"/>
        </w:rPr>
        <w:t xml:space="preserve">han permitido convertirse en auxiliares de las grandes corporaciones y han descuidado la obligación de </w:t>
      </w:r>
      <w:r w:rsidR="00F95DC0" w:rsidRPr="009257E7">
        <w:rPr>
          <w:rFonts w:ascii="Times New Roman" w:eastAsia="Times New Roman" w:hAnsi="Times New Roman" w:cs="Times New Roman"/>
          <w:i/>
          <w:iCs/>
          <w:kern w:val="0"/>
          <w:lang w:val="es-ES"/>
          <w14:ligatures w14:val="none"/>
        </w:rPr>
        <w:t>ejercer</w:t>
      </w:r>
      <w:r w:rsidRPr="009257E7">
        <w:rPr>
          <w:rFonts w:ascii="Times New Roman" w:eastAsia="Times New Roman" w:hAnsi="Times New Roman" w:cs="Times New Roman"/>
          <w:i/>
          <w:iCs/>
          <w:kern w:val="0"/>
          <w:lang w:val="es-ES"/>
          <w14:ligatures w14:val="none"/>
        </w:rPr>
        <w:t xml:space="preserve"> sus poderes para la protección del pueblo.</w:t>
      </w:r>
      <w:r w:rsidRPr="009257E7">
        <w:rPr>
          <w:rFonts w:ascii="Times New Roman" w:eastAsia="Times New Roman" w:hAnsi="Times New Roman" w:cs="Times New Roman"/>
          <w:kern w:val="0"/>
          <w:lang w:val="es-ES"/>
          <w14:ligatures w14:val="none"/>
        </w:rPr>
        <w:br/>
        <w:t xml:space="preserve">—Louis D. Brandeis, </w:t>
      </w:r>
      <w:r w:rsidRPr="009257E7">
        <w:rPr>
          <w:rFonts w:ascii="Times New Roman" w:eastAsia="Times New Roman" w:hAnsi="Times New Roman" w:cs="Times New Roman"/>
          <w:i/>
          <w:iCs/>
          <w:kern w:val="0"/>
          <w:lang w:val="es-ES"/>
          <w14:ligatures w14:val="none"/>
        </w:rPr>
        <w:t xml:space="preserve">The </w:t>
      </w:r>
      <w:proofErr w:type="spellStart"/>
      <w:r w:rsidRPr="009257E7">
        <w:rPr>
          <w:rFonts w:ascii="Times New Roman" w:eastAsia="Times New Roman" w:hAnsi="Times New Roman" w:cs="Times New Roman"/>
          <w:i/>
          <w:iCs/>
          <w:kern w:val="0"/>
          <w:lang w:val="es-ES"/>
          <w14:ligatures w14:val="none"/>
        </w:rPr>
        <w:t>Opportunity</w:t>
      </w:r>
      <w:proofErr w:type="spellEnd"/>
      <w:r w:rsidRPr="009257E7">
        <w:rPr>
          <w:rFonts w:ascii="Times New Roman" w:eastAsia="Times New Roman" w:hAnsi="Times New Roman" w:cs="Times New Roman"/>
          <w:i/>
          <w:iCs/>
          <w:kern w:val="0"/>
          <w:lang w:val="es-ES"/>
          <w14:ligatures w14:val="none"/>
        </w:rPr>
        <w:t xml:space="preserve"> in </w:t>
      </w:r>
      <w:proofErr w:type="spellStart"/>
      <w:r w:rsidRPr="009257E7">
        <w:rPr>
          <w:rFonts w:ascii="Times New Roman" w:eastAsia="Times New Roman" w:hAnsi="Times New Roman" w:cs="Times New Roman"/>
          <w:i/>
          <w:iCs/>
          <w:kern w:val="0"/>
          <w:lang w:val="es-ES"/>
          <w14:ligatures w14:val="none"/>
        </w:rPr>
        <w:t>the</w:t>
      </w:r>
      <w:proofErr w:type="spellEnd"/>
      <w:r w:rsidRPr="009257E7">
        <w:rPr>
          <w:rFonts w:ascii="Times New Roman" w:eastAsia="Times New Roman" w:hAnsi="Times New Roman" w:cs="Times New Roman"/>
          <w:i/>
          <w:iCs/>
          <w:kern w:val="0"/>
          <w:lang w:val="es-ES"/>
          <w14:ligatures w14:val="none"/>
        </w:rPr>
        <w:t xml:space="preserve"> Law</w:t>
      </w:r>
      <w:r w:rsidRPr="009257E7">
        <w:rPr>
          <w:rFonts w:ascii="Times New Roman" w:eastAsia="Times New Roman" w:hAnsi="Times New Roman" w:cs="Times New Roman"/>
          <w:kern w:val="0"/>
          <w:lang w:val="es-ES"/>
          <w14:ligatures w14:val="none"/>
        </w:rPr>
        <w:t xml:space="preserve">, en Business—A </w:t>
      </w:r>
      <w:proofErr w:type="spellStart"/>
      <w:r w:rsidRPr="009257E7">
        <w:rPr>
          <w:rFonts w:ascii="Times New Roman" w:eastAsia="Times New Roman" w:hAnsi="Times New Roman" w:cs="Times New Roman"/>
          <w:kern w:val="0"/>
          <w:lang w:val="es-ES"/>
          <w14:ligatures w14:val="none"/>
        </w:rPr>
        <w:t>Profession</w:t>
      </w:r>
      <w:proofErr w:type="spellEnd"/>
      <w:r w:rsidRPr="009257E7">
        <w:rPr>
          <w:rFonts w:ascii="Times New Roman" w:eastAsia="Times New Roman" w:hAnsi="Times New Roman" w:cs="Times New Roman"/>
          <w:kern w:val="0"/>
          <w:lang w:val="es-ES"/>
          <w14:ligatures w14:val="none"/>
        </w:rPr>
        <w:t xml:space="preserve"> 321 (1914)</w:t>
      </w:r>
    </w:p>
    <w:p w14:paraId="6FA25E96" w14:textId="77777777" w:rsidR="00C81921" w:rsidRPr="009257E7" w:rsidRDefault="00C81921" w:rsidP="00C81921">
      <w:pPr>
        <w:spacing w:before="100" w:beforeAutospacing="1" w:after="100" w:afterAutospacing="1" w:line="240" w:lineRule="auto"/>
        <w:outlineLvl w:val="1"/>
        <w:rPr>
          <w:rFonts w:ascii="Times New Roman" w:eastAsia="Times New Roman" w:hAnsi="Times New Roman" w:cs="Times New Roman"/>
          <w:b/>
          <w:bCs/>
          <w:kern w:val="0"/>
          <w:lang w:val="es-ES"/>
          <w14:ligatures w14:val="none"/>
        </w:rPr>
      </w:pPr>
      <w:r w:rsidRPr="009257E7">
        <w:rPr>
          <w:rFonts w:ascii="Times New Roman" w:eastAsia="Times New Roman" w:hAnsi="Times New Roman" w:cs="Times New Roman"/>
          <w:b/>
          <w:bCs/>
          <w:kern w:val="0"/>
          <w:lang w:val="es-ES"/>
          <w14:ligatures w14:val="none"/>
        </w:rPr>
        <w:t>INTRODUCCIÓN</w:t>
      </w:r>
    </w:p>
    <w:p w14:paraId="431391B5" w14:textId="6BECB260" w:rsidR="00C81921" w:rsidRPr="009257E7" w:rsidRDefault="00C81921" w:rsidP="00637529">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Los capítulos anteriores presenta</w:t>
      </w:r>
      <w:r w:rsidR="00637529" w:rsidRPr="009257E7">
        <w:rPr>
          <w:rFonts w:ascii="Times New Roman" w:eastAsia="Times New Roman" w:hAnsi="Times New Roman" w:cs="Times New Roman"/>
          <w:kern w:val="0"/>
          <w:lang w:val="es-ES"/>
          <w14:ligatures w14:val="none"/>
        </w:rPr>
        <w:t>ron</w:t>
      </w:r>
      <w:r w:rsidRPr="009257E7">
        <w:rPr>
          <w:rFonts w:ascii="Times New Roman" w:eastAsia="Times New Roman" w:hAnsi="Times New Roman" w:cs="Times New Roman"/>
          <w:kern w:val="0"/>
          <w:lang w:val="es-ES"/>
          <w14:ligatures w14:val="none"/>
        </w:rPr>
        <w:t xml:space="preserve"> puntos clave sobre el Desafío Crítico de </w:t>
      </w:r>
      <w:r w:rsidR="004813C6" w:rsidRPr="009257E7">
        <w:rPr>
          <w:rFonts w:ascii="Times New Roman" w:eastAsia="Times New Roman" w:hAnsi="Times New Roman" w:cs="Times New Roman"/>
          <w:kern w:val="0"/>
          <w:lang w:val="es-ES"/>
          <w14:ligatures w14:val="none"/>
        </w:rPr>
        <w:t>utilizar</w:t>
      </w:r>
      <w:r w:rsidRPr="009257E7">
        <w:rPr>
          <w:rFonts w:ascii="Times New Roman" w:eastAsia="Times New Roman" w:hAnsi="Times New Roman" w:cs="Times New Roman"/>
          <w:kern w:val="0"/>
          <w:lang w:val="es-ES"/>
          <w14:ligatures w14:val="none"/>
        </w:rPr>
        <w:t xml:space="preserve"> el derecho para la justicia igualitaria y sobre la abogacía que apoya </w:t>
      </w:r>
      <w:r w:rsidR="00FE07D0" w:rsidRPr="009257E7">
        <w:rPr>
          <w:rFonts w:ascii="Times New Roman" w:eastAsia="Times New Roman" w:hAnsi="Times New Roman" w:cs="Times New Roman"/>
          <w:kern w:val="0"/>
          <w:lang w:val="es-ES"/>
          <w14:ligatures w14:val="none"/>
        </w:rPr>
        <w:t xml:space="preserve">a </w:t>
      </w:r>
      <w:r w:rsidRPr="009257E7">
        <w:rPr>
          <w:rFonts w:ascii="Times New Roman" w:eastAsia="Times New Roman" w:hAnsi="Times New Roman" w:cs="Times New Roman"/>
          <w:kern w:val="0"/>
          <w:lang w:val="es-ES"/>
          <w14:ligatures w14:val="none"/>
        </w:rPr>
        <w:t xml:space="preserve">las luchas organizadas desde abajo para superarlo. En este capítulo, exploramos la propia industria jurídica: una cultura altamente reglamentada de formación y práctica. Las restricciones profesionales e institucionales son </w:t>
      </w:r>
      <w:r w:rsidR="00FE07D0" w:rsidRPr="009257E7">
        <w:rPr>
          <w:rFonts w:ascii="Times New Roman" w:eastAsia="Times New Roman" w:hAnsi="Times New Roman" w:cs="Times New Roman"/>
          <w:kern w:val="0"/>
          <w:lang w:val="es-ES"/>
          <w14:ligatures w14:val="none"/>
        </w:rPr>
        <w:t xml:space="preserve">tanto </w:t>
      </w:r>
      <w:r w:rsidRPr="009257E7">
        <w:rPr>
          <w:rFonts w:ascii="Times New Roman" w:eastAsia="Times New Roman" w:hAnsi="Times New Roman" w:cs="Times New Roman"/>
          <w:kern w:val="0"/>
          <w:lang w:val="es-ES"/>
          <w14:ligatures w14:val="none"/>
        </w:rPr>
        <w:t xml:space="preserve">materiales </w:t>
      </w:r>
      <w:r w:rsidR="00FE07D0" w:rsidRPr="009257E7">
        <w:rPr>
          <w:rFonts w:ascii="Times New Roman" w:eastAsia="Times New Roman" w:hAnsi="Times New Roman" w:cs="Times New Roman"/>
          <w:kern w:val="0"/>
          <w:lang w:val="es-ES"/>
          <w14:ligatures w14:val="none"/>
        </w:rPr>
        <w:t>como</w:t>
      </w:r>
      <w:r w:rsidRPr="009257E7">
        <w:rPr>
          <w:rFonts w:ascii="Times New Roman" w:eastAsia="Times New Roman" w:hAnsi="Times New Roman" w:cs="Times New Roman"/>
          <w:kern w:val="0"/>
          <w:lang w:val="es-ES"/>
          <w14:ligatures w14:val="none"/>
        </w:rPr>
        <w:t xml:space="preserve"> ideológicas.</w:t>
      </w:r>
    </w:p>
    <w:p w14:paraId="60C9B846" w14:textId="4B59A901" w:rsidR="00C81921" w:rsidRPr="009257E7" w:rsidRDefault="00C81921" w:rsidP="00C81921">
      <w:pPr>
        <w:spacing w:before="100" w:beforeAutospacing="1" w:after="100" w:afterAutospacing="1" w:line="240" w:lineRule="auto"/>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 xml:space="preserve">A les estudiantes de derecho en Estados Unidos y en otros lugares se les ha enseñado durante mucho tiempo, en términos </w:t>
      </w:r>
      <w:proofErr w:type="spellStart"/>
      <w:r w:rsidRPr="009257E7">
        <w:rPr>
          <w:rFonts w:ascii="Times New Roman" w:eastAsia="Times New Roman" w:hAnsi="Times New Roman" w:cs="Times New Roman"/>
          <w:kern w:val="0"/>
          <w:lang w:val="es-ES"/>
          <w14:ligatures w14:val="none"/>
        </w:rPr>
        <w:t>autopromocionales</w:t>
      </w:r>
      <w:proofErr w:type="spellEnd"/>
      <w:r w:rsidRPr="009257E7">
        <w:rPr>
          <w:rFonts w:ascii="Times New Roman" w:eastAsia="Times New Roman" w:hAnsi="Times New Roman" w:cs="Times New Roman"/>
          <w:kern w:val="0"/>
          <w:lang w:val="es-ES"/>
          <w14:ligatures w14:val="none"/>
        </w:rPr>
        <w:t>, que la industria jurídica es una “profesión honorable” que se ubica por encima de la ética, la moral y los intereses del mercado. Como lo expresó en 2002</w:t>
      </w:r>
      <w:r w:rsidR="00702242" w:rsidRPr="009257E7">
        <w:rPr>
          <w:rFonts w:ascii="Times New Roman" w:eastAsia="Times New Roman" w:hAnsi="Times New Roman" w:cs="Times New Roman"/>
          <w:kern w:val="0"/>
          <w:lang w:val="es-ES"/>
          <w14:ligatures w14:val="none"/>
        </w:rPr>
        <w:t>,</w:t>
      </w:r>
      <w:r w:rsidRPr="009257E7">
        <w:rPr>
          <w:rFonts w:ascii="Times New Roman" w:eastAsia="Times New Roman" w:hAnsi="Times New Roman" w:cs="Times New Roman"/>
          <w:kern w:val="0"/>
          <w:lang w:val="es-ES"/>
          <w14:ligatures w14:val="none"/>
        </w:rPr>
        <w:t xml:space="preserve"> el entonces director ejecutivo de NBC </w:t>
      </w:r>
      <w:r w:rsidR="00702242" w:rsidRPr="009257E7">
        <w:rPr>
          <w:rFonts w:ascii="Times New Roman" w:eastAsia="Times New Roman" w:hAnsi="Times New Roman" w:cs="Times New Roman"/>
          <w:kern w:val="0"/>
          <w:lang w:val="es-ES"/>
          <w14:ligatures w14:val="none"/>
        </w:rPr>
        <w:t>T</w:t>
      </w:r>
      <w:r w:rsidRPr="009257E7">
        <w:rPr>
          <w:rFonts w:ascii="Times New Roman" w:eastAsia="Times New Roman" w:hAnsi="Times New Roman" w:cs="Times New Roman"/>
          <w:kern w:val="0"/>
          <w:lang w:val="es-ES"/>
          <w14:ligatures w14:val="none"/>
        </w:rPr>
        <w:t>elevisión en Estados Unidos, al hablar en la ceremonia de graduación de su alma m</w:t>
      </w:r>
      <w:r w:rsidR="00702242" w:rsidRPr="009257E7">
        <w:rPr>
          <w:rFonts w:ascii="Times New Roman" w:eastAsia="Times New Roman" w:hAnsi="Times New Roman" w:cs="Times New Roman"/>
          <w:kern w:val="0"/>
          <w:lang w:val="es-ES"/>
          <w14:ligatures w14:val="none"/>
        </w:rPr>
        <w:t>á</w:t>
      </w:r>
      <w:r w:rsidRPr="009257E7">
        <w:rPr>
          <w:rFonts w:ascii="Times New Roman" w:eastAsia="Times New Roman" w:hAnsi="Times New Roman" w:cs="Times New Roman"/>
          <w:kern w:val="0"/>
          <w:lang w:val="es-ES"/>
          <w14:ligatures w14:val="none"/>
        </w:rPr>
        <w:t xml:space="preserve">ter, la </w:t>
      </w:r>
      <w:r w:rsidR="00A63BC4" w:rsidRPr="009257E7">
        <w:rPr>
          <w:rFonts w:ascii="Times New Roman" w:eastAsia="Times New Roman" w:hAnsi="Times New Roman" w:cs="Times New Roman"/>
          <w:kern w:val="0"/>
          <w:lang w:val="es-ES"/>
          <w14:ligatures w14:val="none"/>
        </w:rPr>
        <w:t>F</w:t>
      </w:r>
      <w:r w:rsidRPr="009257E7">
        <w:rPr>
          <w:rFonts w:ascii="Times New Roman" w:eastAsia="Times New Roman" w:hAnsi="Times New Roman" w:cs="Times New Roman"/>
          <w:kern w:val="0"/>
          <w:lang w:val="es-ES"/>
          <w14:ligatures w14:val="none"/>
        </w:rPr>
        <w:t xml:space="preserve">acultad de </w:t>
      </w:r>
      <w:r w:rsidR="00A63BC4" w:rsidRPr="009257E7">
        <w:rPr>
          <w:rFonts w:ascii="Times New Roman" w:eastAsia="Times New Roman" w:hAnsi="Times New Roman" w:cs="Times New Roman"/>
          <w:kern w:val="0"/>
          <w:lang w:val="es-ES"/>
          <w14:ligatures w14:val="none"/>
        </w:rPr>
        <w:t>D</w:t>
      </w:r>
      <w:r w:rsidRPr="009257E7">
        <w:rPr>
          <w:rFonts w:ascii="Times New Roman" w:eastAsia="Times New Roman" w:hAnsi="Times New Roman" w:cs="Times New Roman"/>
          <w:kern w:val="0"/>
          <w:lang w:val="es-ES"/>
          <w14:ligatures w14:val="none"/>
        </w:rPr>
        <w:t>erecho de la Universi</w:t>
      </w:r>
      <w:r w:rsidR="00A63BC4" w:rsidRPr="009257E7">
        <w:rPr>
          <w:rFonts w:ascii="Times New Roman" w:eastAsia="Times New Roman" w:hAnsi="Times New Roman" w:cs="Times New Roman"/>
          <w:kern w:val="0"/>
          <w:lang w:val="es-ES"/>
          <w14:ligatures w14:val="none"/>
        </w:rPr>
        <w:t>dad de</w:t>
      </w:r>
      <w:r w:rsidRPr="009257E7">
        <w:rPr>
          <w:rFonts w:ascii="Times New Roman" w:eastAsia="Times New Roman" w:hAnsi="Times New Roman" w:cs="Times New Roman"/>
          <w:kern w:val="0"/>
          <w:lang w:val="es-ES"/>
          <w14:ligatures w14:val="none"/>
        </w:rPr>
        <w:t xml:space="preserve"> Virginia:</w:t>
      </w:r>
    </w:p>
    <w:p w14:paraId="35AF485F" w14:textId="17957798" w:rsidR="00C81921" w:rsidRPr="009257E7" w:rsidRDefault="00C81921" w:rsidP="00702242">
      <w:pPr>
        <w:spacing w:before="100" w:beforeAutospacing="1" w:after="100" w:afterAutospacing="1" w:line="240" w:lineRule="auto"/>
        <w:ind w:left="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 xml:space="preserve">[N]o se equivoquen: no hay profesión más honorable que </w:t>
      </w:r>
      <w:r w:rsidR="00A63BC4" w:rsidRPr="009257E7">
        <w:rPr>
          <w:rFonts w:ascii="Times New Roman" w:eastAsia="Times New Roman" w:hAnsi="Times New Roman" w:cs="Times New Roman"/>
          <w:kern w:val="0"/>
          <w:lang w:val="es-ES"/>
          <w14:ligatures w14:val="none"/>
        </w:rPr>
        <w:t>la d</w:t>
      </w:r>
      <w:r w:rsidRPr="009257E7">
        <w:rPr>
          <w:rFonts w:ascii="Times New Roman" w:eastAsia="Times New Roman" w:hAnsi="Times New Roman" w:cs="Times New Roman"/>
          <w:kern w:val="0"/>
          <w:lang w:val="es-ES"/>
          <w14:ligatures w14:val="none"/>
        </w:rPr>
        <w:t>el derecho. Les defensores de la Constitución, guardianes de nuestra libertad, abogad</w:t>
      </w:r>
      <w:r w:rsidR="00A63BC4" w:rsidRPr="009257E7">
        <w:rPr>
          <w:rFonts w:ascii="Times New Roman" w:eastAsia="Times New Roman" w:hAnsi="Times New Roman" w:cs="Times New Roman"/>
          <w:kern w:val="0"/>
          <w:lang w:val="es-ES"/>
          <w14:ligatures w14:val="none"/>
        </w:rPr>
        <w:t>o</w:t>
      </w:r>
      <w:r w:rsidRPr="009257E7">
        <w:rPr>
          <w:rFonts w:ascii="Times New Roman" w:eastAsia="Times New Roman" w:hAnsi="Times New Roman" w:cs="Times New Roman"/>
          <w:kern w:val="0"/>
          <w:lang w:val="es-ES"/>
          <w14:ligatures w14:val="none"/>
        </w:rPr>
        <w:t>s de causas justas, sin importar cuán impopulares sean, protectores de quienes no tienen poder, consejer</w:t>
      </w:r>
      <w:r w:rsidR="00A63BC4" w:rsidRPr="009257E7">
        <w:rPr>
          <w:rFonts w:ascii="Times New Roman" w:eastAsia="Times New Roman" w:hAnsi="Times New Roman" w:cs="Times New Roman"/>
          <w:kern w:val="0"/>
          <w:lang w:val="es-ES"/>
          <w14:ligatures w14:val="none"/>
        </w:rPr>
        <w:t>o</w:t>
      </w:r>
      <w:r w:rsidRPr="009257E7">
        <w:rPr>
          <w:rFonts w:ascii="Times New Roman" w:eastAsia="Times New Roman" w:hAnsi="Times New Roman" w:cs="Times New Roman"/>
          <w:kern w:val="0"/>
          <w:lang w:val="es-ES"/>
          <w14:ligatures w14:val="none"/>
        </w:rPr>
        <w:t>s sabi</w:t>
      </w:r>
      <w:r w:rsidR="00A63BC4" w:rsidRPr="009257E7">
        <w:rPr>
          <w:rFonts w:ascii="Times New Roman" w:eastAsia="Times New Roman" w:hAnsi="Times New Roman" w:cs="Times New Roman"/>
          <w:kern w:val="0"/>
          <w:lang w:val="es-ES"/>
          <w14:ligatures w14:val="none"/>
        </w:rPr>
        <w:t>o</w:t>
      </w:r>
      <w:r w:rsidRPr="009257E7">
        <w:rPr>
          <w:rFonts w:ascii="Times New Roman" w:eastAsia="Times New Roman" w:hAnsi="Times New Roman" w:cs="Times New Roman"/>
          <w:kern w:val="0"/>
          <w:lang w:val="es-ES"/>
          <w14:ligatures w14:val="none"/>
        </w:rPr>
        <w:t>s de nuestra sociedad: ese es el papel de l</w:t>
      </w:r>
      <w:r w:rsidR="00A63BC4" w:rsidRPr="009257E7">
        <w:rPr>
          <w:rFonts w:ascii="Times New Roman" w:eastAsia="Times New Roman" w:hAnsi="Times New Roman" w:cs="Times New Roman"/>
          <w:kern w:val="0"/>
          <w:lang w:val="es-ES"/>
          <w14:ligatures w14:val="none"/>
        </w:rPr>
        <w:t>o</w:t>
      </w:r>
      <w:r w:rsidRPr="009257E7">
        <w:rPr>
          <w:rFonts w:ascii="Times New Roman" w:eastAsia="Times New Roman" w:hAnsi="Times New Roman" w:cs="Times New Roman"/>
          <w:kern w:val="0"/>
          <w:lang w:val="es-ES"/>
          <w14:ligatures w14:val="none"/>
        </w:rPr>
        <w:t>s abogad</w:t>
      </w:r>
      <w:r w:rsidR="00A63BC4" w:rsidRPr="009257E7">
        <w:rPr>
          <w:rFonts w:ascii="Times New Roman" w:eastAsia="Times New Roman" w:hAnsi="Times New Roman" w:cs="Times New Roman"/>
          <w:kern w:val="0"/>
          <w:lang w:val="es-ES"/>
          <w14:ligatures w14:val="none"/>
        </w:rPr>
        <w:t>o</w:t>
      </w:r>
      <w:r w:rsidRPr="009257E7">
        <w:rPr>
          <w:rFonts w:ascii="Times New Roman" w:eastAsia="Times New Roman" w:hAnsi="Times New Roman" w:cs="Times New Roman"/>
          <w:kern w:val="0"/>
          <w:lang w:val="es-ES"/>
          <w14:ligatures w14:val="none"/>
        </w:rPr>
        <w:t xml:space="preserve">s de Estados Unidos. Eso es </w:t>
      </w:r>
      <w:r w:rsidR="006174F3" w:rsidRPr="009257E7">
        <w:rPr>
          <w:rFonts w:ascii="Times New Roman" w:eastAsia="Times New Roman" w:hAnsi="Times New Roman" w:cs="Times New Roman"/>
          <w:kern w:val="0"/>
          <w:lang w:val="es-ES"/>
          <w14:ligatures w14:val="none"/>
        </w:rPr>
        <w:t xml:space="preserve">para </w:t>
      </w:r>
      <w:r w:rsidRPr="009257E7">
        <w:rPr>
          <w:rFonts w:ascii="Times New Roman" w:eastAsia="Times New Roman" w:hAnsi="Times New Roman" w:cs="Times New Roman"/>
          <w:kern w:val="0"/>
          <w:lang w:val="es-ES"/>
          <w14:ligatures w14:val="none"/>
        </w:rPr>
        <w:t>lo que ustedes se han preparado.</w:t>
      </w:r>
      <w:r w:rsidR="00AA3740" w:rsidRPr="009257E7">
        <w:rPr>
          <w:rStyle w:val="FootnoteReference"/>
          <w:rFonts w:ascii="Times New Roman" w:eastAsia="Times New Roman" w:hAnsi="Times New Roman" w:cs="Times New Roman"/>
          <w:kern w:val="0"/>
          <w:lang w:val="es-ES"/>
          <w14:ligatures w14:val="none"/>
        </w:rPr>
        <w:footnoteReference w:id="117"/>
      </w:r>
    </w:p>
    <w:p w14:paraId="2078306B" w14:textId="60881DFE" w:rsidR="00C81921" w:rsidRPr="009257E7" w:rsidRDefault="00C81921" w:rsidP="00AA3740">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 xml:space="preserve">Aunque está profundamente arraigado, este mantra no siempre es cierto. Por razones complejas, el derecho no siempre sirve a la justicia. Con demasiada frecuencia, la práctica jurídica queda neutralizada como remedio frente a la injusticia. Por eso existe el Desafío Crítico de </w:t>
      </w:r>
      <w:r w:rsidR="00AA3740" w:rsidRPr="009257E7">
        <w:rPr>
          <w:rFonts w:ascii="Times New Roman" w:eastAsia="Times New Roman" w:hAnsi="Times New Roman" w:cs="Times New Roman"/>
          <w:kern w:val="0"/>
          <w:lang w:val="es-ES"/>
          <w14:ligatures w14:val="none"/>
        </w:rPr>
        <w:t>utilizar</w:t>
      </w:r>
      <w:r w:rsidRPr="009257E7">
        <w:rPr>
          <w:rFonts w:ascii="Times New Roman" w:eastAsia="Times New Roman" w:hAnsi="Times New Roman" w:cs="Times New Roman"/>
          <w:kern w:val="0"/>
          <w:lang w:val="es-ES"/>
          <w14:ligatures w14:val="none"/>
        </w:rPr>
        <w:t>, aun así, el derecho para la justicia.</w:t>
      </w:r>
      <w:r w:rsidR="00AA3740" w:rsidRPr="009257E7">
        <w:rPr>
          <w:rFonts w:ascii="Times New Roman" w:eastAsia="Times New Roman" w:hAnsi="Times New Roman" w:cs="Times New Roman"/>
          <w:kern w:val="0"/>
          <w:lang w:val="es-ES"/>
          <w14:ligatures w14:val="none"/>
        </w:rPr>
        <w:t xml:space="preserve"> </w:t>
      </w:r>
    </w:p>
    <w:p w14:paraId="3DE62C6C" w14:textId="6DCEDE3A" w:rsidR="00C81921" w:rsidRPr="009257E7" w:rsidRDefault="00C81921" w:rsidP="00D66928">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Este capítulo explora cómo el derecho</w:t>
      </w:r>
      <w:r w:rsidR="00D66928" w:rsidRPr="009257E7">
        <w:rPr>
          <w:rFonts w:ascii="Times New Roman" w:eastAsia="Times New Roman" w:hAnsi="Times New Roman" w:cs="Times New Roman"/>
          <w:kern w:val="0"/>
          <w:lang w:val="es-ES"/>
          <w14:ligatures w14:val="none"/>
        </w:rPr>
        <w:t>,</w:t>
      </w:r>
      <w:r w:rsidRPr="009257E7">
        <w:rPr>
          <w:rFonts w:ascii="Times New Roman" w:eastAsia="Times New Roman" w:hAnsi="Times New Roman" w:cs="Times New Roman"/>
          <w:kern w:val="0"/>
          <w:lang w:val="es-ES"/>
          <w14:ligatures w14:val="none"/>
        </w:rPr>
        <w:t xml:space="preserve"> como sistema</w:t>
      </w:r>
      <w:r w:rsidR="00D66928" w:rsidRPr="009257E7">
        <w:rPr>
          <w:rFonts w:ascii="Times New Roman" w:eastAsia="Times New Roman" w:hAnsi="Times New Roman" w:cs="Times New Roman"/>
          <w:kern w:val="0"/>
          <w:lang w:val="es-ES"/>
          <w14:ligatures w14:val="none"/>
        </w:rPr>
        <w:t>,</w:t>
      </w:r>
      <w:r w:rsidRPr="009257E7">
        <w:rPr>
          <w:rFonts w:ascii="Times New Roman" w:eastAsia="Times New Roman" w:hAnsi="Times New Roman" w:cs="Times New Roman"/>
          <w:kern w:val="0"/>
          <w:lang w:val="es-ES"/>
          <w14:ligatures w14:val="none"/>
        </w:rPr>
        <w:t xml:space="preserve"> venda los ojos y esposa</w:t>
      </w:r>
      <w:r w:rsidR="00D66928" w:rsidRPr="009257E7">
        <w:rPr>
          <w:rFonts w:ascii="Times New Roman" w:eastAsia="Times New Roman" w:hAnsi="Times New Roman" w:cs="Times New Roman"/>
          <w:kern w:val="0"/>
          <w:lang w:val="es-ES"/>
          <w14:ligatures w14:val="none"/>
        </w:rPr>
        <w:t xml:space="preserve"> a</w:t>
      </w:r>
      <w:r w:rsidRPr="009257E7">
        <w:rPr>
          <w:rFonts w:ascii="Times New Roman" w:eastAsia="Times New Roman" w:hAnsi="Times New Roman" w:cs="Times New Roman"/>
          <w:kern w:val="0"/>
          <w:lang w:val="es-ES"/>
          <w14:ligatures w14:val="none"/>
        </w:rPr>
        <w:t xml:space="preserve"> la abogacía mediante: (1) la formación, </w:t>
      </w:r>
      <w:r w:rsidR="000A1C6D" w:rsidRPr="009257E7">
        <w:rPr>
          <w:rFonts w:ascii="Times New Roman" w:eastAsia="Times New Roman" w:hAnsi="Times New Roman" w:cs="Times New Roman"/>
          <w:kern w:val="0"/>
          <w:lang w:val="es-ES"/>
          <w14:ligatures w14:val="none"/>
        </w:rPr>
        <w:t xml:space="preserve">la </w:t>
      </w:r>
      <w:r w:rsidRPr="009257E7">
        <w:rPr>
          <w:rFonts w:ascii="Times New Roman" w:eastAsia="Times New Roman" w:hAnsi="Times New Roman" w:cs="Times New Roman"/>
          <w:kern w:val="0"/>
          <w:lang w:val="es-ES"/>
          <w14:ligatures w14:val="none"/>
        </w:rPr>
        <w:t xml:space="preserve">certificación y </w:t>
      </w:r>
      <w:r w:rsidR="000A1C6D" w:rsidRPr="009257E7">
        <w:rPr>
          <w:rFonts w:ascii="Times New Roman" w:eastAsia="Times New Roman" w:hAnsi="Times New Roman" w:cs="Times New Roman"/>
          <w:kern w:val="0"/>
          <w:lang w:val="es-ES"/>
          <w14:ligatures w14:val="none"/>
        </w:rPr>
        <w:t xml:space="preserve">la </w:t>
      </w:r>
      <w:r w:rsidRPr="009257E7">
        <w:rPr>
          <w:rFonts w:ascii="Times New Roman" w:eastAsia="Times New Roman" w:hAnsi="Times New Roman" w:cs="Times New Roman"/>
          <w:kern w:val="0"/>
          <w:lang w:val="es-ES"/>
          <w14:ligatures w14:val="none"/>
        </w:rPr>
        <w:t xml:space="preserve">regulación formales; (2) la dependencia generalizada de la doctrina en la formación y en la práctica; y (3) los incentivos y </w:t>
      </w:r>
      <w:r w:rsidR="000A1C6D" w:rsidRPr="009257E7">
        <w:rPr>
          <w:rFonts w:ascii="Times New Roman" w:eastAsia="Times New Roman" w:hAnsi="Times New Roman" w:cs="Times New Roman"/>
          <w:kern w:val="0"/>
          <w:lang w:val="es-ES"/>
          <w14:ligatures w14:val="none"/>
        </w:rPr>
        <w:t xml:space="preserve">las </w:t>
      </w:r>
      <w:r w:rsidRPr="009257E7">
        <w:rPr>
          <w:rFonts w:ascii="Times New Roman" w:eastAsia="Times New Roman" w:hAnsi="Times New Roman" w:cs="Times New Roman"/>
          <w:kern w:val="0"/>
          <w:lang w:val="es-ES"/>
          <w14:ligatures w14:val="none"/>
        </w:rPr>
        <w:t>restricciones materiales que moldean las facultades de derecho y los espacios de práctica. L</w:t>
      </w:r>
      <w:r w:rsidR="000A1C6D" w:rsidRPr="009257E7">
        <w:rPr>
          <w:rFonts w:ascii="Times New Roman" w:eastAsia="Times New Roman" w:hAnsi="Times New Roman" w:cs="Times New Roman"/>
          <w:kern w:val="0"/>
          <w:lang w:val="es-ES"/>
          <w14:ligatures w14:val="none"/>
        </w:rPr>
        <w:t>o</w:t>
      </w:r>
      <w:r w:rsidRPr="009257E7">
        <w:rPr>
          <w:rFonts w:ascii="Times New Roman" w:eastAsia="Times New Roman" w:hAnsi="Times New Roman" w:cs="Times New Roman"/>
          <w:kern w:val="0"/>
          <w:lang w:val="es-ES"/>
          <w14:ligatures w14:val="none"/>
        </w:rPr>
        <w:t>s abogad</w:t>
      </w:r>
      <w:r w:rsidR="000A1C6D" w:rsidRPr="009257E7">
        <w:rPr>
          <w:rFonts w:ascii="Times New Roman" w:eastAsia="Times New Roman" w:hAnsi="Times New Roman" w:cs="Times New Roman"/>
          <w:kern w:val="0"/>
          <w:lang w:val="es-ES"/>
          <w14:ligatures w14:val="none"/>
        </w:rPr>
        <w:t>o</w:t>
      </w:r>
      <w:r w:rsidRPr="009257E7">
        <w:rPr>
          <w:rFonts w:ascii="Times New Roman" w:eastAsia="Times New Roman" w:hAnsi="Times New Roman" w:cs="Times New Roman"/>
          <w:kern w:val="0"/>
          <w:lang w:val="es-ES"/>
          <w14:ligatures w14:val="none"/>
        </w:rPr>
        <w:t xml:space="preserve">s se conforman a los intereses dominantes porque la educación, la práctica y la identidad profesional presentan recompensas y castigos que se refuerzan mutuamente y están vinculados </w:t>
      </w:r>
      <w:r w:rsidR="00583530" w:rsidRPr="009257E7">
        <w:rPr>
          <w:rFonts w:ascii="Times New Roman" w:eastAsia="Times New Roman" w:hAnsi="Times New Roman" w:cs="Times New Roman"/>
          <w:kern w:val="0"/>
          <w:lang w:val="es-ES"/>
          <w14:ligatures w14:val="none"/>
        </w:rPr>
        <w:t>a</w:t>
      </w:r>
      <w:r w:rsidRPr="009257E7">
        <w:rPr>
          <w:rFonts w:ascii="Times New Roman" w:eastAsia="Times New Roman" w:hAnsi="Times New Roman" w:cs="Times New Roman"/>
          <w:kern w:val="0"/>
          <w:lang w:val="es-ES"/>
          <w14:ligatures w14:val="none"/>
        </w:rPr>
        <w:t xml:space="preserve">l mantenimiento del statu quo. La propia industria jurídica opera </w:t>
      </w:r>
      <w:r w:rsidR="00583530" w:rsidRPr="009257E7">
        <w:rPr>
          <w:rFonts w:ascii="Times New Roman" w:eastAsia="Times New Roman" w:hAnsi="Times New Roman" w:cs="Times New Roman"/>
          <w:kern w:val="0"/>
          <w:lang w:val="es-ES"/>
          <w14:ligatures w14:val="none"/>
        </w:rPr>
        <w:t xml:space="preserve">tanto </w:t>
      </w:r>
      <w:r w:rsidRPr="009257E7">
        <w:rPr>
          <w:rFonts w:ascii="Times New Roman" w:eastAsia="Times New Roman" w:hAnsi="Times New Roman" w:cs="Times New Roman"/>
          <w:kern w:val="0"/>
          <w:lang w:val="es-ES"/>
          <w14:ligatures w14:val="none"/>
        </w:rPr>
        <w:t>como parte del problema de la injusticia sistémica como fuente de posibles soluciones, lo que añade m</w:t>
      </w:r>
      <w:r w:rsidR="00583530" w:rsidRPr="009257E7">
        <w:rPr>
          <w:rFonts w:ascii="Times New Roman" w:eastAsia="Times New Roman" w:hAnsi="Times New Roman" w:cs="Times New Roman"/>
          <w:kern w:val="0"/>
          <w:lang w:val="es-ES"/>
          <w14:ligatures w14:val="none"/>
        </w:rPr>
        <w:t>ayor</w:t>
      </w:r>
      <w:r w:rsidRPr="009257E7">
        <w:rPr>
          <w:rFonts w:ascii="Times New Roman" w:eastAsia="Times New Roman" w:hAnsi="Times New Roman" w:cs="Times New Roman"/>
          <w:kern w:val="0"/>
          <w:lang w:val="es-ES"/>
          <w14:ligatures w14:val="none"/>
        </w:rPr>
        <w:t xml:space="preserve"> complejidad al Desafío Crítico.</w:t>
      </w:r>
    </w:p>
    <w:p w14:paraId="424303E0" w14:textId="00D95477" w:rsidR="00C81921" w:rsidRPr="009257E7" w:rsidRDefault="00C81921" w:rsidP="00583530">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lastRenderedPageBreak/>
        <w:t>La complicidad del derecho con la injusticia persiste debido a</w:t>
      </w:r>
      <w:r w:rsidR="00405EAE" w:rsidRPr="009257E7">
        <w:rPr>
          <w:rFonts w:ascii="Times New Roman" w:eastAsia="Times New Roman" w:hAnsi="Times New Roman" w:cs="Times New Roman"/>
          <w:kern w:val="0"/>
          <w:lang w:val="es-ES"/>
          <w14:ligatures w14:val="none"/>
        </w:rPr>
        <w:t xml:space="preserve"> su</w:t>
      </w:r>
      <w:r w:rsidRPr="009257E7">
        <w:rPr>
          <w:rFonts w:ascii="Times New Roman" w:eastAsia="Times New Roman" w:hAnsi="Times New Roman" w:cs="Times New Roman"/>
          <w:kern w:val="0"/>
          <w:lang w:val="es-ES"/>
          <w14:ligatures w14:val="none"/>
        </w:rPr>
        <w:t xml:space="preserve"> diseño sistémico. La ganancia y el poder desempeñan un papel cada vez mayor en la educación y la práctica jurídica</w:t>
      </w:r>
      <w:r w:rsidR="00405EAE" w:rsidRPr="009257E7">
        <w:rPr>
          <w:rFonts w:ascii="Times New Roman" w:eastAsia="Times New Roman" w:hAnsi="Times New Roman" w:cs="Times New Roman"/>
          <w:kern w:val="0"/>
          <w:lang w:val="es-ES"/>
          <w14:ligatures w14:val="none"/>
        </w:rPr>
        <w:t>s</w:t>
      </w:r>
      <w:r w:rsidRPr="009257E7">
        <w:rPr>
          <w:rFonts w:ascii="Times New Roman" w:eastAsia="Times New Roman" w:hAnsi="Times New Roman" w:cs="Times New Roman"/>
          <w:kern w:val="0"/>
          <w:lang w:val="es-ES"/>
          <w14:ligatures w14:val="none"/>
        </w:rPr>
        <w:t>. Esto convierte cada vez más la profesión en una industria que, como cualquier otra en una sociedad capitalista, está diseñada para perseguir ganancias, pero que, a diferencia de cualquier otra, también tiene el encargo de administrar justicia</w:t>
      </w:r>
      <w:r w:rsidR="00405EAE" w:rsidRPr="009257E7">
        <w:rPr>
          <w:rFonts w:ascii="Times New Roman" w:eastAsia="Times New Roman" w:hAnsi="Times New Roman" w:cs="Times New Roman"/>
          <w:kern w:val="0"/>
          <w:lang w:val="es-ES"/>
          <w14:ligatures w14:val="none"/>
        </w:rPr>
        <w:t xml:space="preserve"> de manera</w:t>
      </w:r>
      <w:r w:rsidRPr="009257E7">
        <w:rPr>
          <w:rFonts w:ascii="Times New Roman" w:eastAsia="Times New Roman" w:hAnsi="Times New Roman" w:cs="Times New Roman"/>
          <w:kern w:val="0"/>
          <w:lang w:val="es-ES"/>
          <w14:ligatures w14:val="none"/>
        </w:rPr>
        <w:t xml:space="preserve"> igualitaria. Esta dualidad intrínseca —una profesión envuelta en una industria— ayuda a explicar por qué las reglas profesionales de ética también acomodan el statu quo.</w:t>
      </w:r>
      <w:r w:rsidR="00BF1169" w:rsidRPr="009257E7">
        <w:rPr>
          <w:rFonts w:ascii="Times New Roman" w:eastAsia="Times New Roman" w:hAnsi="Times New Roman" w:cs="Times New Roman"/>
          <w:kern w:val="0"/>
          <w:lang w:val="es-ES"/>
          <w14:ligatures w14:val="none"/>
        </w:rPr>
        <w:t xml:space="preserve"> </w:t>
      </w:r>
    </w:p>
    <w:p w14:paraId="1FF87DA5" w14:textId="22D98E7A" w:rsidR="00C81921" w:rsidRPr="009257E7" w:rsidRDefault="00C81921" w:rsidP="005604A3">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 xml:space="preserve">La industria jurídica abarca toda la vida de una carrera, desde la admisión y </w:t>
      </w:r>
      <w:r w:rsidR="005604A3" w:rsidRPr="009257E7">
        <w:rPr>
          <w:rFonts w:ascii="Times New Roman" w:eastAsia="Times New Roman" w:hAnsi="Times New Roman" w:cs="Times New Roman"/>
          <w:kern w:val="0"/>
          <w:lang w:val="es-ES"/>
          <w14:ligatures w14:val="none"/>
        </w:rPr>
        <w:t xml:space="preserve">la </w:t>
      </w:r>
      <w:r w:rsidRPr="009257E7">
        <w:rPr>
          <w:rFonts w:ascii="Times New Roman" w:eastAsia="Times New Roman" w:hAnsi="Times New Roman" w:cs="Times New Roman"/>
          <w:kern w:val="0"/>
          <w:lang w:val="es-ES"/>
          <w14:ligatures w14:val="none"/>
        </w:rPr>
        <w:t xml:space="preserve">graduación </w:t>
      </w:r>
      <w:r w:rsidR="005604A3" w:rsidRPr="009257E7">
        <w:rPr>
          <w:rFonts w:ascii="Times New Roman" w:eastAsia="Times New Roman" w:hAnsi="Times New Roman" w:cs="Times New Roman"/>
          <w:kern w:val="0"/>
          <w:lang w:val="es-ES"/>
          <w14:ligatures w14:val="none"/>
        </w:rPr>
        <w:t>en</w:t>
      </w:r>
      <w:r w:rsidRPr="009257E7">
        <w:rPr>
          <w:rFonts w:ascii="Times New Roman" w:eastAsia="Times New Roman" w:hAnsi="Times New Roman" w:cs="Times New Roman"/>
          <w:kern w:val="0"/>
          <w:lang w:val="es-ES"/>
          <w14:ligatures w14:val="none"/>
        </w:rPr>
        <w:t xml:space="preserve"> una facultad acreditada, seguida</w:t>
      </w:r>
      <w:r w:rsidR="005604A3" w:rsidRPr="009257E7">
        <w:rPr>
          <w:rFonts w:ascii="Times New Roman" w:eastAsia="Times New Roman" w:hAnsi="Times New Roman" w:cs="Times New Roman"/>
          <w:kern w:val="0"/>
          <w:lang w:val="es-ES"/>
          <w14:ligatures w14:val="none"/>
        </w:rPr>
        <w:t>s</w:t>
      </w:r>
      <w:r w:rsidRPr="009257E7">
        <w:rPr>
          <w:rFonts w:ascii="Times New Roman" w:eastAsia="Times New Roman" w:hAnsi="Times New Roman" w:cs="Times New Roman"/>
          <w:kern w:val="0"/>
          <w:lang w:val="es-ES"/>
          <w14:ligatures w14:val="none"/>
        </w:rPr>
        <w:t xml:space="preserve"> </w:t>
      </w:r>
      <w:r w:rsidR="005604A3" w:rsidRPr="009257E7">
        <w:rPr>
          <w:rFonts w:ascii="Times New Roman" w:eastAsia="Times New Roman" w:hAnsi="Times New Roman" w:cs="Times New Roman"/>
          <w:kern w:val="0"/>
          <w:lang w:val="es-ES"/>
          <w14:ligatures w14:val="none"/>
        </w:rPr>
        <w:t>d</w:t>
      </w:r>
      <w:r w:rsidRPr="009257E7">
        <w:rPr>
          <w:rFonts w:ascii="Times New Roman" w:eastAsia="Times New Roman" w:hAnsi="Times New Roman" w:cs="Times New Roman"/>
          <w:kern w:val="0"/>
          <w:lang w:val="es-ES"/>
          <w14:ligatures w14:val="none"/>
        </w:rPr>
        <w:t xml:space="preserve">el empleo profesional y, con el tiempo, </w:t>
      </w:r>
      <w:r w:rsidR="005604A3" w:rsidRPr="009257E7">
        <w:rPr>
          <w:rFonts w:ascii="Times New Roman" w:eastAsia="Times New Roman" w:hAnsi="Times New Roman" w:cs="Times New Roman"/>
          <w:kern w:val="0"/>
          <w:lang w:val="es-ES"/>
          <w14:ligatures w14:val="none"/>
        </w:rPr>
        <w:t>d</w:t>
      </w:r>
      <w:r w:rsidRPr="009257E7">
        <w:rPr>
          <w:rFonts w:ascii="Times New Roman" w:eastAsia="Times New Roman" w:hAnsi="Times New Roman" w:cs="Times New Roman"/>
          <w:kern w:val="0"/>
          <w:lang w:val="es-ES"/>
          <w14:ligatures w14:val="none"/>
        </w:rPr>
        <w:t xml:space="preserve">el “éxito”. Los procesos de formación formal, </w:t>
      </w:r>
      <w:r w:rsidR="005604A3" w:rsidRPr="009257E7">
        <w:rPr>
          <w:rFonts w:ascii="Times New Roman" w:eastAsia="Times New Roman" w:hAnsi="Times New Roman" w:cs="Times New Roman"/>
          <w:kern w:val="0"/>
          <w:lang w:val="es-ES"/>
          <w14:ligatures w14:val="none"/>
        </w:rPr>
        <w:t xml:space="preserve">de </w:t>
      </w:r>
      <w:r w:rsidRPr="009257E7">
        <w:rPr>
          <w:rFonts w:ascii="Times New Roman" w:eastAsia="Times New Roman" w:hAnsi="Times New Roman" w:cs="Times New Roman"/>
          <w:kern w:val="0"/>
          <w:lang w:val="es-ES"/>
          <w14:ligatures w14:val="none"/>
        </w:rPr>
        <w:t>licencia profesional y</w:t>
      </w:r>
      <w:r w:rsidR="005604A3" w:rsidRPr="009257E7">
        <w:rPr>
          <w:rFonts w:ascii="Times New Roman" w:eastAsia="Times New Roman" w:hAnsi="Times New Roman" w:cs="Times New Roman"/>
          <w:kern w:val="0"/>
          <w:lang w:val="es-ES"/>
          <w14:ligatures w14:val="none"/>
        </w:rPr>
        <w:t xml:space="preserve"> de</w:t>
      </w:r>
      <w:r w:rsidRPr="009257E7">
        <w:rPr>
          <w:rFonts w:ascii="Times New Roman" w:eastAsia="Times New Roman" w:hAnsi="Times New Roman" w:cs="Times New Roman"/>
          <w:kern w:val="0"/>
          <w:lang w:val="es-ES"/>
          <w14:ligatures w14:val="none"/>
        </w:rPr>
        <w:t xml:space="preserve"> regulación permanente —en instituciones con y sin fines de lucro— aculturan a aprendices y practicantes </w:t>
      </w:r>
      <w:r w:rsidR="005604A3" w:rsidRPr="009257E7">
        <w:rPr>
          <w:rFonts w:ascii="Times New Roman" w:eastAsia="Times New Roman" w:hAnsi="Times New Roman" w:cs="Times New Roman"/>
          <w:kern w:val="0"/>
          <w:lang w:val="es-ES"/>
          <w14:ligatures w14:val="none"/>
        </w:rPr>
        <w:t>a</w:t>
      </w:r>
      <w:r w:rsidRPr="009257E7">
        <w:rPr>
          <w:rFonts w:ascii="Times New Roman" w:eastAsia="Times New Roman" w:hAnsi="Times New Roman" w:cs="Times New Roman"/>
          <w:kern w:val="0"/>
          <w:lang w:val="es-ES"/>
          <w14:ligatures w14:val="none"/>
        </w:rPr>
        <w:t xml:space="preserve"> la servidumbre </w:t>
      </w:r>
      <w:r w:rsidR="00EF170F" w:rsidRPr="009257E7">
        <w:rPr>
          <w:rFonts w:ascii="Times New Roman" w:eastAsia="Times New Roman" w:hAnsi="Times New Roman" w:cs="Times New Roman"/>
          <w:kern w:val="0"/>
          <w:lang w:val="es-ES"/>
          <w14:ligatures w14:val="none"/>
        </w:rPr>
        <w:t>ante</w:t>
      </w:r>
      <w:r w:rsidRPr="009257E7">
        <w:rPr>
          <w:rFonts w:ascii="Times New Roman" w:eastAsia="Times New Roman" w:hAnsi="Times New Roman" w:cs="Times New Roman"/>
          <w:kern w:val="0"/>
          <w:lang w:val="es-ES"/>
          <w14:ligatures w14:val="none"/>
        </w:rPr>
        <w:t xml:space="preserve"> múltiples formas de jerarquía. Este sistema combina esposas formales, que van desde las calificaciones y </w:t>
      </w:r>
      <w:r w:rsidR="00EF170F" w:rsidRPr="009257E7">
        <w:rPr>
          <w:rFonts w:ascii="Times New Roman" w:eastAsia="Times New Roman" w:hAnsi="Times New Roman" w:cs="Times New Roman"/>
          <w:kern w:val="0"/>
          <w:lang w:val="es-ES"/>
          <w14:ligatures w14:val="none"/>
        </w:rPr>
        <w:t xml:space="preserve">los </w:t>
      </w:r>
      <w:r w:rsidRPr="009257E7">
        <w:rPr>
          <w:rFonts w:ascii="Times New Roman" w:eastAsia="Times New Roman" w:hAnsi="Times New Roman" w:cs="Times New Roman"/>
          <w:kern w:val="0"/>
          <w:lang w:val="es-ES"/>
          <w14:ligatures w14:val="none"/>
        </w:rPr>
        <w:t>honores hasta los empleos, con esposamientos informales que van desde la inclusión en círculos profesionales y sociales hasta la amenaza de convertirse en paria social: desde el elogio hasta el desprecio en relaciones “colegiales”. Esta mezcla de premios y castigos inculca actitudes apropiadas de manera incremental, pero implacable</w:t>
      </w:r>
      <w:r w:rsidR="00EF170F" w:rsidRPr="009257E7">
        <w:rPr>
          <w:rFonts w:ascii="Times New Roman" w:eastAsia="Times New Roman" w:hAnsi="Times New Roman" w:cs="Times New Roman"/>
          <w:kern w:val="0"/>
          <w:lang w:val="es-ES"/>
          <w14:ligatures w14:val="none"/>
        </w:rPr>
        <w:t>. C</w:t>
      </w:r>
      <w:r w:rsidRPr="009257E7">
        <w:rPr>
          <w:rFonts w:ascii="Times New Roman" w:eastAsia="Times New Roman" w:hAnsi="Times New Roman" w:cs="Times New Roman"/>
          <w:kern w:val="0"/>
          <w:lang w:val="es-ES"/>
          <w14:ligatures w14:val="none"/>
        </w:rPr>
        <w:t>on el tiempo, filtra cualquier resto inapropiado. El proceso de inculcación abarca aspectos micro-macro de la cultura jurídica y produce desigualdades materiales dramáticas dentro del derecho y en toda la sociedad. Dada la proximidad privilegiada de la profesión al derecho, estas desigualdades inevitablemente distorsionan el derecho y la sociedad futuros. Las esposas del derecho —desde la cuna profesional hasta la tumba— aseguran que l</w:t>
      </w:r>
      <w:r w:rsidR="00FB65F5" w:rsidRPr="009257E7">
        <w:rPr>
          <w:rFonts w:ascii="Times New Roman" w:eastAsia="Times New Roman" w:hAnsi="Times New Roman" w:cs="Times New Roman"/>
          <w:kern w:val="0"/>
          <w:lang w:val="es-ES"/>
          <w14:ligatures w14:val="none"/>
        </w:rPr>
        <w:t>o</w:t>
      </w:r>
      <w:r w:rsidRPr="009257E7">
        <w:rPr>
          <w:rFonts w:ascii="Times New Roman" w:eastAsia="Times New Roman" w:hAnsi="Times New Roman" w:cs="Times New Roman"/>
          <w:kern w:val="0"/>
          <w:lang w:val="es-ES"/>
          <w14:ligatures w14:val="none"/>
        </w:rPr>
        <w:t>s actores continúen siendo sirvientes</w:t>
      </w:r>
      <w:r w:rsidR="00FB65F5" w:rsidRPr="009257E7">
        <w:rPr>
          <w:rFonts w:ascii="Times New Roman" w:eastAsia="Times New Roman" w:hAnsi="Times New Roman" w:cs="Times New Roman"/>
          <w:kern w:val="0"/>
          <w:lang w:val="es-ES"/>
          <w14:ligatures w14:val="none"/>
        </w:rPr>
        <w:t>,</w:t>
      </w:r>
      <w:r w:rsidRPr="009257E7">
        <w:rPr>
          <w:rFonts w:ascii="Times New Roman" w:eastAsia="Times New Roman" w:hAnsi="Times New Roman" w:cs="Times New Roman"/>
          <w:kern w:val="0"/>
          <w:lang w:val="es-ES"/>
          <w14:ligatures w14:val="none"/>
        </w:rPr>
        <w:t xml:space="preserve"> conscientes e inconscientes</w:t>
      </w:r>
      <w:r w:rsidR="00FB65F5" w:rsidRPr="009257E7">
        <w:rPr>
          <w:rFonts w:ascii="Times New Roman" w:eastAsia="Times New Roman" w:hAnsi="Times New Roman" w:cs="Times New Roman"/>
          <w:kern w:val="0"/>
          <w:lang w:val="es-ES"/>
          <w14:ligatures w14:val="none"/>
        </w:rPr>
        <w:t>,</w:t>
      </w:r>
      <w:r w:rsidRPr="009257E7">
        <w:rPr>
          <w:rFonts w:ascii="Times New Roman" w:eastAsia="Times New Roman" w:hAnsi="Times New Roman" w:cs="Times New Roman"/>
          <w:kern w:val="0"/>
          <w:lang w:val="es-ES"/>
          <w14:ligatures w14:val="none"/>
        </w:rPr>
        <w:t xml:space="preserve"> en el mantenimiento de las castas sociales.</w:t>
      </w:r>
    </w:p>
    <w:p w14:paraId="1AF8F18B" w14:textId="02663095" w:rsidR="00C81921" w:rsidRPr="009257E7" w:rsidRDefault="00C81921" w:rsidP="001E4C69">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 xml:space="preserve">La industria también ciega el análisis y la </w:t>
      </w:r>
      <w:r w:rsidR="001E4C69" w:rsidRPr="009257E7">
        <w:rPr>
          <w:rFonts w:ascii="Times New Roman" w:eastAsia="Times New Roman" w:hAnsi="Times New Roman" w:cs="Times New Roman"/>
          <w:kern w:val="0"/>
          <w:lang w:val="es-ES"/>
          <w14:ligatures w14:val="none"/>
        </w:rPr>
        <w:t>re</w:t>
      </w:r>
      <w:r w:rsidRPr="009257E7">
        <w:rPr>
          <w:rFonts w:ascii="Times New Roman" w:eastAsia="Times New Roman" w:hAnsi="Times New Roman" w:cs="Times New Roman"/>
          <w:kern w:val="0"/>
          <w:lang w:val="es-ES"/>
          <w14:ligatures w14:val="none"/>
        </w:rPr>
        <w:t>solución de problemas. Est</w:t>
      </w:r>
      <w:r w:rsidR="001E4C69" w:rsidRPr="009257E7">
        <w:rPr>
          <w:rFonts w:ascii="Times New Roman" w:eastAsia="Times New Roman" w:hAnsi="Times New Roman" w:cs="Times New Roman"/>
          <w:kern w:val="0"/>
          <w:lang w:val="es-ES"/>
          <w14:ligatures w14:val="none"/>
        </w:rPr>
        <w:t>a ceguera</w:t>
      </w:r>
      <w:r w:rsidRPr="009257E7">
        <w:rPr>
          <w:rFonts w:ascii="Times New Roman" w:eastAsia="Times New Roman" w:hAnsi="Times New Roman" w:cs="Times New Roman"/>
          <w:kern w:val="0"/>
          <w:lang w:val="es-ES"/>
          <w14:ligatures w14:val="none"/>
        </w:rPr>
        <w:t xml:space="preserve"> comienza durante la formación jurídica. Un medio principal es el uso de la doctrina</w:t>
      </w:r>
      <w:r w:rsidR="001E4C69" w:rsidRPr="009257E7">
        <w:rPr>
          <w:rFonts w:ascii="Times New Roman" w:eastAsia="Times New Roman" w:hAnsi="Times New Roman" w:cs="Times New Roman"/>
          <w:kern w:val="0"/>
          <w:lang w:val="es-ES"/>
          <w14:ligatures w14:val="none"/>
        </w:rPr>
        <w:t>,</w:t>
      </w:r>
      <w:r w:rsidRPr="009257E7">
        <w:rPr>
          <w:rFonts w:ascii="Times New Roman" w:eastAsia="Times New Roman" w:hAnsi="Times New Roman" w:cs="Times New Roman"/>
          <w:kern w:val="0"/>
          <w:lang w:val="es-ES"/>
          <w14:ligatures w14:val="none"/>
        </w:rPr>
        <w:t xml:space="preserve"> en forma de opiniones judiciales</w:t>
      </w:r>
      <w:r w:rsidR="001E4C69" w:rsidRPr="009257E7">
        <w:rPr>
          <w:rFonts w:ascii="Times New Roman" w:eastAsia="Times New Roman" w:hAnsi="Times New Roman" w:cs="Times New Roman"/>
          <w:kern w:val="0"/>
          <w:lang w:val="es-ES"/>
          <w14:ligatures w14:val="none"/>
        </w:rPr>
        <w:t>,</w:t>
      </w:r>
      <w:r w:rsidRPr="009257E7">
        <w:rPr>
          <w:rFonts w:ascii="Times New Roman" w:eastAsia="Times New Roman" w:hAnsi="Times New Roman" w:cs="Times New Roman"/>
          <w:kern w:val="0"/>
          <w:lang w:val="es-ES"/>
          <w14:ligatures w14:val="none"/>
        </w:rPr>
        <w:t xml:space="preserve"> como material primario para la educación. Estos materiales pretenden enseñar no solo doctrina jurídica, sino también razonamiento jurídico o “cómo pensar como abogad</w:t>
      </w:r>
      <w:r w:rsidR="0084251A" w:rsidRPr="009257E7">
        <w:rPr>
          <w:rFonts w:ascii="Times New Roman" w:eastAsia="Times New Roman" w:hAnsi="Times New Roman" w:cs="Times New Roman"/>
          <w:kern w:val="0"/>
          <w:lang w:val="es-ES"/>
          <w14:ligatures w14:val="none"/>
        </w:rPr>
        <w:t>o</w:t>
      </w:r>
      <w:r w:rsidRPr="009257E7">
        <w:rPr>
          <w:rFonts w:ascii="Times New Roman" w:eastAsia="Times New Roman" w:hAnsi="Times New Roman" w:cs="Times New Roman"/>
          <w:kern w:val="0"/>
          <w:lang w:val="es-ES"/>
          <w14:ligatures w14:val="none"/>
        </w:rPr>
        <w:t>”. Pero la centralidad de las opiniones apelativas en la educación jurídica estadounidense inculca formalismo jurídico en les aprendices. Debido a que el formalismo inculca un</w:t>
      </w:r>
      <w:r w:rsidR="0084251A" w:rsidRPr="009257E7">
        <w:rPr>
          <w:rFonts w:ascii="Times New Roman" w:eastAsia="Times New Roman" w:hAnsi="Times New Roman" w:cs="Times New Roman"/>
          <w:kern w:val="0"/>
          <w:lang w:val="es-ES"/>
          <w14:ligatures w14:val="none"/>
        </w:rPr>
        <w:t>a ceguera</w:t>
      </w:r>
      <w:r w:rsidRPr="009257E7">
        <w:rPr>
          <w:rFonts w:ascii="Times New Roman" w:eastAsia="Times New Roman" w:hAnsi="Times New Roman" w:cs="Times New Roman"/>
          <w:kern w:val="0"/>
          <w:lang w:val="es-ES"/>
          <w14:ligatures w14:val="none"/>
        </w:rPr>
        <w:t xml:space="preserve"> selectiv</w:t>
      </w:r>
      <w:r w:rsidR="0084251A" w:rsidRPr="009257E7">
        <w:rPr>
          <w:rFonts w:ascii="Times New Roman" w:eastAsia="Times New Roman" w:hAnsi="Times New Roman" w:cs="Times New Roman"/>
          <w:kern w:val="0"/>
          <w:lang w:val="es-ES"/>
          <w14:ligatures w14:val="none"/>
        </w:rPr>
        <w:t>a</w:t>
      </w:r>
      <w:r w:rsidRPr="009257E7">
        <w:rPr>
          <w:rFonts w:ascii="Times New Roman" w:eastAsia="Times New Roman" w:hAnsi="Times New Roman" w:cs="Times New Roman"/>
          <w:kern w:val="0"/>
          <w:lang w:val="es-ES"/>
          <w14:ligatures w14:val="none"/>
        </w:rPr>
        <w:t xml:space="preserve"> </w:t>
      </w:r>
      <w:r w:rsidR="0084251A" w:rsidRPr="009257E7">
        <w:rPr>
          <w:rFonts w:ascii="Times New Roman" w:eastAsia="Times New Roman" w:hAnsi="Times New Roman" w:cs="Times New Roman"/>
          <w:kern w:val="0"/>
          <w:lang w:val="es-ES"/>
          <w14:ligatures w14:val="none"/>
        </w:rPr>
        <w:t xml:space="preserve">en </w:t>
      </w:r>
      <w:r w:rsidRPr="009257E7">
        <w:rPr>
          <w:rFonts w:ascii="Times New Roman" w:eastAsia="Times New Roman" w:hAnsi="Times New Roman" w:cs="Times New Roman"/>
          <w:kern w:val="0"/>
          <w:lang w:val="es-ES"/>
          <w14:ligatures w14:val="none"/>
        </w:rPr>
        <w:t xml:space="preserve">el análisis, también restringe las soluciones </w:t>
      </w:r>
      <w:r w:rsidR="00400B01" w:rsidRPr="009257E7">
        <w:rPr>
          <w:rFonts w:ascii="Times New Roman" w:eastAsia="Times New Roman" w:hAnsi="Times New Roman" w:cs="Times New Roman"/>
          <w:kern w:val="0"/>
          <w:lang w:val="es-ES"/>
          <w14:ligatures w14:val="none"/>
        </w:rPr>
        <w:t>ante</w:t>
      </w:r>
      <w:r w:rsidRPr="009257E7">
        <w:rPr>
          <w:rFonts w:ascii="Times New Roman" w:eastAsia="Times New Roman" w:hAnsi="Times New Roman" w:cs="Times New Roman"/>
          <w:kern w:val="0"/>
          <w:lang w:val="es-ES"/>
          <w14:ligatures w14:val="none"/>
        </w:rPr>
        <w:t xml:space="preserve"> la injusticia sistémica. El formalismo es el pegamento profesional que vincula la educación con la práctica</w:t>
      </w:r>
      <w:r w:rsidR="00400B01" w:rsidRPr="009257E7">
        <w:rPr>
          <w:rFonts w:ascii="Times New Roman" w:eastAsia="Times New Roman" w:hAnsi="Times New Roman" w:cs="Times New Roman"/>
          <w:kern w:val="0"/>
          <w:lang w:val="es-ES"/>
          <w14:ligatures w14:val="none"/>
        </w:rPr>
        <w:t>,</w:t>
      </w:r>
      <w:r w:rsidRPr="009257E7">
        <w:rPr>
          <w:rFonts w:ascii="Times New Roman" w:eastAsia="Times New Roman" w:hAnsi="Times New Roman" w:cs="Times New Roman"/>
          <w:kern w:val="0"/>
          <w:lang w:val="es-ES"/>
          <w14:ligatures w14:val="none"/>
        </w:rPr>
        <w:t xml:space="preserve"> para asegurar el control elitista continuo del derecho y</w:t>
      </w:r>
      <w:r w:rsidR="00400B01" w:rsidRPr="009257E7">
        <w:rPr>
          <w:rFonts w:ascii="Times New Roman" w:eastAsia="Times New Roman" w:hAnsi="Times New Roman" w:cs="Times New Roman"/>
          <w:kern w:val="0"/>
          <w:lang w:val="es-ES"/>
          <w14:ligatures w14:val="none"/>
        </w:rPr>
        <w:t xml:space="preserve"> de</w:t>
      </w:r>
      <w:r w:rsidRPr="009257E7">
        <w:rPr>
          <w:rFonts w:ascii="Times New Roman" w:eastAsia="Times New Roman" w:hAnsi="Times New Roman" w:cs="Times New Roman"/>
          <w:kern w:val="0"/>
          <w:lang w:val="es-ES"/>
          <w14:ligatures w14:val="none"/>
        </w:rPr>
        <w:t xml:space="preserve"> la sociedad de generación en generación.</w:t>
      </w:r>
    </w:p>
    <w:p w14:paraId="5B5729BA" w14:textId="506B9EBE" w:rsidR="00C81921" w:rsidRPr="009257E7" w:rsidRDefault="00C81921" w:rsidP="00400B01">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 xml:space="preserve">El formalismo es un enfoque “mecánico” para la </w:t>
      </w:r>
      <w:r w:rsidR="00400B01" w:rsidRPr="009257E7">
        <w:rPr>
          <w:rFonts w:ascii="Times New Roman" w:eastAsia="Times New Roman" w:hAnsi="Times New Roman" w:cs="Times New Roman"/>
          <w:kern w:val="0"/>
          <w:lang w:val="es-ES"/>
          <w14:ligatures w14:val="none"/>
        </w:rPr>
        <w:t>re</w:t>
      </w:r>
      <w:r w:rsidRPr="009257E7">
        <w:rPr>
          <w:rFonts w:ascii="Times New Roman" w:eastAsia="Times New Roman" w:hAnsi="Times New Roman" w:cs="Times New Roman"/>
          <w:kern w:val="0"/>
          <w:lang w:val="es-ES"/>
          <w14:ligatures w14:val="none"/>
        </w:rPr>
        <w:t>solución de problemas jurídicos que “implica un método interpretativo que depende del texto de la ley pertinente y que excluye o minimiza las fuentes extratextuales del derecho”</w:t>
      </w:r>
      <w:r w:rsidR="002D6B0F" w:rsidRPr="009257E7">
        <w:rPr>
          <w:rStyle w:val="FootnoteReference"/>
          <w:rFonts w:ascii="Times New Roman" w:eastAsia="Times New Roman" w:hAnsi="Times New Roman" w:cs="Times New Roman"/>
          <w:kern w:val="0"/>
          <w:lang w:val="es-ES"/>
          <w14:ligatures w14:val="none"/>
        </w:rPr>
        <w:footnoteReference w:id="118"/>
      </w:r>
      <w:r w:rsidRPr="009257E7">
        <w:rPr>
          <w:rFonts w:ascii="Times New Roman" w:eastAsia="Times New Roman" w:hAnsi="Times New Roman" w:cs="Times New Roman"/>
          <w:kern w:val="0"/>
          <w:lang w:val="es-ES"/>
          <w14:ligatures w14:val="none"/>
        </w:rPr>
        <w:t xml:space="preserve">. El formalismo emplea ficciones y abstracciones, incluidas nociones de objetividad y neutralidad, que oscurecen selectivamente las realidades sociales que el derecho supuestamente está diseñado para reparar. Así, el formalismo funciona principalmente mediante la aplicación de conceptos, principios y reglas </w:t>
      </w:r>
      <w:r w:rsidR="00D63928" w:rsidRPr="009257E7">
        <w:rPr>
          <w:rFonts w:ascii="Times New Roman" w:eastAsia="Times New Roman" w:hAnsi="Times New Roman" w:cs="Times New Roman"/>
          <w:kern w:val="0"/>
          <w:lang w:val="es-ES"/>
          <w14:ligatures w14:val="none"/>
        </w:rPr>
        <w:t>(</w:t>
      </w:r>
      <w:r w:rsidRPr="009257E7">
        <w:rPr>
          <w:rFonts w:ascii="Times New Roman" w:eastAsia="Times New Roman" w:hAnsi="Times New Roman" w:cs="Times New Roman"/>
          <w:kern w:val="0"/>
          <w:lang w:val="es-ES"/>
          <w14:ligatures w14:val="none"/>
        </w:rPr>
        <w:t>abstractos o fic</w:t>
      </w:r>
      <w:r w:rsidR="00D63928" w:rsidRPr="009257E7">
        <w:rPr>
          <w:rFonts w:ascii="Times New Roman" w:eastAsia="Times New Roman" w:hAnsi="Times New Roman" w:cs="Times New Roman"/>
          <w:kern w:val="0"/>
          <w:lang w:val="es-ES"/>
          <w14:ligatures w14:val="none"/>
        </w:rPr>
        <w:t>ticios)</w:t>
      </w:r>
      <w:r w:rsidRPr="009257E7">
        <w:rPr>
          <w:rFonts w:ascii="Times New Roman" w:eastAsia="Times New Roman" w:hAnsi="Times New Roman" w:cs="Times New Roman"/>
          <w:kern w:val="0"/>
          <w:lang w:val="es-ES"/>
          <w14:ligatures w14:val="none"/>
        </w:rPr>
        <w:t xml:space="preserve"> a conjuntos de hechos selectivamente estrechados, supuestamente mediante una deducción “lógica” para decidir ganadores y perdedores. La relevancia real de la política, la economía, la historia y otras fuentes de hechos sociales se vuelve extrínseca al análisis y a la toma de decisiones. El formalismo jurídico —que notablemente incluye el desajuste perpetuo </w:t>
      </w:r>
      <w:r w:rsidRPr="009257E7">
        <w:rPr>
          <w:rFonts w:ascii="Times New Roman" w:eastAsia="Times New Roman" w:hAnsi="Times New Roman" w:cs="Times New Roman"/>
          <w:kern w:val="0"/>
          <w:lang w:val="es-ES"/>
          <w14:ligatures w14:val="none"/>
        </w:rPr>
        <w:lastRenderedPageBreak/>
        <w:t>entre problemas y soluciones mediante el individualismo jurídico— es el enfoque prolongado y todavía dominante para la solución de problemas jurídicos.</w:t>
      </w:r>
    </w:p>
    <w:p w14:paraId="39E8A24E" w14:textId="00C2A691" w:rsidR="00C81921" w:rsidRPr="009257E7" w:rsidRDefault="00C81921" w:rsidP="00F41229">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 xml:space="preserve">Las vendas ideológicas del formalismo operan en conjunto con las esposas de por vida creadas por las recompensas y </w:t>
      </w:r>
      <w:r w:rsidR="00FD1736" w:rsidRPr="009257E7">
        <w:rPr>
          <w:rFonts w:ascii="Times New Roman" w:eastAsia="Times New Roman" w:hAnsi="Times New Roman" w:cs="Times New Roman"/>
          <w:kern w:val="0"/>
          <w:lang w:val="es-ES"/>
          <w14:ligatures w14:val="none"/>
        </w:rPr>
        <w:t xml:space="preserve">los </w:t>
      </w:r>
      <w:r w:rsidRPr="009257E7">
        <w:rPr>
          <w:rFonts w:ascii="Times New Roman" w:eastAsia="Times New Roman" w:hAnsi="Times New Roman" w:cs="Times New Roman"/>
          <w:kern w:val="0"/>
          <w:lang w:val="es-ES"/>
          <w14:ligatures w14:val="none"/>
        </w:rPr>
        <w:t xml:space="preserve">castigos materiales del derecho como sistema. Estas recompensas y castigos, al igual que </w:t>
      </w:r>
      <w:r w:rsidR="00FD1736" w:rsidRPr="009257E7">
        <w:rPr>
          <w:rFonts w:ascii="Times New Roman" w:eastAsia="Times New Roman" w:hAnsi="Times New Roman" w:cs="Times New Roman"/>
          <w:kern w:val="0"/>
          <w:lang w:val="es-ES"/>
          <w14:ligatures w14:val="none"/>
        </w:rPr>
        <w:t>la</w:t>
      </w:r>
      <w:r w:rsidRPr="009257E7">
        <w:rPr>
          <w:rFonts w:ascii="Times New Roman" w:eastAsia="Times New Roman" w:hAnsi="Times New Roman" w:cs="Times New Roman"/>
          <w:kern w:val="0"/>
          <w:lang w:val="es-ES"/>
          <w14:ligatures w14:val="none"/>
        </w:rPr>
        <w:t xml:space="preserve"> propi</w:t>
      </w:r>
      <w:r w:rsidR="00FD1736" w:rsidRPr="009257E7">
        <w:rPr>
          <w:rFonts w:ascii="Times New Roman" w:eastAsia="Times New Roman" w:hAnsi="Times New Roman" w:cs="Times New Roman"/>
          <w:kern w:val="0"/>
          <w:lang w:val="es-ES"/>
          <w14:ligatures w14:val="none"/>
        </w:rPr>
        <w:t>a</w:t>
      </w:r>
      <w:r w:rsidRPr="009257E7">
        <w:rPr>
          <w:rFonts w:ascii="Times New Roman" w:eastAsia="Times New Roman" w:hAnsi="Times New Roman" w:cs="Times New Roman"/>
          <w:kern w:val="0"/>
          <w:lang w:val="es-ES"/>
          <w14:ligatures w14:val="none"/>
        </w:rPr>
        <w:t xml:space="preserve"> ceg</w:t>
      </w:r>
      <w:r w:rsidR="00FD1736" w:rsidRPr="009257E7">
        <w:rPr>
          <w:rFonts w:ascii="Times New Roman" w:eastAsia="Times New Roman" w:hAnsi="Times New Roman" w:cs="Times New Roman"/>
          <w:kern w:val="0"/>
          <w:lang w:val="es-ES"/>
          <w14:ligatures w14:val="none"/>
        </w:rPr>
        <w:t>uera</w:t>
      </w:r>
      <w:r w:rsidRPr="009257E7">
        <w:rPr>
          <w:rFonts w:ascii="Times New Roman" w:eastAsia="Times New Roman" w:hAnsi="Times New Roman" w:cs="Times New Roman"/>
          <w:kern w:val="0"/>
          <w:lang w:val="es-ES"/>
          <w14:ligatures w14:val="none"/>
        </w:rPr>
        <w:t xml:space="preserve">, son formales e informales, tangibles e intangibles. Las recompensas y </w:t>
      </w:r>
      <w:r w:rsidR="00FD1736" w:rsidRPr="009257E7">
        <w:rPr>
          <w:rFonts w:ascii="Times New Roman" w:eastAsia="Times New Roman" w:hAnsi="Times New Roman" w:cs="Times New Roman"/>
          <w:kern w:val="0"/>
          <w:lang w:val="es-ES"/>
          <w14:ligatures w14:val="none"/>
        </w:rPr>
        <w:t xml:space="preserve">los </w:t>
      </w:r>
      <w:r w:rsidRPr="009257E7">
        <w:rPr>
          <w:rFonts w:ascii="Times New Roman" w:eastAsia="Times New Roman" w:hAnsi="Times New Roman" w:cs="Times New Roman"/>
          <w:kern w:val="0"/>
          <w:lang w:val="es-ES"/>
          <w14:ligatures w14:val="none"/>
        </w:rPr>
        <w:t>castigos materiales de la industria jurídica atan a l</w:t>
      </w:r>
      <w:r w:rsidR="0020445D" w:rsidRPr="009257E7">
        <w:rPr>
          <w:rFonts w:ascii="Times New Roman" w:eastAsia="Times New Roman" w:hAnsi="Times New Roman" w:cs="Times New Roman"/>
          <w:kern w:val="0"/>
          <w:lang w:val="es-ES"/>
          <w14:ligatures w14:val="none"/>
        </w:rPr>
        <w:t>o</w:t>
      </w:r>
      <w:r w:rsidRPr="009257E7">
        <w:rPr>
          <w:rFonts w:ascii="Times New Roman" w:eastAsia="Times New Roman" w:hAnsi="Times New Roman" w:cs="Times New Roman"/>
          <w:kern w:val="0"/>
          <w:lang w:val="es-ES"/>
          <w14:ligatures w14:val="none"/>
        </w:rPr>
        <w:t>s abogad</w:t>
      </w:r>
      <w:r w:rsidR="0020445D" w:rsidRPr="009257E7">
        <w:rPr>
          <w:rFonts w:ascii="Times New Roman" w:eastAsia="Times New Roman" w:hAnsi="Times New Roman" w:cs="Times New Roman"/>
          <w:kern w:val="0"/>
          <w:lang w:val="es-ES"/>
          <w14:ligatures w14:val="none"/>
        </w:rPr>
        <w:t>o</w:t>
      </w:r>
      <w:r w:rsidRPr="009257E7">
        <w:rPr>
          <w:rFonts w:ascii="Times New Roman" w:eastAsia="Times New Roman" w:hAnsi="Times New Roman" w:cs="Times New Roman"/>
          <w:kern w:val="0"/>
          <w:lang w:val="es-ES"/>
          <w14:ligatures w14:val="none"/>
        </w:rPr>
        <w:t xml:space="preserve">s —como aprendices y practicantes— al servicio de los intereses de las élites o, al menos, a no interrumpir los flujos de privilegio y subordinación conforme a los intereses elitistas. Estas esposas son </w:t>
      </w:r>
      <w:r w:rsidR="0020445D" w:rsidRPr="009257E7">
        <w:rPr>
          <w:rFonts w:ascii="Times New Roman" w:eastAsia="Times New Roman" w:hAnsi="Times New Roman" w:cs="Times New Roman"/>
          <w:kern w:val="0"/>
          <w:lang w:val="es-ES"/>
          <w14:ligatures w14:val="none"/>
        </w:rPr>
        <w:t xml:space="preserve">el </w:t>
      </w:r>
      <w:r w:rsidRPr="009257E7">
        <w:rPr>
          <w:rFonts w:ascii="Times New Roman" w:eastAsia="Times New Roman" w:hAnsi="Times New Roman" w:cs="Times New Roman"/>
          <w:kern w:val="0"/>
          <w:lang w:val="es-ES"/>
          <w14:ligatures w14:val="none"/>
        </w:rPr>
        <w:t>resultado tanto de la inducción como de la coerción.</w:t>
      </w:r>
      <w:r w:rsidR="00FD1736" w:rsidRPr="009257E7">
        <w:rPr>
          <w:rFonts w:ascii="Times New Roman" w:eastAsia="Times New Roman" w:hAnsi="Times New Roman" w:cs="Times New Roman"/>
          <w:kern w:val="0"/>
          <w:lang w:val="es-ES"/>
          <w14:ligatures w14:val="none"/>
        </w:rPr>
        <w:t xml:space="preserve"> </w:t>
      </w:r>
    </w:p>
    <w:p w14:paraId="2CA76D18" w14:textId="7EBA941B" w:rsidR="00C81921" w:rsidRPr="009257E7" w:rsidRDefault="00C81921" w:rsidP="0020445D">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Les abogades sistémiques usan el análisis crítico para identificar la estructura y los sesgos de la industria jurídica</w:t>
      </w:r>
      <w:r w:rsidR="00976D63" w:rsidRPr="009257E7">
        <w:rPr>
          <w:rFonts w:ascii="Times New Roman" w:eastAsia="Times New Roman" w:hAnsi="Times New Roman" w:cs="Times New Roman"/>
          <w:kern w:val="0"/>
          <w:lang w:val="es-ES"/>
          <w14:ligatures w14:val="none"/>
        </w:rPr>
        <w:t>;</w:t>
      </w:r>
      <w:r w:rsidRPr="009257E7">
        <w:rPr>
          <w:rFonts w:ascii="Times New Roman" w:eastAsia="Times New Roman" w:hAnsi="Times New Roman" w:cs="Times New Roman"/>
          <w:kern w:val="0"/>
          <w:lang w:val="es-ES"/>
          <w14:ligatures w14:val="none"/>
        </w:rPr>
        <w:t xml:space="preserve"> abordan la educación, la práctica y el profesionalismo con el objetivo de quitar las esposas y vendas de la industria. El primer paso para quitar estas cargas incapacitantes es exponerlas: desaprender y reaprender las realidades del derecho como sistema y cómo e</w:t>
      </w:r>
      <w:r w:rsidR="00976D63" w:rsidRPr="009257E7">
        <w:rPr>
          <w:rFonts w:ascii="Times New Roman" w:eastAsia="Times New Roman" w:hAnsi="Times New Roman" w:cs="Times New Roman"/>
          <w:kern w:val="0"/>
          <w:lang w:val="es-ES"/>
          <w14:ligatures w14:val="none"/>
        </w:rPr>
        <w:t>ste</w:t>
      </w:r>
      <w:r w:rsidRPr="009257E7">
        <w:rPr>
          <w:rFonts w:ascii="Times New Roman" w:eastAsia="Times New Roman" w:hAnsi="Times New Roman" w:cs="Times New Roman"/>
          <w:kern w:val="0"/>
          <w:lang w:val="es-ES"/>
          <w14:ligatures w14:val="none"/>
        </w:rPr>
        <w:t xml:space="preserve"> restringe la capacidad de l</w:t>
      </w:r>
      <w:r w:rsidR="00976D63" w:rsidRPr="009257E7">
        <w:rPr>
          <w:rFonts w:ascii="Times New Roman" w:eastAsia="Times New Roman" w:hAnsi="Times New Roman" w:cs="Times New Roman"/>
          <w:kern w:val="0"/>
          <w:lang w:val="es-ES"/>
          <w14:ligatures w14:val="none"/>
        </w:rPr>
        <w:t>o</w:t>
      </w:r>
      <w:r w:rsidRPr="009257E7">
        <w:rPr>
          <w:rFonts w:ascii="Times New Roman" w:eastAsia="Times New Roman" w:hAnsi="Times New Roman" w:cs="Times New Roman"/>
          <w:kern w:val="0"/>
          <w:lang w:val="es-ES"/>
          <w14:ligatures w14:val="none"/>
        </w:rPr>
        <w:t>s actores jurídicos para saber, pensar y actuar. Sin embargo, les abogades deben trabajar con ambición en el mundo tal como es. Esto significa que l</w:t>
      </w:r>
      <w:r w:rsidR="00976D63" w:rsidRPr="009257E7">
        <w:rPr>
          <w:rFonts w:ascii="Times New Roman" w:eastAsia="Times New Roman" w:hAnsi="Times New Roman" w:cs="Times New Roman"/>
          <w:kern w:val="0"/>
          <w:lang w:val="es-ES"/>
          <w14:ligatures w14:val="none"/>
        </w:rPr>
        <w:t>o</w:t>
      </w:r>
      <w:r w:rsidRPr="009257E7">
        <w:rPr>
          <w:rFonts w:ascii="Times New Roman" w:eastAsia="Times New Roman" w:hAnsi="Times New Roman" w:cs="Times New Roman"/>
          <w:kern w:val="0"/>
          <w:lang w:val="es-ES"/>
          <w14:ligatures w14:val="none"/>
        </w:rPr>
        <w:t>s actores jurídicos no pueden evitar por completo este statu quo complejo, sino que deben negociar estratégicamente en situaciones que pueden implicar riesgo, incertidumbre, ambigüedad y conflicto.</w:t>
      </w:r>
    </w:p>
    <w:p w14:paraId="2E10F4A2" w14:textId="0484E333" w:rsidR="00C81921" w:rsidRPr="009257E7" w:rsidRDefault="00C81921" w:rsidP="00976D63">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 xml:space="preserve">Hacerlo exige que les abogades reconozcan que la industria jurídica, como profesión autorregulada, ejerce actualmente un monopolio sobre el derecho. Los </w:t>
      </w:r>
      <w:r w:rsidR="002962AA" w:rsidRPr="009257E7">
        <w:rPr>
          <w:rFonts w:ascii="Times New Roman" w:eastAsia="Times New Roman" w:hAnsi="Times New Roman" w:cs="Times New Roman"/>
          <w:kern w:val="0"/>
          <w:lang w:val="es-ES"/>
          <w14:ligatures w14:val="none"/>
        </w:rPr>
        <w:t>espacios principales</w:t>
      </w:r>
      <w:r w:rsidRPr="009257E7">
        <w:rPr>
          <w:rFonts w:ascii="Times New Roman" w:eastAsia="Times New Roman" w:hAnsi="Times New Roman" w:cs="Times New Roman"/>
          <w:kern w:val="0"/>
          <w:lang w:val="es-ES"/>
          <w14:ligatures w14:val="none"/>
        </w:rPr>
        <w:t xml:space="preserve"> de práctica de la industria jurídica —en particular</w:t>
      </w:r>
      <w:r w:rsidR="002962AA" w:rsidRPr="009257E7">
        <w:rPr>
          <w:rFonts w:ascii="Times New Roman" w:eastAsia="Times New Roman" w:hAnsi="Times New Roman" w:cs="Times New Roman"/>
          <w:kern w:val="0"/>
          <w:lang w:val="es-ES"/>
          <w14:ligatures w14:val="none"/>
        </w:rPr>
        <w:t>,</w:t>
      </w:r>
      <w:r w:rsidRPr="009257E7">
        <w:rPr>
          <w:rFonts w:ascii="Times New Roman" w:eastAsia="Times New Roman" w:hAnsi="Times New Roman" w:cs="Times New Roman"/>
          <w:kern w:val="0"/>
          <w:lang w:val="es-ES"/>
          <w14:ligatures w14:val="none"/>
        </w:rPr>
        <w:t xml:space="preserve"> los supuestamente más prestigiosos, como las facultades de derecho y los grandes bufetes— están estructurados para promover intereses elitistas y silenciar la crítica. Pero incluso los espacios “alternativos” de práctica —como organizaciones no gubernamentales, agencias gubernamentales o bufetes pequeños que sirven a personas “promedio”— no están aislados de esposas y vendas. Estos espacios alternativos representan oportunidades para la innovación crítica: importantes, pero </w:t>
      </w:r>
      <w:r w:rsidR="00785552" w:rsidRPr="009257E7">
        <w:rPr>
          <w:rFonts w:ascii="Times New Roman" w:eastAsia="Times New Roman" w:hAnsi="Times New Roman" w:cs="Times New Roman"/>
          <w:kern w:val="0"/>
          <w:lang w:val="es-ES"/>
          <w14:ligatures w14:val="none"/>
        </w:rPr>
        <w:t>aún</w:t>
      </w:r>
      <w:r w:rsidRPr="009257E7">
        <w:rPr>
          <w:rFonts w:ascii="Times New Roman" w:eastAsia="Times New Roman" w:hAnsi="Times New Roman" w:cs="Times New Roman"/>
          <w:kern w:val="0"/>
          <w:lang w:val="es-ES"/>
          <w14:ligatures w14:val="none"/>
        </w:rPr>
        <w:t xml:space="preserve"> sujetas a las restricciones de la industria.</w:t>
      </w:r>
    </w:p>
    <w:p w14:paraId="51B01183" w14:textId="21AD3912" w:rsidR="00C81921" w:rsidRPr="009257E7" w:rsidRDefault="00C81921" w:rsidP="003C409B">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 xml:space="preserve">Les abogades reconocen que la ganancia y el poder acompañan nuestro trabajo; todes estamos restringides y somos cómplices. Este reconocimiento claro sienta las bases para la reflexión y la acción dirigidas a reducir, según el contexto, las esposas y </w:t>
      </w:r>
      <w:r w:rsidR="00785552" w:rsidRPr="009257E7">
        <w:rPr>
          <w:rFonts w:ascii="Times New Roman" w:eastAsia="Times New Roman" w:hAnsi="Times New Roman" w:cs="Times New Roman"/>
          <w:kern w:val="0"/>
          <w:lang w:val="es-ES"/>
          <w14:ligatures w14:val="none"/>
        </w:rPr>
        <w:t xml:space="preserve">las </w:t>
      </w:r>
      <w:r w:rsidRPr="009257E7">
        <w:rPr>
          <w:rFonts w:ascii="Times New Roman" w:eastAsia="Times New Roman" w:hAnsi="Times New Roman" w:cs="Times New Roman"/>
          <w:kern w:val="0"/>
          <w:lang w:val="es-ES"/>
          <w14:ligatures w14:val="none"/>
        </w:rPr>
        <w:t>vendas de la industria allí donde bloqueen el camino hacia la justicia transformadora. El próximo paso, inmediatamente a</w:t>
      </w:r>
      <w:r w:rsidR="003C409B" w:rsidRPr="009257E7">
        <w:rPr>
          <w:rFonts w:ascii="Times New Roman" w:eastAsia="Times New Roman" w:hAnsi="Times New Roman" w:cs="Times New Roman"/>
          <w:kern w:val="0"/>
          <w:lang w:val="es-ES"/>
          <w14:ligatures w14:val="none"/>
        </w:rPr>
        <w:t xml:space="preserve"> continuación</w:t>
      </w:r>
      <w:r w:rsidRPr="009257E7">
        <w:rPr>
          <w:rFonts w:ascii="Times New Roman" w:eastAsia="Times New Roman" w:hAnsi="Times New Roman" w:cs="Times New Roman"/>
          <w:kern w:val="0"/>
          <w:lang w:val="es-ES"/>
          <w14:ligatures w14:val="none"/>
        </w:rPr>
        <w:t xml:space="preserve">, es </w:t>
      </w:r>
      <w:r w:rsidR="003C409B" w:rsidRPr="009257E7">
        <w:rPr>
          <w:rFonts w:ascii="Times New Roman" w:eastAsia="Times New Roman" w:hAnsi="Times New Roman" w:cs="Times New Roman"/>
          <w:kern w:val="0"/>
          <w:lang w:val="es-ES"/>
          <w14:ligatures w14:val="none"/>
        </w:rPr>
        <w:t>examin</w:t>
      </w:r>
      <w:r w:rsidRPr="009257E7">
        <w:rPr>
          <w:rFonts w:ascii="Times New Roman" w:eastAsia="Times New Roman" w:hAnsi="Times New Roman" w:cs="Times New Roman"/>
          <w:kern w:val="0"/>
          <w:lang w:val="es-ES"/>
          <w14:ligatures w14:val="none"/>
        </w:rPr>
        <w:t>ar más de cerca cómo opera el derecho como industria para asegurar a las élites estatus, ganancias y poder.</w:t>
      </w:r>
    </w:p>
    <w:p w14:paraId="61D80D9B" w14:textId="77777777" w:rsidR="00020252" w:rsidRPr="009257E7" w:rsidRDefault="008F5B70" w:rsidP="008F5B70">
      <w:pPr>
        <w:spacing w:before="100" w:beforeAutospacing="1" w:after="100" w:afterAutospacing="1" w:line="240" w:lineRule="auto"/>
        <w:rPr>
          <w:rFonts w:ascii="Times New Roman" w:eastAsia="Times New Roman" w:hAnsi="Times New Roman" w:cs="Times New Roman"/>
          <w:b/>
          <w:bCs/>
          <w:kern w:val="0"/>
          <w:lang w:val="es-ES"/>
          <w14:ligatures w14:val="none"/>
        </w:rPr>
      </w:pPr>
      <w:r w:rsidRPr="009257E7">
        <w:rPr>
          <w:rFonts w:ascii="Times New Roman" w:eastAsia="Times New Roman" w:hAnsi="Times New Roman" w:cs="Times New Roman"/>
          <w:b/>
          <w:bCs/>
          <w:kern w:val="0"/>
          <w:lang w:val="es-ES"/>
          <w14:ligatures w14:val="none"/>
        </w:rPr>
        <w:t>3.1 El derecho como industria persigue las ganancias por encima de la justicia</w:t>
      </w:r>
    </w:p>
    <w:p w14:paraId="4665A459" w14:textId="612C6B98" w:rsidR="00020252" w:rsidRPr="009257E7" w:rsidRDefault="00020252" w:rsidP="00411078">
      <w:pPr>
        <w:pStyle w:val="NormalWeb"/>
        <w:ind w:firstLine="720"/>
        <w:rPr>
          <w:lang w:val="es-ES"/>
        </w:rPr>
      </w:pPr>
      <w:r w:rsidRPr="009257E7">
        <w:rPr>
          <w:lang w:val="es-ES"/>
        </w:rPr>
        <w:t>La “profesión” jurídica es una industria que pr</w:t>
      </w:r>
      <w:r w:rsidR="00411078" w:rsidRPr="009257E7">
        <w:rPr>
          <w:lang w:val="es-ES"/>
        </w:rPr>
        <w:t>ioriza</w:t>
      </w:r>
      <w:r w:rsidRPr="009257E7">
        <w:rPr>
          <w:lang w:val="es-ES"/>
        </w:rPr>
        <w:t xml:space="preserve"> las ganancias por encima de la justicia, con dueñ</w:t>
      </w:r>
      <w:r w:rsidR="00411078" w:rsidRPr="009257E7">
        <w:rPr>
          <w:lang w:val="es-ES"/>
        </w:rPr>
        <w:t>o</w:t>
      </w:r>
      <w:r w:rsidRPr="009257E7">
        <w:rPr>
          <w:lang w:val="es-ES"/>
        </w:rPr>
        <w:t>s, trabajadores, clientes y reguladores en</w:t>
      </w:r>
      <w:r w:rsidR="00411078" w:rsidRPr="009257E7">
        <w:rPr>
          <w:lang w:val="es-ES"/>
        </w:rPr>
        <w:t xml:space="preserve"> una</w:t>
      </w:r>
      <w:r w:rsidRPr="009257E7">
        <w:rPr>
          <w:lang w:val="es-ES"/>
        </w:rPr>
        <w:t xml:space="preserve"> interacción socioeconómica constante. El derecho, como otras industrias, obedece cada vez más </w:t>
      </w:r>
      <w:r w:rsidR="00C71C34" w:rsidRPr="009257E7">
        <w:rPr>
          <w:lang w:val="es-ES"/>
        </w:rPr>
        <w:t xml:space="preserve">a </w:t>
      </w:r>
      <w:r w:rsidRPr="009257E7">
        <w:rPr>
          <w:lang w:val="es-ES"/>
        </w:rPr>
        <w:t>las reglas económicas del capitalismo</w:t>
      </w:r>
      <w:r w:rsidR="00C71C34" w:rsidRPr="009257E7">
        <w:rPr>
          <w:lang w:val="es-ES"/>
        </w:rPr>
        <w:t>,</w:t>
      </w:r>
      <w:r w:rsidRPr="009257E7">
        <w:rPr>
          <w:lang w:val="es-ES"/>
        </w:rPr>
        <w:t xml:space="preserve"> tal como se practica ampliamente en Estados Unidos hoy. Sin embargo, el derecho afirma ser no solo una profesión venerable, sino también única: la única en la que sus </w:t>
      </w:r>
      <w:r w:rsidRPr="009257E7">
        <w:rPr>
          <w:lang w:val="es-ES"/>
        </w:rPr>
        <w:lastRenderedPageBreak/>
        <w:t xml:space="preserve">practicantes tienen </w:t>
      </w:r>
      <w:r w:rsidR="00C7127F" w:rsidRPr="009257E7">
        <w:rPr>
          <w:lang w:val="es-ES"/>
        </w:rPr>
        <w:t>la</w:t>
      </w:r>
      <w:r w:rsidRPr="009257E7">
        <w:rPr>
          <w:lang w:val="es-ES"/>
        </w:rPr>
        <w:t xml:space="preserve"> </w:t>
      </w:r>
      <w:r w:rsidR="00C7127F" w:rsidRPr="009257E7">
        <w:rPr>
          <w:lang w:val="es-ES"/>
        </w:rPr>
        <w:t>responsabilidad</w:t>
      </w:r>
      <w:r w:rsidRPr="009257E7">
        <w:rPr>
          <w:lang w:val="es-ES"/>
        </w:rPr>
        <w:t xml:space="preserve"> de actuar como “oficiales del tribunal”</w:t>
      </w:r>
      <w:r w:rsidR="00C71C34" w:rsidRPr="009257E7">
        <w:rPr>
          <w:lang w:val="es-ES"/>
        </w:rPr>
        <w:t>,</w:t>
      </w:r>
      <w:r w:rsidRPr="009257E7">
        <w:rPr>
          <w:lang w:val="es-ES"/>
        </w:rPr>
        <w:t xml:space="preserve"> p</w:t>
      </w:r>
      <w:r w:rsidR="00C71C34" w:rsidRPr="009257E7">
        <w:rPr>
          <w:lang w:val="es-ES"/>
        </w:rPr>
        <w:t>ues</w:t>
      </w:r>
      <w:r w:rsidRPr="009257E7">
        <w:rPr>
          <w:lang w:val="es-ES"/>
        </w:rPr>
        <w:t xml:space="preserve"> se les confía colectivamente la “administración de justicia” </w:t>
      </w:r>
      <w:r w:rsidR="00C71C34" w:rsidRPr="009257E7">
        <w:rPr>
          <w:lang w:val="es-ES"/>
        </w:rPr>
        <w:t>en</w:t>
      </w:r>
      <w:r w:rsidRPr="009257E7">
        <w:rPr>
          <w:lang w:val="es-ES"/>
        </w:rPr>
        <w:t xml:space="preserve"> el Estado de derecho.</w:t>
      </w:r>
    </w:p>
    <w:p w14:paraId="445EC79E" w14:textId="3A75B722" w:rsidR="00020252" w:rsidRPr="009257E7" w:rsidRDefault="00020252" w:rsidP="00C7127F">
      <w:pPr>
        <w:pStyle w:val="NormalWeb"/>
        <w:ind w:firstLine="720"/>
        <w:rPr>
          <w:lang w:val="es-ES"/>
        </w:rPr>
      </w:pPr>
      <w:r w:rsidRPr="009257E7">
        <w:rPr>
          <w:lang w:val="es-ES"/>
        </w:rPr>
        <w:t>L</w:t>
      </w:r>
      <w:r w:rsidR="00035F29" w:rsidRPr="009257E7">
        <w:rPr>
          <w:lang w:val="es-ES"/>
        </w:rPr>
        <w:t>o</w:t>
      </w:r>
      <w:r w:rsidRPr="009257E7">
        <w:rPr>
          <w:lang w:val="es-ES"/>
        </w:rPr>
        <w:t>s abogad</w:t>
      </w:r>
      <w:r w:rsidR="00035F29" w:rsidRPr="009257E7">
        <w:rPr>
          <w:lang w:val="es-ES"/>
        </w:rPr>
        <w:t>o</w:t>
      </w:r>
      <w:r w:rsidRPr="009257E7">
        <w:rPr>
          <w:lang w:val="es-ES"/>
        </w:rPr>
        <w:t>s han perdido cada vez más el control ideológico y técnico sobre su trabajo, especialmente en instituciones grandes, de modo que la profesión es cada vez más una industria que, como cualquier otra, coloca la ganancia por encima de todo</w:t>
      </w:r>
      <w:r w:rsidR="00CE12BF" w:rsidRPr="009257E7">
        <w:rPr>
          <w:rStyle w:val="FootnoteReference"/>
          <w:lang w:val="es-ES"/>
        </w:rPr>
        <w:footnoteReference w:id="119"/>
      </w:r>
      <w:r w:rsidRPr="009257E7">
        <w:rPr>
          <w:lang w:val="es-ES"/>
        </w:rPr>
        <w:t>. Frente a esta pérdida de control sobre la naturaleza, los propósitos y la organización de su trabajo, much</w:t>
      </w:r>
      <w:r w:rsidR="00035F29" w:rsidRPr="009257E7">
        <w:rPr>
          <w:lang w:val="es-ES"/>
        </w:rPr>
        <w:t>o</w:t>
      </w:r>
      <w:r w:rsidRPr="009257E7">
        <w:rPr>
          <w:lang w:val="es-ES"/>
        </w:rPr>
        <w:t>s abogad</w:t>
      </w:r>
      <w:r w:rsidR="00035F29" w:rsidRPr="009257E7">
        <w:rPr>
          <w:lang w:val="es-ES"/>
        </w:rPr>
        <w:t>o</w:t>
      </w:r>
      <w:r w:rsidRPr="009257E7">
        <w:rPr>
          <w:lang w:val="es-ES"/>
        </w:rPr>
        <w:t xml:space="preserve">s se enfocan en convertirse en especialistas técnicos y en “retirarse de áreas en las que carecían de voz o </w:t>
      </w:r>
      <w:r w:rsidR="00035F29" w:rsidRPr="009257E7">
        <w:rPr>
          <w:lang w:val="es-ES"/>
        </w:rPr>
        <w:t xml:space="preserve">de </w:t>
      </w:r>
      <w:r w:rsidRPr="009257E7">
        <w:rPr>
          <w:lang w:val="es-ES"/>
        </w:rPr>
        <w:t>poder”</w:t>
      </w:r>
      <w:r w:rsidR="0068559D" w:rsidRPr="009257E7">
        <w:rPr>
          <w:rStyle w:val="FootnoteReference"/>
          <w:lang w:val="es-ES"/>
        </w:rPr>
        <w:footnoteReference w:id="120"/>
      </w:r>
      <w:r w:rsidRPr="009257E7">
        <w:rPr>
          <w:lang w:val="es-ES"/>
        </w:rPr>
        <w:t>. La adaptación de l</w:t>
      </w:r>
      <w:r w:rsidR="00035F29" w:rsidRPr="009257E7">
        <w:rPr>
          <w:lang w:val="es-ES"/>
        </w:rPr>
        <w:t>o</w:t>
      </w:r>
      <w:r w:rsidRPr="009257E7">
        <w:rPr>
          <w:lang w:val="es-ES"/>
        </w:rPr>
        <w:t>s abogad</w:t>
      </w:r>
      <w:r w:rsidR="00035F29" w:rsidRPr="009257E7">
        <w:rPr>
          <w:lang w:val="es-ES"/>
        </w:rPr>
        <w:t>o</w:t>
      </w:r>
      <w:r w:rsidRPr="009257E7">
        <w:rPr>
          <w:lang w:val="es-ES"/>
        </w:rPr>
        <w:t>s en grandes bufetes, servicios gubernamentales e incluso muchas organizaciones sin fines de lucro o programas de servicios jurídicos i</w:t>
      </w:r>
      <w:r w:rsidR="00035F29" w:rsidRPr="009257E7">
        <w:rPr>
          <w:lang w:val="es-ES"/>
        </w:rPr>
        <w:t>mplica</w:t>
      </w:r>
      <w:r w:rsidRPr="009257E7">
        <w:rPr>
          <w:lang w:val="es-ES"/>
        </w:rPr>
        <w:t xml:space="preserve"> alinearse con </w:t>
      </w:r>
      <w:r w:rsidR="00035F29" w:rsidRPr="009257E7">
        <w:rPr>
          <w:lang w:val="es-ES"/>
        </w:rPr>
        <w:t>el</w:t>
      </w:r>
      <w:r w:rsidRPr="009257E7">
        <w:rPr>
          <w:lang w:val="es-ES"/>
        </w:rPr>
        <w:t xml:space="preserve"> empleador para promover “metas e intereses institucionales, en lugar de los intereses de l</w:t>
      </w:r>
      <w:r w:rsidR="00035F29" w:rsidRPr="009257E7">
        <w:rPr>
          <w:lang w:val="es-ES"/>
        </w:rPr>
        <w:t>o</w:t>
      </w:r>
      <w:r w:rsidRPr="009257E7">
        <w:rPr>
          <w:lang w:val="es-ES"/>
        </w:rPr>
        <w:t>s clientes, los valores y la ética profesionales, o intereses sociales más amplios”</w:t>
      </w:r>
      <w:r w:rsidR="00035F29" w:rsidRPr="009257E7">
        <w:rPr>
          <w:rStyle w:val="FootnoteReference"/>
          <w:lang w:val="es-ES"/>
        </w:rPr>
        <w:footnoteReference w:id="121"/>
      </w:r>
      <w:r w:rsidRPr="009257E7">
        <w:rPr>
          <w:lang w:val="es-ES"/>
        </w:rPr>
        <w:t>.</w:t>
      </w:r>
    </w:p>
    <w:p w14:paraId="031CD7B6" w14:textId="5FDF011F" w:rsidR="00020252" w:rsidRPr="009257E7" w:rsidRDefault="00020252" w:rsidP="00035F29">
      <w:pPr>
        <w:pStyle w:val="NormalWeb"/>
        <w:ind w:firstLine="720"/>
        <w:rPr>
          <w:lang w:val="es-ES"/>
        </w:rPr>
      </w:pPr>
      <w:r w:rsidRPr="009257E7">
        <w:rPr>
          <w:lang w:val="es-ES"/>
        </w:rPr>
        <w:t>L</w:t>
      </w:r>
      <w:r w:rsidR="005D3711" w:rsidRPr="009257E7">
        <w:rPr>
          <w:lang w:val="es-ES"/>
        </w:rPr>
        <w:t>o</w:t>
      </w:r>
      <w:r w:rsidRPr="009257E7">
        <w:rPr>
          <w:lang w:val="es-ES"/>
        </w:rPr>
        <w:t>s trabajadores jurídicos de todo tipo —no solo l</w:t>
      </w:r>
      <w:r w:rsidR="005D3711" w:rsidRPr="009257E7">
        <w:rPr>
          <w:lang w:val="es-ES"/>
        </w:rPr>
        <w:t>o</w:t>
      </w:r>
      <w:r w:rsidRPr="009257E7">
        <w:rPr>
          <w:lang w:val="es-ES"/>
        </w:rPr>
        <w:t>s abogad</w:t>
      </w:r>
      <w:r w:rsidR="005D3711" w:rsidRPr="009257E7">
        <w:rPr>
          <w:lang w:val="es-ES"/>
        </w:rPr>
        <w:t>o</w:t>
      </w:r>
      <w:r w:rsidRPr="009257E7">
        <w:rPr>
          <w:lang w:val="es-ES"/>
        </w:rPr>
        <w:t xml:space="preserve">s— enfrentan las consecuencias de la mercantilización del trabajo y de la conversión acelerada del derecho en una industria como cualquier otra. Estas dinámicas sistémicas intensifican normas y presiones existentes que </w:t>
      </w:r>
      <w:r w:rsidR="005D3711" w:rsidRPr="009257E7">
        <w:rPr>
          <w:lang w:val="es-ES"/>
        </w:rPr>
        <w:t>prioriz</w:t>
      </w:r>
      <w:r w:rsidRPr="009257E7">
        <w:rPr>
          <w:lang w:val="es-ES"/>
        </w:rPr>
        <w:t>an la ganancia por encima de la justicia. ¿Cómo afectan estos hechos el ideal del derecho como profesión honorable? ¿Cómo administrará justicia el sistema jurídico en el futuro? ¿Se organizarán l</w:t>
      </w:r>
      <w:r w:rsidR="005D3711" w:rsidRPr="009257E7">
        <w:rPr>
          <w:lang w:val="es-ES"/>
        </w:rPr>
        <w:t>o</w:t>
      </w:r>
      <w:r w:rsidRPr="009257E7">
        <w:rPr>
          <w:lang w:val="es-ES"/>
        </w:rPr>
        <w:t>s trabajadores jurídicos en sindicatos u otros colectivos?</w:t>
      </w:r>
    </w:p>
    <w:p w14:paraId="7F2873CE" w14:textId="4DEFA0CB" w:rsidR="007D46A3" w:rsidRPr="009257E7" w:rsidRDefault="00020252" w:rsidP="007D46A3">
      <w:pPr>
        <w:pStyle w:val="NormalWeb"/>
        <w:ind w:firstLine="720"/>
        <w:rPr>
          <w:lang w:val="es-ES"/>
        </w:rPr>
      </w:pPr>
      <w:r w:rsidRPr="009257E7">
        <w:rPr>
          <w:lang w:val="es-ES"/>
        </w:rPr>
        <w:t>A medida que estas presiones contrarias a la justicia y a la igualdad se intensifican, también se intensifican los esfuerzos desde arriba para sofocar cualquier capacidad de poder efectivo desde abajo. Por ejemplo, l</w:t>
      </w:r>
      <w:r w:rsidR="0007091A" w:rsidRPr="009257E7">
        <w:rPr>
          <w:lang w:val="es-ES"/>
        </w:rPr>
        <w:t>o</w:t>
      </w:r>
      <w:r w:rsidRPr="009257E7">
        <w:rPr>
          <w:lang w:val="es-ES"/>
        </w:rPr>
        <w:t>s abogad</w:t>
      </w:r>
      <w:r w:rsidR="0007091A" w:rsidRPr="009257E7">
        <w:rPr>
          <w:lang w:val="es-ES"/>
        </w:rPr>
        <w:t>o</w:t>
      </w:r>
      <w:r w:rsidRPr="009257E7">
        <w:rPr>
          <w:lang w:val="es-ES"/>
        </w:rPr>
        <w:t xml:space="preserve">s, </w:t>
      </w:r>
      <w:r w:rsidR="0007091A" w:rsidRPr="009257E7">
        <w:rPr>
          <w:lang w:val="es-ES"/>
        </w:rPr>
        <w:t xml:space="preserve">los </w:t>
      </w:r>
      <w:r w:rsidRPr="009257E7">
        <w:rPr>
          <w:lang w:val="es-ES"/>
        </w:rPr>
        <w:t xml:space="preserve">paralegales y otras personas que trabajan en programas de servicios jurídicos entran con </w:t>
      </w:r>
      <w:r w:rsidR="0007091A" w:rsidRPr="009257E7">
        <w:rPr>
          <w:lang w:val="es-ES"/>
        </w:rPr>
        <w:t>el</w:t>
      </w:r>
      <w:r w:rsidRPr="009257E7">
        <w:rPr>
          <w:lang w:val="es-ES"/>
        </w:rPr>
        <w:t xml:space="preserve"> compromiso de ayudar a </w:t>
      </w:r>
      <w:r w:rsidR="00133A18" w:rsidRPr="009257E7">
        <w:rPr>
          <w:lang w:val="es-ES"/>
        </w:rPr>
        <w:t>la</w:t>
      </w:r>
      <w:r w:rsidRPr="009257E7">
        <w:rPr>
          <w:lang w:val="es-ES"/>
        </w:rPr>
        <w:t xml:space="preserve">s </w:t>
      </w:r>
      <w:r w:rsidR="00133A18" w:rsidRPr="009257E7">
        <w:rPr>
          <w:lang w:val="es-ES"/>
        </w:rPr>
        <w:t>personas</w:t>
      </w:r>
      <w:r w:rsidRPr="009257E7">
        <w:rPr>
          <w:lang w:val="es-ES"/>
        </w:rPr>
        <w:t xml:space="preserve"> </w:t>
      </w:r>
      <w:r w:rsidR="00133A18" w:rsidRPr="009257E7">
        <w:rPr>
          <w:lang w:val="es-ES"/>
        </w:rPr>
        <w:t>e imped</w:t>
      </w:r>
      <w:r w:rsidRPr="009257E7">
        <w:rPr>
          <w:lang w:val="es-ES"/>
        </w:rPr>
        <w:t xml:space="preserve">ir la injusticia. Pero las restricciones </w:t>
      </w:r>
      <w:proofErr w:type="spellStart"/>
      <w:r w:rsidRPr="009257E7">
        <w:rPr>
          <w:lang w:val="es-ES"/>
        </w:rPr>
        <w:t>congresionales</w:t>
      </w:r>
      <w:proofErr w:type="spellEnd"/>
      <w:r w:rsidRPr="009257E7">
        <w:rPr>
          <w:lang w:val="es-ES"/>
        </w:rPr>
        <w:t xml:space="preserve"> —a menudo reforzadas, en lugar de resistidas, en el nivel de la administración local de servicios jurídicos, </w:t>
      </w:r>
      <w:r w:rsidR="0007091A" w:rsidRPr="009257E7">
        <w:rPr>
          <w:lang w:val="es-ES"/>
        </w:rPr>
        <w:t>d</w:t>
      </w:r>
      <w:r w:rsidRPr="009257E7">
        <w:rPr>
          <w:lang w:val="es-ES"/>
        </w:rPr>
        <w:t>el liderazgo de las juntas,</w:t>
      </w:r>
      <w:r w:rsidR="0007091A" w:rsidRPr="009257E7">
        <w:rPr>
          <w:lang w:val="es-ES"/>
        </w:rPr>
        <w:t xml:space="preserve"> de</w:t>
      </w:r>
      <w:r w:rsidRPr="009257E7">
        <w:rPr>
          <w:lang w:val="es-ES"/>
        </w:rPr>
        <w:t xml:space="preserve"> las fundaciones de colegios de abogad</w:t>
      </w:r>
      <w:r w:rsidR="00133A18" w:rsidRPr="009257E7">
        <w:rPr>
          <w:lang w:val="es-ES"/>
        </w:rPr>
        <w:t>o</w:t>
      </w:r>
      <w:r w:rsidRPr="009257E7">
        <w:rPr>
          <w:lang w:val="es-ES"/>
        </w:rPr>
        <w:t>s estatales o</w:t>
      </w:r>
      <w:r w:rsidR="0007091A" w:rsidRPr="009257E7">
        <w:rPr>
          <w:lang w:val="es-ES"/>
        </w:rPr>
        <w:t xml:space="preserve"> de</w:t>
      </w:r>
      <w:r w:rsidRPr="009257E7">
        <w:rPr>
          <w:lang w:val="es-ES"/>
        </w:rPr>
        <w:t xml:space="preserve"> los colegios de abogad</w:t>
      </w:r>
      <w:r w:rsidR="00133A18" w:rsidRPr="009257E7">
        <w:rPr>
          <w:lang w:val="es-ES"/>
        </w:rPr>
        <w:t>o</w:t>
      </w:r>
      <w:r w:rsidRPr="009257E7">
        <w:rPr>
          <w:lang w:val="es-ES"/>
        </w:rPr>
        <w:t>s— separan los servicios individuales de la lucha colectiva. El resultado</w:t>
      </w:r>
      <w:r w:rsidR="00133A18" w:rsidRPr="009257E7">
        <w:rPr>
          <w:lang w:val="es-ES"/>
        </w:rPr>
        <w:t>,</w:t>
      </w:r>
      <w:r w:rsidRPr="009257E7">
        <w:rPr>
          <w:lang w:val="es-ES"/>
        </w:rPr>
        <w:t xml:space="preserve"> desde arriba</w:t>
      </w:r>
      <w:r w:rsidR="00133A18" w:rsidRPr="009257E7">
        <w:rPr>
          <w:lang w:val="es-ES"/>
        </w:rPr>
        <w:t>,</w:t>
      </w:r>
      <w:r w:rsidRPr="009257E7">
        <w:rPr>
          <w:lang w:val="es-ES"/>
        </w:rPr>
        <w:t xml:space="preserve"> es la devaluación de l</w:t>
      </w:r>
      <w:r w:rsidR="00133A18" w:rsidRPr="009257E7">
        <w:rPr>
          <w:lang w:val="es-ES"/>
        </w:rPr>
        <w:t>o</w:t>
      </w:r>
      <w:r w:rsidRPr="009257E7">
        <w:rPr>
          <w:lang w:val="es-ES"/>
        </w:rPr>
        <w:t>s trabajadores jurídicos que prestan la mayoría de los servicios individuales, específicamente quienes son desproporcionadamente mujeres, muchas</w:t>
      </w:r>
      <w:r w:rsidR="00133A18" w:rsidRPr="009257E7">
        <w:rPr>
          <w:lang w:val="es-ES"/>
        </w:rPr>
        <w:t xml:space="preserve"> de ellas</w:t>
      </w:r>
      <w:r w:rsidRPr="009257E7">
        <w:rPr>
          <w:lang w:val="es-ES"/>
        </w:rPr>
        <w:t xml:space="preserve"> vinculadas por clase, raza, etnicidad e historias personales a las comunidades que sirven. Además, estos posibles espacios de lucha social holística se reducen a centros atomizados que separan a mujeres de clase trabajadora o mujeres de color de luchas más amplias. Este proceso</w:t>
      </w:r>
      <w:r w:rsidR="007D46A3" w:rsidRPr="009257E7">
        <w:rPr>
          <w:lang w:val="es-ES"/>
        </w:rPr>
        <w:t>,</w:t>
      </w:r>
      <w:r w:rsidRPr="009257E7">
        <w:rPr>
          <w:lang w:val="es-ES"/>
        </w:rPr>
        <w:t xml:space="preserve"> impulsado por las élites</w:t>
      </w:r>
      <w:r w:rsidR="007D46A3" w:rsidRPr="009257E7">
        <w:rPr>
          <w:lang w:val="es-ES"/>
        </w:rPr>
        <w:t>,</w:t>
      </w:r>
      <w:r w:rsidRPr="009257E7">
        <w:rPr>
          <w:lang w:val="es-ES"/>
        </w:rPr>
        <w:t xml:space="preserve"> ilustra las esposas, </w:t>
      </w:r>
      <w:r w:rsidR="007D46A3" w:rsidRPr="009257E7">
        <w:rPr>
          <w:lang w:val="es-ES"/>
        </w:rPr>
        <w:t xml:space="preserve">las </w:t>
      </w:r>
      <w:r w:rsidRPr="009257E7">
        <w:rPr>
          <w:lang w:val="es-ES"/>
        </w:rPr>
        <w:t xml:space="preserve">vendas y </w:t>
      </w:r>
      <w:r w:rsidR="007D46A3" w:rsidRPr="009257E7">
        <w:rPr>
          <w:lang w:val="es-ES"/>
        </w:rPr>
        <w:t xml:space="preserve">las </w:t>
      </w:r>
      <w:r w:rsidRPr="009257E7">
        <w:rPr>
          <w:lang w:val="es-ES"/>
        </w:rPr>
        <w:t>jerarquías de la industria.</w:t>
      </w:r>
    </w:p>
    <w:p w14:paraId="0D43D9CB" w14:textId="1EF619D6" w:rsidR="00020252" w:rsidRPr="009257E7" w:rsidRDefault="00020252" w:rsidP="00FC6373">
      <w:pPr>
        <w:pStyle w:val="NormalWeb"/>
        <w:ind w:firstLine="720"/>
        <w:rPr>
          <w:lang w:val="es-ES"/>
        </w:rPr>
      </w:pPr>
      <w:r w:rsidRPr="009257E7">
        <w:rPr>
          <w:lang w:val="es-ES"/>
        </w:rPr>
        <w:t>Sin embargo, l</w:t>
      </w:r>
      <w:r w:rsidR="007D46A3" w:rsidRPr="009257E7">
        <w:rPr>
          <w:lang w:val="es-ES"/>
        </w:rPr>
        <w:t>o</w:t>
      </w:r>
      <w:r w:rsidRPr="009257E7">
        <w:rPr>
          <w:lang w:val="es-ES"/>
        </w:rPr>
        <w:t>s trabajadores jurídicos —incluid</w:t>
      </w:r>
      <w:r w:rsidR="007D46A3" w:rsidRPr="009257E7">
        <w:rPr>
          <w:lang w:val="es-ES"/>
        </w:rPr>
        <w:t>o</w:t>
      </w:r>
      <w:r w:rsidRPr="009257E7">
        <w:rPr>
          <w:lang w:val="es-ES"/>
        </w:rPr>
        <w:t>s l</w:t>
      </w:r>
      <w:r w:rsidR="007D46A3" w:rsidRPr="009257E7">
        <w:rPr>
          <w:lang w:val="es-ES"/>
        </w:rPr>
        <w:t>o</w:t>
      </w:r>
      <w:r w:rsidRPr="009257E7">
        <w:rPr>
          <w:lang w:val="es-ES"/>
        </w:rPr>
        <w:t>s abogad</w:t>
      </w:r>
      <w:r w:rsidR="007D46A3" w:rsidRPr="009257E7">
        <w:rPr>
          <w:lang w:val="es-ES"/>
        </w:rPr>
        <w:t>o</w:t>
      </w:r>
      <w:r w:rsidRPr="009257E7">
        <w:rPr>
          <w:lang w:val="es-ES"/>
        </w:rPr>
        <w:t xml:space="preserve">s— pueden organizarse para protegerse de la explotación desde arriba. </w:t>
      </w:r>
      <w:r w:rsidR="00326512" w:rsidRPr="009257E7">
        <w:rPr>
          <w:lang w:val="es-ES"/>
        </w:rPr>
        <w:t xml:space="preserve">Los profesionales del ámbito jurídico están en una posición privilegiada para desarrollar una doble perspectiva sobre el derecho y la justicia, así como para utilizar los instrumentos jurídicos para la defensa de los derechos. Con recursos colectivos, pueden recurrir a medios extralegales, como acciones directas, campañas en los </w:t>
      </w:r>
      <w:r w:rsidR="00326512" w:rsidRPr="009257E7">
        <w:rPr>
          <w:lang w:val="es-ES"/>
        </w:rPr>
        <w:lastRenderedPageBreak/>
        <w:t xml:space="preserve">medios de comunicación, intervenciones específicas para presionar a determinados responsables de la toma de decisiones o a personas influyentes, y la educación pública. </w:t>
      </w:r>
      <w:r w:rsidRPr="009257E7">
        <w:rPr>
          <w:lang w:val="es-ES"/>
        </w:rPr>
        <w:t xml:space="preserve">Al aprender de la experiencia de las luchas laborales a </w:t>
      </w:r>
      <w:r w:rsidR="00326512" w:rsidRPr="009257E7">
        <w:rPr>
          <w:lang w:val="es-ES"/>
        </w:rPr>
        <w:t>lo largo</w:t>
      </w:r>
      <w:r w:rsidRPr="009257E7">
        <w:rPr>
          <w:lang w:val="es-ES"/>
        </w:rPr>
        <w:t xml:space="preserve"> de la historia, l</w:t>
      </w:r>
      <w:r w:rsidR="00326512" w:rsidRPr="009257E7">
        <w:rPr>
          <w:lang w:val="es-ES"/>
        </w:rPr>
        <w:t>o</w:t>
      </w:r>
      <w:r w:rsidRPr="009257E7">
        <w:rPr>
          <w:lang w:val="es-ES"/>
        </w:rPr>
        <w:t>s trabajadores jurídicos se preparan mejor para enfrentar asuntos sectoriales y sociales. Por ejemplo, l</w:t>
      </w:r>
      <w:r w:rsidR="00326512" w:rsidRPr="009257E7">
        <w:rPr>
          <w:lang w:val="es-ES"/>
        </w:rPr>
        <w:t>o</w:t>
      </w:r>
      <w:r w:rsidRPr="009257E7">
        <w:rPr>
          <w:lang w:val="es-ES"/>
        </w:rPr>
        <w:t xml:space="preserve">s trabajadores jurídicos pueden actuar colectivamente para cambiar sus organizaciones o las juntas de las fundaciones de </w:t>
      </w:r>
      <w:r w:rsidR="00756512" w:rsidRPr="009257E7">
        <w:rPr>
          <w:lang w:val="es-ES"/>
        </w:rPr>
        <w:t xml:space="preserve">los </w:t>
      </w:r>
      <w:r w:rsidRPr="009257E7">
        <w:rPr>
          <w:lang w:val="es-ES"/>
        </w:rPr>
        <w:t>colegios de abogad</w:t>
      </w:r>
      <w:r w:rsidR="00756512" w:rsidRPr="009257E7">
        <w:rPr>
          <w:lang w:val="es-ES"/>
        </w:rPr>
        <w:t>as y abogado</w:t>
      </w:r>
      <w:r w:rsidRPr="009257E7">
        <w:rPr>
          <w:lang w:val="es-ES"/>
        </w:rPr>
        <w:t xml:space="preserve">s estatales, con el fin de poner fin a la dominación de individuos ricos, responder a las restricciones </w:t>
      </w:r>
      <w:proofErr w:type="spellStart"/>
      <w:r w:rsidRPr="009257E7">
        <w:rPr>
          <w:lang w:val="es-ES"/>
        </w:rPr>
        <w:t>congresionales</w:t>
      </w:r>
      <w:proofErr w:type="spellEnd"/>
      <w:r w:rsidRPr="009257E7">
        <w:rPr>
          <w:lang w:val="es-ES"/>
        </w:rPr>
        <w:t xml:space="preserve"> o de otros </w:t>
      </w:r>
      <w:r w:rsidR="00756512" w:rsidRPr="009257E7">
        <w:rPr>
          <w:lang w:val="es-ES"/>
        </w:rPr>
        <w:t>donantes</w:t>
      </w:r>
      <w:r w:rsidRPr="009257E7">
        <w:rPr>
          <w:lang w:val="es-ES"/>
        </w:rPr>
        <w:t xml:space="preserve">, y ampliar alianzas con grupos comunitarios para oponerse a medidas neoliberales de austeridad, </w:t>
      </w:r>
      <w:r w:rsidR="00756512" w:rsidRPr="009257E7">
        <w:rPr>
          <w:lang w:val="es-ES"/>
        </w:rPr>
        <w:t>tom</w:t>
      </w:r>
      <w:r w:rsidRPr="009257E7">
        <w:rPr>
          <w:lang w:val="es-ES"/>
        </w:rPr>
        <w:t>ando como modelo la alianza histórica entre servicios jurídicos y derechos de bienestar social. Por supuesto, las posibilidades dependen del contexto.</w:t>
      </w:r>
    </w:p>
    <w:p w14:paraId="757E1C37" w14:textId="53C14C16" w:rsidR="00275588" w:rsidRPr="009257E7" w:rsidRDefault="00020252" w:rsidP="00275588">
      <w:pPr>
        <w:pStyle w:val="NormalWeb"/>
        <w:rPr>
          <w:lang w:val="es-ES"/>
        </w:rPr>
      </w:pPr>
      <w:r w:rsidRPr="009257E7">
        <w:rPr>
          <w:lang w:val="es-ES"/>
        </w:rPr>
        <w:t xml:space="preserve">Al mismo tiempo, la industria jurídica está cambiando drásticamente debido a la llegada de </w:t>
      </w:r>
      <w:r w:rsidR="00545E4D" w:rsidRPr="009257E7">
        <w:rPr>
          <w:lang w:val="es-ES"/>
        </w:rPr>
        <w:t xml:space="preserve">la </w:t>
      </w:r>
      <w:r w:rsidRPr="009257E7">
        <w:rPr>
          <w:lang w:val="es-ES"/>
        </w:rPr>
        <w:t>tecnología jurídica</w:t>
      </w:r>
      <w:r w:rsidR="00545E4D" w:rsidRPr="009257E7">
        <w:rPr>
          <w:lang w:val="es-ES"/>
        </w:rPr>
        <w:t>,</w:t>
      </w:r>
      <w:r w:rsidRPr="009257E7">
        <w:rPr>
          <w:lang w:val="es-ES"/>
        </w:rPr>
        <w:t xml:space="preserve"> destinada a aumentar y, en algunos casos, reemplazar a l</w:t>
      </w:r>
      <w:r w:rsidR="00545E4D" w:rsidRPr="009257E7">
        <w:rPr>
          <w:lang w:val="es-ES"/>
        </w:rPr>
        <w:t xml:space="preserve">os </w:t>
      </w:r>
      <w:r w:rsidRPr="009257E7">
        <w:rPr>
          <w:lang w:val="es-ES"/>
        </w:rPr>
        <w:t>abogad</w:t>
      </w:r>
      <w:r w:rsidR="00545E4D" w:rsidRPr="009257E7">
        <w:rPr>
          <w:lang w:val="es-ES"/>
        </w:rPr>
        <w:t>os</w:t>
      </w:r>
      <w:r w:rsidRPr="009257E7">
        <w:rPr>
          <w:lang w:val="es-ES"/>
        </w:rPr>
        <w:t xml:space="preserve">. La cifra récord de 5 mil millones de dólares invertidos en 2024 en tecnología jurídica </w:t>
      </w:r>
      <w:r w:rsidR="00BC4E8B" w:rsidRPr="009257E7">
        <w:rPr>
          <w:lang w:val="es-ES"/>
        </w:rPr>
        <w:t>indica</w:t>
      </w:r>
      <w:r w:rsidRPr="009257E7">
        <w:rPr>
          <w:lang w:val="es-ES"/>
        </w:rPr>
        <w:t xml:space="preserve"> que l</w:t>
      </w:r>
      <w:r w:rsidR="00545E4D" w:rsidRPr="009257E7">
        <w:rPr>
          <w:lang w:val="es-ES"/>
        </w:rPr>
        <w:t>o</w:t>
      </w:r>
      <w:r w:rsidRPr="009257E7">
        <w:rPr>
          <w:lang w:val="es-ES"/>
        </w:rPr>
        <w:t>s inversionistas buscan alterar de manera fundamental el trabajo de l</w:t>
      </w:r>
      <w:r w:rsidR="00545E4D" w:rsidRPr="009257E7">
        <w:rPr>
          <w:lang w:val="es-ES"/>
        </w:rPr>
        <w:t>o</w:t>
      </w:r>
      <w:r w:rsidRPr="009257E7">
        <w:rPr>
          <w:lang w:val="es-ES"/>
        </w:rPr>
        <w:t>s abogad</w:t>
      </w:r>
      <w:r w:rsidR="00545E4D" w:rsidRPr="009257E7">
        <w:rPr>
          <w:lang w:val="es-ES"/>
        </w:rPr>
        <w:t>o</w:t>
      </w:r>
      <w:r w:rsidRPr="009257E7">
        <w:rPr>
          <w:lang w:val="es-ES"/>
        </w:rPr>
        <w:t xml:space="preserve">s, </w:t>
      </w:r>
      <w:r w:rsidR="00BC4E8B" w:rsidRPr="009257E7">
        <w:rPr>
          <w:lang w:val="es-ES"/>
        </w:rPr>
        <w:t>en particular el de los empleados de menor rango</w:t>
      </w:r>
      <w:r w:rsidRPr="009257E7">
        <w:rPr>
          <w:lang w:val="es-ES"/>
        </w:rPr>
        <w:t xml:space="preserve">, mediante inteligencia artificial y aprendizaje automático. Los propios grandes bufetes buscan una parte de este mercado creciente, a medida que </w:t>
      </w:r>
      <w:r w:rsidR="00BC4E8B" w:rsidRPr="009257E7">
        <w:rPr>
          <w:lang w:val="es-ES"/>
        </w:rPr>
        <w:t>cre</w:t>
      </w:r>
      <w:r w:rsidRPr="009257E7">
        <w:rPr>
          <w:lang w:val="es-ES"/>
        </w:rPr>
        <w:t>an subsidiarias para desarrollar tecnología jurídica y vender productos directamente a clientes</w:t>
      </w:r>
      <w:r w:rsidR="002F633C" w:rsidRPr="009257E7">
        <w:rPr>
          <w:rStyle w:val="FootnoteReference"/>
          <w:lang w:val="es-ES"/>
        </w:rPr>
        <w:footnoteReference w:id="122"/>
      </w:r>
      <w:r w:rsidRPr="009257E7">
        <w:rPr>
          <w:lang w:val="es-ES"/>
        </w:rPr>
        <w:t>. Si los bufetes desplazan su atención y sus recursos hacia el desarrollo de tecnología jurídica para venderla a clientes, en lugar de sostener relaciones tradicionales entre abogad</w:t>
      </w:r>
      <w:r w:rsidR="00BC4E8B" w:rsidRPr="009257E7">
        <w:rPr>
          <w:lang w:val="es-ES"/>
        </w:rPr>
        <w:t>o</w:t>
      </w:r>
      <w:r w:rsidRPr="009257E7">
        <w:rPr>
          <w:lang w:val="es-ES"/>
        </w:rPr>
        <w:t xml:space="preserve"> y cliente, ¿qué impacto tendría eso en la tensión entre el derecho como profesión y como industria con fines de lucro? ¿Cómo administraría justicia el derecho entonces? Entonces, el derecho se convierte en un par de esposas y </w:t>
      </w:r>
      <w:r w:rsidR="00BC4E8B" w:rsidRPr="009257E7">
        <w:rPr>
          <w:lang w:val="es-ES"/>
        </w:rPr>
        <w:t xml:space="preserve">en </w:t>
      </w:r>
      <w:r w:rsidRPr="009257E7">
        <w:rPr>
          <w:lang w:val="es-ES"/>
        </w:rPr>
        <w:t>un conjunto de vendas.</w:t>
      </w:r>
      <w:r w:rsidR="00545E4D" w:rsidRPr="009257E7">
        <w:rPr>
          <w:lang w:val="es-ES"/>
        </w:rPr>
        <w:t xml:space="preserve"> </w:t>
      </w:r>
      <w:r w:rsidR="002C25C7" w:rsidRPr="009257E7">
        <w:rPr>
          <w:lang w:val="es-ES"/>
        </w:rPr>
        <w:br/>
      </w:r>
      <w:r w:rsidR="008F5B70" w:rsidRPr="009257E7">
        <w:rPr>
          <w:b/>
          <w:bCs/>
          <w:lang w:val="es-ES"/>
        </w:rPr>
        <w:br/>
        <w:t>3.2 La educación jurídica esposa a la industria para inculcar conformidad desde arriba</w:t>
      </w:r>
    </w:p>
    <w:p w14:paraId="7180540F" w14:textId="047772DC" w:rsidR="00275588" w:rsidRPr="009257E7" w:rsidRDefault="00275588" w:rsidP="00275588">
      <w:pPr>
        <w:pStyle w:val="NormalWeb"/>
        <w:ind w:firstLine="720"/>
        <w:rPr>
          <w:lang w:val="es-ES"/>
        </w:rPr>
      </w:pPr>
      <w:r w:rsidRPr="009257E7">
        <w:rPr>
          <w:lang w:val="es-ES"/>
        </w:rPr>
        <w:t>Las élites construyen instituciones —y eliminan otras— en función de su propio interés. Estas instituciones abarcan la educación jurídica y la práctica del derecho, con implicaciones para la sociedad en su conjunto. Este arreglo sistémico genera conformidad profesional con sesgos “tradicionales” —desde arriba—.</w:t>
      </w:r>
    </w:p>
    <w:p w14:paraId="6325C214" w14:textId="50BD29B0" w:rsidR="00275588" w:rsidRPr="009257E7" w:rsidRDefault="00275588" w:rsidP="0027359C">
      <w:pPr>
        <w:pStyle w:val="NormalWeb"/>
        <w:ind w:firstLine="720"/>
        <w:rPr>
          <w:lang w:val="es-ES"/>
        </w:rPr>
      </w:pPr>
      <w:r w:rsidRPr="009257E7">
        <w:rPr>
          <w:lang w:val="es-ES"/>
        </w:rPr>
        <w:t>El acceso a la formación y a la práctica jurídica está altamente reglamentado. Las personas autorizadas para ejercer el derecho en Estados Unidos —salvo raras excepciones— deben obtener credenciales de una facultad de derecho acreditada. Esta acreditación obligatoria exige que cada aspirante a abogad</w:t>
      </w:r>
      <w:r w:rsidR="00E52506" w:rsidRPr="009257E7">
        <w:rPr>
          <w:lang w:val="es-ES"/>
        </w:rPr>
        <w:t>o</w:t>
      </w:r>
      <w:r w:rsidRPr="009257E7">
        <w:rPr>
          <w:lang w:val="es-ES"/>
        </w:rPr>
        <w:t xml:space="preserve"> pase alrededor de 1,000 días de formación intens</w:t>
      </w:r>
      <w:r w:rsidR="00E52506" w:rsidRPr="009257E7">
        <w:rPr>
          <w:lang w:val="es-ES"/>
        </w:rPr>
        <w:t>iv</w:t>
      </w:r>
      <w:r w:rsidRPr="009257E7">
        <w:rPr>
          <w:lang w:val="es-ES"/>
        </w:rPr>
        <w:t>a, inmers</w:t>
      </w:r>
      <w:r w:rsidR="00E52506" w:rsidRPr="009257E7">
        <w:rPr>
          <w:lang w:val="es-ES"/>
        </w:rPr>
        <w:t>o</w:t>
      </w:r>
      <w:r w:rsidRPr="009257E7">
        <w:rPr>
          <w:lang w:val="es-ES"/>
        </w:rPr>
        <w:t xml:space="preserve"> en doctrinas jurídicas. L</w:t>
      </w:r>
      <w:r w:rsidR="00E52506" w:rsidRPr="009257E7">
        <w:rPr>
          <w:lang w:val="es-ES"/>
        </w:rPr>
        <w:t>o</w:t>
      </w:r>
      <w:r w:rsidRPr="009257E7">
        <w:rPr>
          <w:lang w:val="es-ES"/>
        </w:rPr>
        <w:t>s aprendices exitos</w:t>
      </w:r>
      <w:r w:rsidR="00E52506" w:rsidRPr="009257E7">
        <w:rPr>
          <w:lang w:val="es-ES"/>
        </w:rPr>
        <w:t>o</w:t>
      </w:r>
      <w:r w:rsidRPr="009257E7">
        <w:rPr>
          <w:lang w:val="es-ES"/>
        </w:rPr>
        <w:t>s avanzan hacia las próximas puertas y guardianes: exámenes de reválida, investigaciones de aptitud, una vida entera de cuotas y pagos profesionales, juramentos de lealtad y más. No debe sorprender, entonces, que l</w:t>
      </w:r>
      <w:r w:rsidR="00E52506" w:rsidRPr="009257E7">
        <w:rPr>
          <w:lang w:val="es-ES"/>
        </w:rPr>
        <w:t>o</w:t>
      </w:r>
      <w:r w:rsidRPr="009257E7">
        <w:rPr>
          <w:lang w:val="es-ES"/>
        </w:rPr>
        <w:t>s aprendices declarad</w:t>
      </w:r>
      <w:r w:rsidR="00E52506" w:rsidRPr="009257E7">
        <w:rPr>
          <w:lang w:val="es-ES"/>
        </w:rPr>
        <w:t>o</w:t>
      </w:r>
      <w:r w:rsidRPr="009257E7">
        <w:rPr>
          <w:lang w:val="es-ES"/>
        </w:rPr>
        <w:t>s exitos</w:t>
      </w:r>
      <w:r w:rsidR="00E52506" w:rsidRPr="009257E7">
        <w:rPr>
          <w:lang w:val="es-ES"/>
        </w:rPr>
        <w:t>o</w:t>
      </w:r>
      <w:r w:rsidRPr="009257E7">
        <w:rPr>
          <w:lang w:val="es-ES"/>
        </w:rPr>
        <w:t>s estén entre l</w:t>
      </w:r>
      <w:r w:rsidR="00E52506" w:rsidRPr="009257E7">
        <w:rPr>
          <w:lang w:val="es-ES"/>
        </w:rPr>
        <w:t>o</w:t>
      </w:r>
      <w:r w:rsidRPr="009257E7">
        <w:rPr>
          <w:lang w:val="es-ES"/>
        </w:rPr>
        <w:t>s defensores más interesad</w:t>
      </w:r>
      <w:r w:rsidR="00E52506" w:rsidRPr="009257E7">
        <w:rPr>
          <w:lang w:val="es-ES"/>
        </w:rPr>
        <w:t>o</w:t>
      </w:r>
      <w:r w:rsidRPr="009257E7">
        <w:rPr>
          <w:lang w:val="es-ES"/>
        </w:rPr>
        <w:t>s —y, por tanto, más entusiastas— de ese sistema de acreditación.</w:t>
      </w:r>
    </w:p>
    <w:p w14:paraId="3A93520E" w14:textId="28C01F67" w:rsidR="00275588" w:rsidRPr="009257E7" w:rsidRDefault="00B10694" w:rsidP="00B10694">
      <w:pPr>
        <w:pStyle w:val="NormalWeb"/>
        <w:ind w:firstLine="720"/>
        <w:rPr>
          <w:lang w:val="es-ES"/>
        </w:rPr>
      </w:pPr>
      <w:r w:rsidRPr="009257E7">
        <w:rPr>
          <w:lang w:val="es-ES"/>
        </w:rPr>
        <w:lastRenderedPageBreak/>
        <w:t xml:space="preserve">La formación jurídica funciona como una capacitación </w:t>
      </w:r>
      <w:r w:rsidRPr="009257E7">
        <w:rPr>
          <w:i/>
          <w:iCs/>
          <w:lang w:val="es-ES"/>
        </w:rPr>
        <w:t>sistémica</w:t>
      </w:r>
      <w:r w:rsidRPr="009257E7">
        <w:rPr>
          <w:lang w:val="es-ES"/>
        </w:rPr>
        <w:t xml:space="preserve"> orientada a la conformidad, en lugar del pensamiento crítico</w:t>
      </w:r>
      <w:r w:rsidR="00275588" w:rsidRPr="009257E7">
        <w:rPr>
          <w:lang w:val="es-ES"/>
        </w:rPr>
        <w:t xml:space="preserve">, incluso mientras insiste en su dedicación al “pensamiento crítico” </w:t>
      </w:r>
      <w:r w:rsidR="006421C0" w:rsidRPr="009257E7">
        <w:rPr>
          <w:lang w:val="es-ES"/>
        </w:rPr>
        <w:t>para</w:t>
      </w:r>
      <w:r w:rsidR="00275588" w:rsidRPr="009257E7">
        <w:rPr>
          <w:lang w:val="es-ES"/>
        </w:rPr>
        <w:t xml:space="preserve"> la </w:t>
      </w:r>
      <w:r w:rsidR="006421C0" w:rsidRPr="009257E7">
        <w:rPr>
          <w:lang w:val="es-ES"/>
        </w:rPr>
        <w:t>re</w:t>
      </w:r>
      <w:r w:rsidR="00275588" w:rsidRPr="009257E7">
        <w:rPr>
          <w:lang w:val="es-ES"/>
        </w:rPr>
        <w:t>solución de problemas.</w:t>
      </w:r>
      <w:r w:rsidR="006421C0" w:rsidRPr="009257E7">
        <w:rPr>
          <w:lang w:val="es-ES"/>
        </w:rPr>
        <w:t xml:space="preserve"> D</w:t>
      </w:r>
      <w:r w:rsidR="00275588" w:rsidRPr="009257E7">
        <w:rPr>
          <w:lang w:val="es-ES"/>
        </w:rPr>
        <w:t xml:space="preserve">esde su inicio, la </w:t>
      </w:r>
      <w:proofErr w:type="gramStart"/>
      <w:r w:rsidR="00275588" w:rsidRPr="009257E7">
        <w:rPr>
          <w:lang w:val="es-ES"/>
        </w:rPr>
        <w:t>educación jurídica y la industria jurídica</w:t>
      </w:r>
      <w:proofErr w:type="gramEnd"/>
      <w:r w:rsidR="00275588" w:rsidRPr="009257E7">
        <w:rPr>
          <w:lang w:val="es-ES"/>
        </w:rPr>
        <w:t xml:space="preserve"> han sido deformadas por privilegios y exclusiones basados en la identidad. La identidad y la ideología siempre han atravesado todos los aspectos de la cultura jurídica estadounidense.</w:t>
      </w:r>
      <w:r w:rsidR="00E52506" w:rsidRPr="009257E7">
        <w:rPr>
          <w:lang w:val="es-ES"/>
        </w:rPr>
        <w:t xml:space="preserve"> </w:t>
      </w:r>
    </w:p>
    <w:p w14:paraId="40BFC64B" w14:textId="75DA80D8" w:rsidR="00275588" w:rsidRPr="009257E7" w:rsidRDefault="00275588" w:rsidP="006421C0">
      <w:pPr>
        <w:pStyle w:val="NormalWeb"/>
        <w:ind w:firstLine="720"/>
        <w:rPr>
          <w:lang w:val="es-ES"/>
        </w:rPr>
      </w:pPr>
      <w:r w:rsidRPr="009257E7">
        <w:rPr>
          <w:lang w:val="es-ES"/>
        </w:rPr>
        <w:t xml:space="preserve">La académica crítica del derecho Daria </w:t>
      </w:r>
      <w:proofErr w:type="spellStart"/>
      <w:r w:rsidRPr="009257E7">
        <w:rPr>
          <w:lang w:val="es-ES"/>
        </w:rPr>
        <w:t>Roithmayr</w:t>
      </w:r>
      <w:proofErr w:type="spellEnd"/>
      <w:r w:rsidRPr="009257E7">
        <w:rPr>
          <w:lang w:val="es-ES"/>
        </w:rPr>
        <w:t xml:space="preserve"> ha detallado la historia de la educación jurídica formal y </w:t>
      </w:r>
      <w:r w:rsidR="006421C0" w:rsidRPr="009257E7">
        <w:rPr>
          <w:lang w:val="es-ES"/>
        </w:rPr>
        <w:t>la</w:t>
      </w:r>
      <w:r w:rsidRPr="009257E7">
        <w:rPr>
          <w:lang w:val="es-ES"/>
        </w:rPr>
        <w:t xml:space="preserve"> invención del “mérito” como concepto que promueve jerarquías basadas en la identidad</w:t>
      </w:r>
      <w:r w:rsidR="007416CA" w:rsidRPr="009257E7">
        <w:rPr>
          <w:rStyle w:val="FootnoteReference"/>
          <w:lang w:val="es-ES"/>
        </w:rPr>
        <w:footnoteReference w:id="123"/>
      </w:r>
      <w:r w:rsidRPr="009257E7">
        <w:rPr>
          <w:lang w:val="es-ES"/>
        </w:rPr>
        <w:t>. Resulta que el mérito individual equivale al “valor social” que los sistemas a</w:t>
      </w:r>
      <w:r w:rsidR="006D5915" w:rsidRPr="009257E7">
        <w:rPr>
          <w:lang w:val="es-ES"/>
        </w:rPr>
        <w:t>tribuye</w:t>
      </w:r>
      <w:r w:rsidRPr="009257E7">
        <w:rPr>
          <w:lang w:val="es-ES"/>
        </w:rPr>
        <w:t xml:space="preserve">n a identidades grupales “diferentes”. </w:t>
      </w:r>
      <w:proofErr w:type="spellStart"/>
      <w:r w:rsidRPr="009257E7">
        <w:rPr>
          <w:lang w:val="es-ES"/>
        </w:rPr>
        <w:t>Roithmayr</w:t>
      </w:r>
      <w:proofErr w:type="spellEnd"/>
      <w:r w:rsidRPr="009257E7">
        <w:rPr>
          <w:lang w:val="es-ES"/>
        </w:rPr>
        <w:t xml:space="preserve"> explica los orígenes del statu quo y muestra cómo las nociones distorsionadas de mérito encubren desigualdades persistentes y la oposición intratable de las élites frente a cualquier desafío. La aceptación acrítica del concepto de “mérito” y de los procesos e instituciones “meritocráticos” existentes permite que las élites justifiquen sus propias ventajas, las desventajas de otres y cualquier acción que puedan </w:t>
      </w:r>
      <w:r w:rsidR="00090EC1" w:rsidRPr="009257E7">
        <w:rPr>
          <w:lang w:val="es-ES"/>
        </w:rPr>
        <w:t>emprende</w:t>
      </w:r>
      <w:r w:rsidRPr="009257E7">
        <w:rPr>
          <w:lang w:val="es-ES"/>
        </w:rPr>
        <w:t xml:space="preserve">r para mantener ambas. </w:t>
      </w:r>
      <w:proofErr w:type="spellStart"/>
      <w:r w:rsidRPr="009257E7">
        <w:rPr>
          <w:lang w:val="es-ES"/>
        </w:rPr>
        <w:t>Roithmayr</w:t>
      </w:r>
      <w:proofErr w:type="spellEnd"/>
      <w:r w:rsidRPr="009257E7">
        <w:rPr>
          <w:lang w:val="es-ES"/>
        </w:rPr>
        <w:t xml:space="preserve"> también capta el desplazamiento </w:t>
      </w:r>
      <w:r w:rsidR="00090EC1" w:rsidRPr="009257E7">
        <w:rPr>
          <w:lang w:val="es-ES"/>
        </w:rPr>
        <w:t xml:space="preserve">de la identidad en el derecho </w:t>
      </w:r>
      <w:r w:rsidRPr="009257E7">
        <w:rPr>
          <w:lang w:val="es-ES"/>
        </w:rPr>
        <w:t>desde usos abiertos hacia usos encubiertos</w:t>
      </w:r>
      <w:r w:rsidR="00090EC1" w:rsidRPr="009257E7">
        <w:rPr>
          <w:lang w:val="es-ES"/>
        </w:rPr>
        <w:t>,</w:t>
      </w:r>
      <w:r w:rsidRPr="009257E7">
        <w:rPr>
          <w:lang w:val="es-ES"/>
        </w:rPr>
        <w:t xml:space="preserve"> para normalizar y reproducir jerarquías grupales. Muestra que las identidades sociales fueron la base para organizar la educación jurídica tal como existe hoy. Las identidades —tanto las que se pretendía incluir como las que se excluyeron intencionalmente— </w:t>
      </w:r>
      <w:r w:rsidR="00090EC1" w:rsidRPr="009257E7">
        <w:rPr>
          <w:lang w:val="es-ES"/>
        </w:rPr>
        <w:t>sirvi</w:t>
      </w:r>
      <w:r w:rsidRPr="009257E7">
        <w:rPr>
          <w:lang w:val="es-ES"/>
        </w:rPr>
        <w:t xml:space="preserve">eron </w:t>
      </w:r>
      <w:r w:rsidR="00090EC1" w:rsidRPr="009257E7">
        <w:rPr>
          <w:lang w:val="es-ES"/>
        </w:rPr>
        <w:t>de</w:t>
      </w:r>
      <w:r w:rsidRPr="009257E7">
        <w:rPr>
          <w:lang w:val="es-ES"/>
        </w:rPr>
        <w:t xml:space="preserve"> base para concentrar el poder del derecho en grupos identitarios </w:t>
      </w:r>
      <w:r w:rsidR="00090EC1" w:rsidRPr="009257E7">
        <w:rPr>
          <w:lang w:val="es-ES"/>
        </w:rPr>
        <w:t>específico</w:t>
      </w:r>
      <w:r w:rsidRPr="009257E7">
        <w:rPr>
          <w:lang w:val="es-ES"/>
        </w:rPr>
        <w:t xml:space="preserve">s. Al emplear la historia crítica como método, </w:t>
      </w:r>
      <w:proofErr w:type="spellStart"/>
      <w:r w:rsidRPr="009257E7">
        <w:rPr>
          <w:lang w:val="es-ES"/>
        </w:rPr>
        <w:t>Roithmayr</w:t>
      </w:r>
      <w:proofErr w:type="spellEnd"/>
      <w:r w:rsidRPr="009257E7">
        <w:rPr>
          <w:lang w:val="es-ES"/>
        </w:rPr>
        <w:t xml:space="preserve"> explica por qué y cómo la profesión jurídica se volvió, y sigue siendo, predominantemente blanca y masculina, especialmente en la cima.</w:t>
      </w:r>
      <w:r w:rsidR="006421C0" w:rsidRPr="009257E7">
        <w:rPr>
          <w:lang w:val="es-ES"/>
        </w:rPr>
        <w:t xml:space="preserve"> </w:t>
      </w:r>
    </w:p>
    <w:p w14:paraId="1826F19B" w14:textId="68BDBB4E" w:rsidR="00275588" w:rsidRPr="009257E7" w:rsidRDefault="00275588" w:rsidP="007416CA">
      <w:pPr>
        <w:pStyle w:val="NormalWeb"/>
        <w:ind w:firstLine="720"/>
        <w:rPr>
          <w:lang w:val="es-ES"/>
        </w:rPr>
      </w:pPr>
      <w:bookmarkStart w:id="26" w:name="OLE_LINK71"/>
      <w:r w:rsidRPr="009257E7">
        <w:rPr>
          <w:lang w:val="es-ES"/>
        </w:rPr>
        <w:t xml:space="preserve">Al continuar esta historia en el presente, las facultades de derecho y la práctica jurídica empujan rutinariamente a estudiantes y practicantes a ser acríticos y obedientes: a servir al poder elitista y a los sistemas de casta desde arriba. Esto ocurre no solo porque sienten que deben hacerlo para avanzar, sino también porque respaldan de todo corazón el statu quo normalizado. Mediante la formación, se convierten en creyentes y ejecutores. Duncan Kennedy, fundador del movimiento </w:t>
      </w:r>
      <w:proofErr w:type="spellStart"/>
      <w:r w:rsidRPr="009257E7">
        <w:rPr>
          <w:lang w:val="es-ES"/>
        </w:rPr>
        <w:t>Critical</w:t>
      </w:r>
      <w:proofErr w:type="spellEnd"/>
      <w:r w:rsidRPr="009257E7">
        <w:rPr>
          <w:lang w:val="es-ES"/>
        </w:rPr>
        <w:t xml:space="preserve"> Legal </w:t>
      </w:r>
      <w:proofErr w:type="spellStart"/>
      <w:r w:rsidRPr="009257E7">
        <w:rPr>
          <w:lang w:val="es-ES"/>
        </w:rPr>
        <w:t>Studies</w:t>
      </w:r>
      <w:proofErr w:type="spellEnd"/>
      <w:r w:rsidRPr="009257E7">
        <w:rPr>
          <w:lang w:val="es-ES"/>
        </w:rPr>
        <w:t xml:space="preserve">, señaló en 1982 —en una crítica que sigue siendo precisa hoy— que las facultades de derecho ofrecen “formación ideológica para el servicio voluntario en las jerarquías” que todavía dominan la sociedad por la fuerza del derecho </w:t>
      </w:r>
      <w:r w:rsidR="00BC46B5" w:rsidRPr="009257E7">
        <w:rPr>
          <w:lang w:val="es-ES"/>
        </w:rPr>
        <w:t>(</w:t>
      </w:r>
      <w:r w:rsidRPr="009257E7">
        <w:rPr>
          <w:lang w:val="es-ES"/>
        </w:rPr>
        <w:t>y de la cultura</w:t>
      </w:r>
      <w:r w:rsidR="00BC46B5" w:rsidRPr="009257E7">
        <w:rPr>
          <w:lang w:val="es-ES"/>
        </w:rPr>
        <w:t xml:space="preserve">) </w:t>
      </w:r>
      <w:r w:rsidR="00BC46B5" w:rsidRPr="009257E7">
        <w:rPr>
          <w:rStyle w:val="FootnoteReference"/>
          <w:lang w:val="es-ES"/>
        </w:rPr>
        <w:footnoteReference w:id="124"/>
      </w:r>
      <w:r w:rsidRPr="009257E7">
        <w:rPr>
          <w:lang w:val="es-ES"/>
        </w:rPr>
        <w:t>. Las facultades de derecho combinan “un currículo formal” con “un conjunto compl</w:t>
      </w:r>
      <w:r w:rsidR="008A1334" w:rsidRPr="009257E7">
        <w:rPr>
          <w:lang w:val="es-ES"/>
        </w:rPr>
        <w:t>ej</w:t>
      </w:r>
      <w:r w:rsidRPr="009257E7">
        <w:rPr>
          <w:lang w:val="es-ES"/>
        </w:rPr>
        <w:t>o de prácticas institucionales” que inculcan e inducen la conformidad con múltiples jerarquías, incluidas las castas basadas en la identidad</w:t>
      </w:r>
      <w:r w:rsidR="008A1334" w:rsidRPr="009257E7">
        <w:rPr>
          <w:lang w:val="es-ES"/>
        </w:rPr>
        <w:t>,</w:t>
      </w:r>
      <w:r w:rsidRPr="009257E7">
        <w:rPr>
          <w:lang w:val="es-ES"/>
        </w:rPr>
        <w:t xml:space="preserve"> ya incrustadas en los orígenes del sistema.</w:t>
      </w:r>
      <w:r w:rsidR="007416CA" w:rsidRPr="009257E7">
        <w:rPr>
          <w:lang w:val="es-ES"/>
        </w:rPr>
        <w:t xml:space="preserve"> </w:t>
      </w:r>
    </w:p>
    <w:p w14:paraId="2F576694" w14:textId="2A1D21EA" w:rsidR="00B67976" w:rsidRPr="009257E7" w:rsidRDefault="00B67976" w:rsidP="0012669D">
      <w:pPr>
        <w:pStyle w:val="NormalWeb"/>
        <w:ind w:firstLine="720"/>
        <w:rPr>
          <w:lang w:val="es-ES"/>
        </w:rPr>
      </w:pPr>
      <w:r w:rsidRPr="009257E7">
        <w:rPr>
          <w:lang w:val="es-ES"/>
        </w:rPr>
        <w:t xml:space="preserve">Este proceso institucionalizado de aculturación extrema —de “formación para la jerarquía”— es tanto formal como informal y </w:t>
      </w:r>
      <w:r w:rsidR="0012669D" w:rsidRPr="009257E7">
        <w:rPr>
          <w:lang w:val="es-ES"/>
        </w:rPr>
        <w:t>gener</w:t>
      </w:r>
      <w:r w:rsidRPr="009257E7">
        <w:rPr>
          <w:lang w:val="es-ES"/>
        </w:rPr>
        <w:t xml:space="preserve">a aceptación de manera continua: la formación “no puede ser meramente de la vida pública en oposición a la vida privada”. Es formal y también social, intelectual y cultural. Kennedy concluye que el derecho no es “ni apolítico ni meritocrático”. En sus raíces, el derecho es productor y reproductor de castas identitarias y de otras formas interrelacionadas de estratificación socioeconómica. </w:t>
      </w:r>
      <w:r w:rsidR="00E56C2A" w:rsidRPr="009257E7">
        <w:rPr>
          <w:lang w:val="es-ES"/>
        </w:rPr>
        <w:t>D</w:t>
      </w:r>
      <w:r w:rsidRPr="009257E7">
        <w:rPr>
          <w:lang w:val="es-ES"/>
        </w:rPr>
        <w:t>escribe cómo la educación jurídica contemporánea crea una experiencia insular e inmersiva que aísla a l</w:t>
      </w:r>
      <w:r w:rsidR="00E56C2A" w:rsidRPr="009257E7">
        <w:rPr>
          <w:lang w:val="es-ES"/>
        </w:rPr>
        <w:t>o</w:t>
      </w:r>
      <w:r w:rsidRPr="009257E7">
        <w:rPr>
          <w:lang w:val="es-ES"/>
        </w:rPr>
        <w:t>s iniciad</w:t>
      </w:r>
      <w:r w:rsidR="00E56C2A" w:rsidRPr="009257E7">
        <w:rPr>
          <w:lang w:val="es-ES"/>
        </w:rPr>
        <w:t>o</w:t>
      </w:r>
      <w:r w:rsidRPr="009257E7">
        <w:rPr>
          <w:lang w:val="es-ES"/>
        </w:rPr>
        <w:t xml:space="preserve">s de la </w:t>
      </w:r>
      <w:r w:rsidRPr="009257E7">
        <w:rPr>
          <w:lang w:val="es-ES"/>
        </w:rPr>
        <w:lastRenderedPageBreak/>
        <w:t>sociedad. La educación jurídica “forma” a l</w:t>
      </w:r>
      <w:r w:rsidR="001066D4" w:rsidRPr="009257E7">
        <w:rPr>
          <w:lang w:val="es-ES"/>
        </w:rPr>
        <w:t>e</w:t>
      </w:r>
      <w:r w:rsidRPr="009257E7">
        <w:rPr>
          <w:lang w:val="es-ES"/>
        </w:rPr>
        <w:t>s estudiantes para aceptar su lugar en un sistema jurídico diseñado para inculcar y reproducir jerarquías dominantes, no para promover la justicia igualitaria.</w:t>
      </w:r>
    </w:p>
    <w:p w14:paraId="47070A71" w14:textId="6D8B4526" w:rsidR="00B67976" w:rsidRPr="009257E7" w:rsidRDefault="00B67976" w:rsidP="001066D4">
      <w:pPr>
        <w:pStyle w:val="NormalWeb"/>
        <w:ind w:firstLine="720"/>
        <w:rPr>
          <w:lang w:val="es-ES"/>
        </w:rPr>
      </w:pPr>
      <w:r w:rsidRPr="009257E7">
        <w:rPr>
          <w:lang w:val="es-ES"/>
        </w:rPr>
        <w:t>Les estudiantes de derecho, profesores y practicantes no necesariamente buscan, de forma consciente, mantener sistemas de casta injustos; ese escenario sería demasiado simple. Más bien, el statu quo se replica a sí mismo, en gran parte, porque a l</w:t>
      </w:r>
      <w:r w:rsidR="001066D4" w:rsidRPr="009257E7">
        <w:rPr>
          <w:lang w:val="es-ES"/>
        </w:rPr>
        <w:t>o</w:t>
      </w:r>
      <w:r w:rsidRPr="009257E7">
        <w:rPr>
          <w:lang w:val="es-ES"/>
        </w:rPr>
        <w:t>s abogad</w:t>
      </w:r>
      <w:r w:rsidR="001066D4" w:rsidRPr="009257E7">
        <w:rPr>
          <w:lang w:val="es-ES"/>
        </w:rPr>
        <w:t>o</w:t>
      </w:r>
      <w:r w:rsidRPr="009257E7">
        <w:rPr>
          <w:lang w:val="es-ES"/>
        </w:rPr>
        <w:t xml:space="preserve">s se les enseña </w:t>
      </w:r>
      <w:r w:rsidR="00F9619E" w:rsidRPr="009257E7">
        <w:rPr>
          <w:lang w:val="es-ES"/>
        </w:rPr>
        <w:t>reiteradamente</w:t>
      </w:r>
      <w:r w:rsidRPr="009257E7">
        <w:rPr>
          <w:lang w:val="es-ES"/>
        </w:rPr>
        <w:t xml:space="preserve"> a presumir que el statu quo es justo, correcto e inevitable. Con el tiempo, se convierten en ejecutores de primera línea de los resultados del sistema. Así, el “profesionalismo” en la práctica jurídica también se define en términos marcados por la identidad, diseñados para legitimar y sostener el statu quo sistémico.</w:t>
      </w:r>
    </w:p>
    <w:p w14:paraId="7428603F" w14:textId="67FE681E" w:rsidR="00B67976" w:rsidRPr="009257E7" w:rsidRDefault="00B67976" w:rsidP="00F9619E">
      <w:pPr>
        <w:pStyle w:val="NormalWeb"/>
        <w:ind w:firstLine="360"/>
        <w:rPr>
          <w:lang w:val="es-ES"/>
        </w:rPr>
      </w:pPr>
      <w:r w:rsidRPr="009257E7">
        <w:rPr>
          <w:lang w:val="es-ES"/>
        </w:rPr>
        <w:t>Las facultades de derecho imprimen</w:t>
      </w:r>
      <w:r w:rsidR="00F9619E" w:rsidRPr="009257E7">
        <w:rPr>
          <w:lang w:val="es-ES"/>
        </w:rPr>
        <w:t>,</w:t>
      </w:r>
      <w:r w:rsidRPr="009257E7">
        <w:rPr>
          <w:lang w:val="es-ES"/>
        </w:rPr>
        <w:t xml:space="preserve"> además</w:t>
      </w:r>
      <w:r w:rsidR="00F9619E" w:rsidRPr="009257E7">
        <w:rPr>
          <w:lang w:val="es-ES"/>
        </w:rPr>
        <w:t>,</w:t>
      </w:r>
      <w:r w:rsidRPr="009257E7">
        <w:rPr>
          <w:lang w:val="es-ES"/>
        </w:rPr>
        <w:t xml:space="preserve"> en sus estudiantes</w:t>
      </w:r>
      <w:r w:rsidR="00F9619E" w:rsidRPr="009257E7">
        <w:rPr>
          <w:lang w:val="es-ES"/>
        </w:rPr>
        <w:t>,</w:t>
      </w:r>
      <w:r w:rsidRPr="009257E7">
        <w:rPr>
          <w:lang w:val="es-ES"/>
        </w:rPr>
        <w:t xml:space="preserve"> concepciones engañosas del “profesionalismo” jurídico y de la ética, de formas sesgadas por clase, raza y género, y les enseñan a cumplirlas. Con demasiada frecuencia, el profesionalismo se presenta como un conjunto de conductas que demuestran conformidad: hay que vestirse con ropa de negocios “apropiada”, llegar a tiempo y hacer precisa y únicamente lo que ordene </w:t>
      </w:r>
      <w:r w:rsidR="00B04719" w:rsidRPr="009257E7">
        <w:rPr>
          <w:lang w:val="es-ES"/>
        </w:rPr>
        <w:t>el</w:t>
      </w:r>
      <w:r w:rsidRPr="009257E7">
        <w:rPr>
          <w:lang w:val="es-ES"/>
        </w:rPr>
        <w:t xml:space="preserve"> soci</w:t>
      </w:r>
      <w:r w:rsidR="00B04719" w:rsidRPr="009257E7">
        <w:rPr>
          <w:lang w:val="es-ES"/>
        </w:rPr>
        <w:t>o</w:t>
      </w:r>
      <w:r w:rsidRPr="009257E7">
        <w:rPr>
          <w:lang w:val="es-ES"/>
        </w:rPr>
        <w:t xml:space="preserve"> principal, </w:t>
      </w:r>
      <w:r w:rsidR="00B04719" w:rsidRPr="009257E7">
        <w:rPr>
          <w:lang w:val="es-ES"/>
        </w:rPr>
        <w:t>el</w:t>
      </w:r>
      <w:r w:rsidRPr="009257E7">
        <w:rPr>
          <w:lang w:val="es-ES"/>
        </w:rPr>
        <w:t xml:space="preserve"> juez u otra figura de autoridad. Lucille Jewel, académica de escritura jurídica y </w:t>
      </w:r>
      <w:proofErr w:type="spellStart"/>
      <w:r w:rsidRPr="009257E7">
        <w:rPr>
          <w:lang w:val="es-ES"/>
        </w:rPr>
        <w:t>ClassCrits</w:t>
      </w:r>
      <w:proofErr w:type="spellEnd"/>
      <w:r w:rsidRPr="009257E7">
        <w:rPr>
          <w:lang w:val="es-ES"/>
        </w:rPr>
        <w:t>, examina de forma crítica el enfoque típico para enseñar profesionalismo: un enfoque centrado en convencer y formar a estudiantes para que adopten modales y conductas de clase alta</w:t>
      </w:r>
      <w:r w:rsidR="00E945E3" w:rsidRPr="009257E7">
        <w:rPr>
          <w:rStyle w:val="FootnoteReference"/>
          <w:lang w:val="es-ES"/>
        </w:rPr>
        <w:footnoteReference w:id="125"/>
      </w:r>
      <w:r w:rsidRPr="009257E7">
        <w:rPr>
          <w:lang w:val="es-ES"/>
        </w:rPr>
        <w:t>:</w:t>
      </w:r>
    </w:p>
    <w:p w14:paraId="4C0150DD" w14:textId="77777777" w:rsidR="00B67976" w:rsidRPr="009257E7" w:rsidRDefault="00B67976" w:rsidP="00B67976">
      <w:pPr>
        <w:pStyle w:val="NormalWeb"/>
        <w:numPr>
          <w:ilvl w:val="0"/>
          <w:numId w:val="3"/>
        </w:numPr>
        <w:rPr>
          <w:lang w:val="es-ES"/>
        </w:rPr>
      </w:pPr>
      <w:r w:rsidRPr="009257E7">
        <w:rPr>
          <w:rStyle w:val="Strong"/>
          <w:b w:val="0"/>
          <w:bCs w:val="0"/>
          <w:i/>
          <w:iCs/>
          <w:lang w:val="es-ES"/>
        </w:rPr>
        <w:t>Adquirir gusto y distinción.</w:t>
      </w:r>
      <w:r w:rsidRPr="009257E7">
        <w:rPr>
          <w:lang w:val="es-ES"/>
        </w:rPr>
        <w:t xml:space="preserve"> [...] Les estudiantes de derecho aprenden a adoptar “modales [...] emblemáticos de pertenencia al universo masculino blanco de clase media del foro jurídico”. [...]</w:t>
      </w:r>
    </w:p>
    <w:p w14:paraId="6988116A" w14:textId="63182F37" w:rsidR="00B67976" w:rsidRPr="009257E7" w:rsidRDefault="00B67976" w:rsidP="00E945E3">
      <w:pPr>
        <w:pStyle w:val="NormalWeb"/>
        <w:ind w:left="720"/>
        <w:rPr>
          <w:lang w:val="es-ES"/>
        </w:rPr>
      </w:pPr>
      <w:r w:rsidRPr="009257E7">
        <w:rPr>
          <w:lang w:val="es-ES"/>
        </w:rPr>
        <w:t xml:space="preserve">[...] Por ejemplo, mediante comentarios de jueces en competencias de tribunal simulado, les estudiantes aprenden que la legitimidad de una mujer como abogada depende de elecciones de vestimenta que coincidan con los ideales de </w:t>
      </w:r>
      <w:r w:rsidR="00587C9D" w:rsidRPr="009257E7">
        <w:rPr>
          <w:lang w:val="es-ES"/>
        </w:rPr>
        <w:t xml:space="preserve">la </w:t>
      </w:r>
      <w:r w:rsidRPr="009257E7">
        <w:rPr>
          <w:lang w:val="es-ES"/>
        </w:rPr>
        <w:t>clase alta sobre lo que debe vestir una mujer profesional. [...]</w:t>
      </w:r>
    </w:p>
    <w:p w14:paraId="2410F543" w14:textId="3ED8B8E7" w:rsidR="00B67976" w:rsidRPr="009257E7" w:rsidRDefault="00B67976" w:rsidP="00B67976">
      <w:pPr>
        <w:pStyle w:val="NormalWeb"/>
        <w:numPr>
          <w:ilvl w:val="0"/>
          <w:numId w:val="4"/>
        </w:numPr>
        <w:rPr>
          <w:lang w:val="es-ES"/>
        </w:rPr>
      </w:pPr>
      <w:r w:rsidRPr="009257E7">
        <w:rPr>
          <w:rStyle w:val="Strong"/>
          <w:b w:val="0"/>
          <w:bCs w:val="0"/>
          <w:i/>
          <w:iCs/>
          <w:lang w:val="es-ES"/>
        </w:rPr>
        <w:t>El lenguaje de la distinción.</w:t>
      </w:r>
      <w:r w:rsidRPr="009257E7">
        <w:rPr>
          <w:lang w:val="es-ES"/>
        </w:rPr>
        <w:t xml:space="preserve"> La facultad de derecho enfatiza una forma de comunicación mesurada, sin emoción y gramaticalmente correcta, que se correlaciona con el estilo comunicativo preferido de la clase alta. [...] [L]as facultades de derecho enseñan a les estudiantes que la gramática correcta y el tono formal harán que les lectores perciban un texto como legítimo, mientras que la mala gramática o un tono estridente y emocional hará que </w:t>
      </w:r>
      <w:r w:rsidR="00587C9D" w:rsidRPr="009257E7">
        <w:rPr>
          <w:lang w:val="es-ES"/>
        </w:rPr>
        <w:t>el</w:t>
      </w:r>
      <w:r w:rsidRPr="009257E7">
        <w:rPr>
          <w:lang w:val="es-ES"/>
        </w:rPr>
        <w:t xml:space="preserve"> lector vea el texto y a su autor con sospecha. [...]</w:t>
      </w:r>
    </w:p>
    <w:p w14:paraId="399DD871" w14:textId="608DCDB6" w:rsidR="00B67976" w:rsidRPr="009257E7" w:rsidRDefault="00B67976" w:rsidP="00587C9D">
      <w:pPr>
        <w:pStyle w:val="NormalWeb"/>
        <w:ind w:left="720"/>
        <w:rPr>
          <w:lang w:val="es-ES"/>
        </w:rPr>
      </w:pPr>
      <w:r w:rsidRPr="009257E7">
        <w:rPr>
          <w:lang w:val="es-ES"/>
        </w:rPr>
        <w:t>[...] Los cursos de Responsabilidad Profesional pueden ofrecer [una] oportunidad para elevar la conciencia estudiantil sobre las formas en que la profesión jurídica replica su estructura jerárquica. [...] [N]o hay razón para no exponer a les estudiantes al trasfondo histórico revelador detrás de muchos de los cánones de responsabilidad profesional de la ABA, en particular las reglas sobre publicidad de abogad</w:t>
      </w:r>
      <w:r w:rsidR="000103CF" w:rsidRPr="009257E7">
        <w:rPr>
          <w:lang w:val="es-ES"/>
        </w:rPr>
        <w:t>o</w:t>
      </w:r>
      <w:r w:rsidRPr="009257E7">
        <w:rPr>
          <w:lang w:val="es-ES"/>
        </w:rPr>
        <w:t>s, solicitación directa y honorarios contingentes. [...] [E]l grupo de abogades WASP —blancos, anglosajones y protestantes— de clase alta que dominaba la ABA y los colegios de abogad</w:t>
      </w:r>
      <w:r w:rsidR="000103CF" w:rsidRPr="009257E7">
        <w:rPr>
          <w:lang w:val="es-ES"/>
        </w:rPr>
        <w:t>o</w:t>
      </w:r>
      <w:r w:rsidRPr="009257E7">
        <w:rPr>
          <w:lang w:val="es-ES"/>
        </w:rPr>
        <w:t xml:space="preserve">s locales </w:t>
      </w:r>
      <w:r w:rsidRPr="009257E7">
        <w:rPr>
          <w:lang w:val="es-ES"/>
        </w:rPr>
        <w:lastRenderedPageBreak/>
        <w:t>adoptó los primeros cánones de ética en respuesta a una amenaza percibida contra la profesión</w:t>
      </w:r>
      <w:r w:rsidR="000103CF" w:rsidRPr="009257E7">
        <w:rPr>
          <w:lang w:val="es-ES"/>
        </w:rPr>
        <w:t>,</w:t>
      </w:r>
      <w:r w:rsidRPr="009257E7">
        <w:rPr>
          <w:lang w:val="es-ES"/>
        </w:rPr>
        <w:t xml:space="preserve"> por la llegada de abogades étni</w:t>
      </w:r>
      <w:r w:rsidR="000103CF" w:rsidRPr="009257E7">
        <w:rPr>
          <w:lang w:val="es-ES"/>
        </w:rPr>
        <w:t>que</w:t>
      </w:r>
      <w:r w:rsidRPr="009257E7">
        <w:rPr>
          <w:lang w:val="es-ES"/>
        </w:rPr>
        <w:t>s e inmigrantes a las ciudades estadounidenses a comienzos del siglo.</w:t>
      </w:r>
    </w:p>
    <w:p w14:paraId="77853D5D" w14:textId="0D75FF85" w:rsidR="00B67976" w:rsidRPr="009257E7" w:rsidRDefault="00B67976" w:rsidP="000103CF">
      <w:pPr>
        <w:pStyle w:val="NormalWeb"/>
        <w:ind w:left="720"/>
        <w:rPr>
          <w:lang w:val="es-ES"/>
        </w:rPr>
      </w:pPr>
      <w:r w:rsidRPr="009257E7">
        <w:rPr>
          <w:lang w:val="es-ES"/>
        </w:rPr>
        <w:t>Aunque les estudiantes deben aprender las reglas, también deberían [...] ver que muchas de estas reglas [...] pueden haber sido diseñadas para subordinar a abogades de castas inferiores, en lugar de prevenir algún daño palpable al público</w:t>
      </w:r>
      <w:r w:rsidR="00C17977" w:rsidRPr="009257E7">
        <w:rPr>
          <w:rStyle w:val="FootnoteReference"/>
          <w:lang w:val="es-ES"/>
        </w:rPr>
        <w:footnoteReference w:id="126"/>
      </w:r>
      <w:r w:rsidRPr="009257E7">
        <w:rPr>
          <w:lang w:val="es-ES"/>
        </w:rPr>
        <w:t>.</w:t>
      </w:r>
    </w:p>
    <w:p w14:paraId="03302378" w14:textId="7645DB8C" w:rsidR="001A27A0" w:rsidRPr="009257E7" w:rsidRDefault="001A27A0" w:rsidP="00B66317">
      <w:pPr>
        <w:pStyle w:val="NormalWeb"/>
        <w:ind w:firstLine="720"/>
        <w:rPr>
          <w:lang w:val="es-ES"/>
        </w:rPr>
      </w:pPr>
      <w:r w:rsidRPr="009257E7">
        <w:rPr>
          <w:lang w:val="es-ES"/>
        </w:rPr>
        <w:t xml:space="preserve">Como señala Jewel, los medios mediante los cuales las facultades de derecho inculcan y reproducen jerarquías sociales y profesionales se extienden más allá de lo curricular </w:t>
      </w:r>
      <w:r w:rsidR="00B66317" w:rsidRPr="009257E7">
        <w:rPr>
          <w:lang w:val="es-ES"/>
        </w:rPr>
        <w:t>y l</w:t>
      </w:r>
      <w:r w:rsidRPr="009257E7">
        <w:rPr>
          <w:lang w:val="es-ES"/>
        </w:rPr>
        <w:t>o institucional. Incluso la apariencia personal, el acento o el comportamiento forman parte de este esquema. Así, las generaciones nuevas son formadas, de manera profunda, para pensar y comportarse con obediencia —“como abogades”—, irónicamente en nombre del pensamiento crítico. Quienes aprenden el derecho —y cómo “pensar como abogade” y “actuar profesionalmente”— lo suficientemente bien en este ambiente cognitivamente disonante reciben recompensas. El éxito profesional en el derecho crea incentivos que animan a les abogades a aprender, internalizar y representar</w:t>
      </w:r>
      <w:r w:rsidR="004D4152" w:rsidRPr="009257E7">
        <w:rPr>
          <w:lang w:val="es-ES"/>
        </w:rPr>
        <w:t>,</w:t>
      </w:r>
      <w:r w:rsidRPr="009257E7">
        <w:rPr>
          <w:lang w:val="es-ES"/>
        </w:rPr>
        <w:t xml:space="preserve"> una y otra vez</w:t>
      </w:r>
      <w:r w:rsidR="004D4152" w:rsidRPr="009257E7">
        <w:rPr>
          <w:lang w:val="es-ES"/>
        </w:rPr>
        <w:t>,</w:t>
      </w:r>
      <w:r w:rsidRPr="009257E7">
        <w:rPr>
          <w:lang w:val="es-ES"/>
        </w:rPr>
        <w:t xml:space="preserve"> las jerarquías sistémicas.</w:t>
      </w:r>
    </w:p>
    <w:p w14:paraId="68CD5A14" w14:textId="4EA46096" w:rsidR="001A27A0" w:rsidRPr="009257E7" w:rsidRDefault="001A27A0" w:rsidP="005577DE">
      <w:pPr>
        <w:pStyle w:val="NormalWeb"/>
        <w:ind w:firstLine="720"/>
        <w:rPr>
          <w:lang w:val="es-ES"/>
        </w:rPr>
      </w:pPr>
      <w:r w:rsidRPr="009257E7">
        <w:rPr>
          <w:lang w:val="es-ES"/>
        </w:rPr>
        <w:t>En 1994, Lani Guinier, Michelle Fine, Jane Balin, Ann Bartow y Deborah Lee Stachel, un grupo interdisciplinario de académicas, ofrecieron una instantánea empírica de “cómo lo hace el sistema”. Detallan el proceso real, cotidiano y continuo de la educación jurídica mediante el cual las mujeres —individualmente y como grupo— aprenden la conformidad en una jerarquía “hostil, elitista y antes exclusivamente masculina”</w:t>
      </w:r>
      <w:r w:rsidR="005577DE" w:rsidRPr="009257E7">
        <w:rPr>
          <w:rStyle w:val="FootnoteReference"/>
          <w:lang w:val="es-ES"/>
        </w:rPr>
        <w:footnoteReference w:id="127"/>
      </w:r>
      <w:r w:rsidRPr="009257E7">
        <w:rPr>
          <w:lang w:val="es-ES"/>
        </w:rPr>
        <w:t>. Sus datos mostraron que la experiencia de las mujeres en las facultades de derecho difería de la de los hombres, y que las mujeres consideradas más “exitosas” tendían a ser aquellas que habían internalizado de forma más completa y acrítica las normas que reflejaban jerarquías de género, raza, clase y otras. Nótese, en sus hallazgos, los papeles generalizados —tanto de fondo como de primer plano, y tanto formales como informales— que desempeñan las identidades, los grupos, los intereses y el poder:</w:t>
      </w:r>
    </w:p>
    <w:p w14:paraId="2905A6E8" w14:textId="77777777" w:rsidR="001A27A0" w:rsidRPr="009257E7" w:rsidRDefault="001A27A0" w:rsidP="005577DE">
      <w:pPr>
        <w:pStyle w:val="NormalWeb"/>
        <w:ind w:left="720"/>
        <w:rPr>
          <w:lang w:val="es-ES"/>
        </w:rPr>
      </w:pPr>
      <w:r w:rsidRPr="009257E7">
        <w:rPr>
          <w:lang w:val="es-ES"/>
        </w:rPr>
        <w:t>[E]</w:t>
      </w:r>
      <w:proofErr w:type="spellStart"/>
      <w:r w:rsidRPr="009257E7">
        <w:rPr>
          <w:lang w:val="es-ES"/>
        </w:rPr>
        <w:t>ncontramos</w:t>
      </w:r>
      <w:proofErr w:type="spellEnd"/>
      <w:r w:rsidRPr="009257E7">
        <w:rPr>
          <w:lang w:val="es-ES"/>
        </w:rPr>
        <w:t xml:space="preserve">, primero, </w:t>
      </w:r>
      <w:proofErr w:type="gramStart"/>
      <w:r w:rsidRPr="009257E7">
        <w:rPr>
          <w:lang w:val="es-ES"/>
        </w:rPr>
        <w:t>que</w:t>
      </w:r>
      <w:proofErr w:type="gramEnd"/>
      <w:r w:rsidRPr="009257E7">
        <w:rPr>
          <w:lang w:val="es-ES"/>
        </w:rPr>
        <w:t xml:space="preserve"> a pesar de credenciales idénticas al ingresar, [...] [a]l final de su primer año en la facultad de derecho, los hombres tienen tres veces más probabilidades que las mujeres de estar en el 10% superior. [...]</w:t>
      </w:r>
    </w:p>
    <w:p w14:paraId="58E0E381" w14:textId="638DF432" w:rsidR="001A27A0" w:rsidRPr="009257E7" w:rsidRDefault="001A27A0" w:rsidP="005577DE">
      <w:pPr>
        <w:pStyle w:val="NormalWeb"/>
        <w:ind w:left="720"/>
        <w:rPr>
          <w:lang w:val="es-ES"/>
        </w:rPr>
      </w:pPr>
      <w:r w:rsidRPr="009257E7">
        <w:rPr>
          <w:lang w:val="es-ES"/>
        </w:rPr>
        <w:t xml:space="preserve">Segundo, encontramos diferencias actitudinales fuertes entre mujeres y hombres en el primer año, y, sin embargo, una homogeneización marcada para el tercer año. [...] Un número desproporcionado de las mujeres que estudiamos </w:t>
      </w:r>
      <w:r w:rsidR="001643E8" w:rsidRPr="009257E7">
        <w:rPr>
          <w:lang w:val="es-ES"/>
        </w:rPr>
        <w:t>accede</w:t>
      </w:r>
      <w:r w:rsidRPr="009257E7">
        <w:rPr>
          <w:lang w:val="es-ES"/>
        </w:rPr>
        <w:t xml:space="preserve"> a la facultad de derecho con compromisos con el derecho de interés público, preparadas para luchar por la justicia social. Pero sus contrapartes femeninas de tercer año salen de la facultad de derecho con ambiciones corporativas y algunos indicios de malestar en la salud mental.</w:t>
      </w:r>
    </w:p>
    <w:p w14:paraId="73AD3D68" w14:textId="205B7D0F" w:rsidR="00964A48" w:rsidRPr="009257E7" w:rsidRDefault="00964A48" w:rsidP="00964A48">
      <w:pPr>
        <w:pStyle w:val="NormalWeb"/>
        <w:ind w:left="720"/>
        <w:rPr>
          <w:lang w:val="es-ES"/>
        </w:rPr>
      </w:pPr>
      <w:r w:rsidRPr="009257E7">
        <w:rPr>
          <w:lang w:val="es-ES"/>
        </w:rPr>
        <w:t xml:space="preserve">En tercer lugar, muchas mujeres se sienten marginadas por la forma en que se utiliza el método socrático en las clases con un gran número de alumnos... Las mujeres declaran </w:t>
      </w:r>
      <w:r w:rsidRPr="009257E7">
        <w:rPr>
          <w:lang w:val="es-ES"/>
        </w:rPr>
        <w:lastRenderedPageBreak/>
        <w:t>tener índices de participación en clase mucho más bajos que los hombres a lo largo de los tres años de la carrera de Derecho... Estas mujeres describen una dinámica en la que sienten que les “robaban” la voz durante el primer año. Algunas se quejan de que ya no reconocen a sus antiguos yo, que han quedado sumergidos en lo que un autor ha denominado un “hombre social” alienado...</w:t>
      </w:r>
    </w:p>
    <w:p w14:paraId="694042C9" w14:textId="0141154B" w:rsidR="001A27A0" w:rsidRPr="009257E7" w:rsidRDefault="001A27A0" w:rsidP="005577DE">
      <w:pPr>
        <w:pStyle w:val="NormalWeb"/>
        <w:ind w:left="720"/>
        <w:rPr>
          <w:lang w:val="es-ES"/>
        </w:rPr>
      </w:pPr>
      <w:r w:rsidRPr="009257E7">
        <w:rPr>
          <w:lang w:val="es-ES"/>
        </w:rPr>
        <w:t xml:space="preserve">Incluso las mujeres que tienen buen desempeño académico reportan un grado mayor de </w:t>
      </w:r>
      <w:r w:rsidR="00F96035" w:rsidRPr="009257E7">
        <w:rPr>
          <w:lang w:val="es-ES"/>
        </w:rPr>
        <w:t>marginalización</w:t>
      </w:r>
      <w:r w:rsidRPr="009257E7">
        <w:rPr>
          <w:lang w:val="es-ES"/>
        </w:rPr>
        <w:t xml:space="preserve"> frente a la facultad de derecho que sus contrapartes masculinas, en parte </w:t>
      </w:r>
      <w:r w:rsidR="00F96035" w:rsidRPr="009257E7">
        <w:rPr>
          <w:lang w:val="es-ES"/>
        </w:rPr>
        <w:t>debido a</w:t>
      </w:r>
      <w:r w:rsidRPr="009257E7">
        <w:rPr>
          <w:lang w:val="es-ES"/>
        </w:rPr>
        <w:t xml:space="preserve"> [la comprensión de que] aprender a pensar como abogad</w:t>
      </w:r>
      <w:r w:rsidR="00F96035" w:rsidRPr="009257E7">
        <w:rPr>
          <w:lang w:val="es-ES"/>
        </w:rPr>
        <w:t>a</w:t>
      </w:r>
      <w:r w:rsidRPr="009257E7">
        <w:rPr>
          <w:lang w:val="es-ES"/>
        </w:rPr>
        <w:t xml:space="preserve"> significa aprender a pensar y actuar como hombre. Como dijo un profesor hombre a una clase de primer año: “</w:t>
      </w:r>
      <w:r w:rsidR="00634DC3" w:rsidRPr="009257E7">
        <w:rPr>
          <w:lang w:val="es-ES"/>
        </w:rPr>
        <w:t>P</w:t>
      </w:r>
      <w:r w:rsidRPr="009257E7">
        <w:rPr>
          <w:lang w:val="es-ES"/>
        </w:rPr>
        <w:t>ara ser un buen abogado, compórtese como un caballero”.</w:t>
      </w:r>
    </w:p>
    <w:p w14:paraId="614F08E3" w14:textId="5064D60B" w:rsidR="001A27A0" w:rsidRPr="009257E7" w:rsidRDefault="001A27A0" w:rsidP="005577DE">
      <w:pPr>
        <w:pStyle w:val="NormalWeb"/>
        <w:ind w:left="720"/>
        <w:rPr>
          <w:lang w:val="es-ES"/>
        </w:rPr>
      </w:pPr>
      <w:r w:rsidRPr="009257E7">
        <w:rPr>
          <w:lang w:val="es-ES"/>
        </w:rPr>
        <w:t xml:space="preserve">Finalmente, documentamos consecuencias materiales sustanciales para aquellas mujeres que salen de la facultad de derecho </w:t>
      </w:r>
      <w:r w:rsidR="00634DC3" w:rsidRPr="009257E7">
        <w:rPr>
          <w:lang w:val="es-ES"/>
        </w:rPr>
        <w:t>tra</w:t>
      </w:r>
      <w:r w:rsidRPr="009257E7">
        <w:rPr>
          <w:lang w:val="es-ES"/>
        </w:rPr>
        <w:t xml:space="preserve">s </w:t>
      </w:r>
      <w:r w:rsidR="00634DC3" w:rsidRPr="009257E7">
        <w:rPr>
          <w:lang w:val="es-ES"/>
        </w:rPr>
        <w:t>haber</w:t>
      </w:r>
      <w:r w:rsidRPr="009257E7">
        <w:rPr>
          <w:lang w:val="es-ES"/>
        </w:rPr>
        <w:t xml:space="preserve"> </w:t>
      </w:r>
      <w:r w:rsidR="00634DC3" w:rsidRPr="009257E7">
        <w:rPr>
          <w:lang w:val="es-ES"/>
        </w:rPr>
        <w:t>atravesado</w:t>
      </w:r>
      <w:r w:rsidRPr="009257E7">
        <w:rPr>
          <w:lang w:val="es-ES"/>
        </w:rPr>
        <w:t xml:space="preserve"> lo que describen como una crisis de identidad. Estas mujeres se gradúan con credenciales académicas menos competitivas, no están representadas de manera igualitaria dentro de las jerarquías académicas y sociales de la facultad de derecho, y aparentemente son menos competitivas para obtener empleos prestigiosos o deseables después de la graduación.</w:t>
      </w:r>
    </w:p>
    <w:p w14:paraId="3014CD93" w14:textId="345EE4C2" w:rsidR="001A27A0" w:rsidRPr="009257E7" w:rsidRDefault="001A27A0" w:rsidP="005577DE">
      <w:pPr>
        <w:pStyle w:val="NormalWeb"/>
        <w:ind w:left="720"/>
        <w:rPr>
          <w:lang w:val="es-ES"/>
        </w:rPr>
      </w:pPr>
      <w:r w:rsidRPr="009257E7">
        <w:rPr>
          <w:lang w:val="es-ES"/>
        </w:rPr>
        <w:t>[...] [N]os inclinamos a creer que es la facultad de derecho —no las mujeres— la que debe cambiar. De hecho, los cambios a la estructura existente de la facultad de derecho podrían mejorar la calidad de la educación jurídica para todes les estudiantes</w:t>
      </w:r>
      <w:r w:rsidR="00CB1E5A" w:rsidRPr="009257E7">
        <w:rPr>
          <w:rStyle w:val="FootnoteReference"/>
          <w:lang w:val="es-ES"/>
        </w:rPr>
        <w:footnoteReference w:id="128"/>
      </w:r>
      <w:r w:rsidRPr="009257E7">
        <w:rPr>
          <w:lang w:val="es-ES"/>
        </w:rPr>
        <w:t>.</w:t>
      </w:r>
    </w:p>
    <w:p w14:paraId="291F4377" w14:textId="49C29558" w:rsidR="001A27A0" w:rsidRPr="009257E7" w:rsidRDefault="001A27A0" w:rsidP="00CB1E5A">
      <w:pPr>
        <w:pStyle w:val="NormalWeb"/>
        <w:ind w:firstLine="720"/>
        <w:rPr>
          <w:lang w:val="es-ES"/>
        </w:rPr>
      </w:pPr>
      <w:r w:rsidRPr="009257E7">
        <w:rPr>
          <w:lang w:val="es-ES"/>
        </w:rPr>
        <w:t xml:space="preserve">Las autoras concluyeron que las facultades de derecho no solo reproducen las estratificaciones sociales, sino que </w:t>
      </w:r>
      <w:r w:rsidR="00CB1E5A" w:rsidRPr="009257E7">
        <w:rPr>
          <w:lang w:val="es-ES"/>
        </w:rPr>
        <w:t xml:space="preserve">también </w:t>
      </w:r>
      <w:r w:rsidRPr="009257E7">
        <w:rPr>
          <w:lang w:val="es-ES"/>
        </w:rPr>
        <w:t xml:space="preserve">las “crean y legitiman”. Si esto es así, la educación jurídica formal funciona como una pieza clave de los sistemas de casta arraigados, y se necesitan reformas formales e informales </w:t>
      </w:r>
      <w:r w:rsidR="00CB1E5A" w:rsidRPr="009257E7">
        <w:rPr>
          <w:lang w:val="es-ES"/>
        </w:rPr>
        <w:t>tanto en</w:t>
      </w:r>
      <w:r w:rsidRPr="009257E7">
        <w:rPr>
          <w:lang w:val="es-ES"/>
        </w:rPr>
        <w:t xml:space="preserve"> las prácticas dentro del salón de clases </w:t>
      </w:r>
      <w:r w:rsidR="00CB1E5A" w:rsidRPr="009257E7">
        <w:rPr>
          <w:lang w:val="es-ES"/>
        </w:rPr>
        <w:t>como</w:t>
      </w:r>
      <w:r w:rsidRPr="009257E7">
        <w:rPr>
          <w:lang w:val="es-ES"/>
        </w:rPr>
        <w:t xml:space="preserve"> </w:t>
      </w:r>
      <w:r w:rsidR="00CB1E5A" w:rsidRPr="009257E7">
        <w:rPr>
          <w:lang w:val="es-ES"/>
        </w:rPr>
        <w:t>en</w:t>
      </w:r>
      <w:r w:rsidRPr="009257E7">
        <w:rPr>
          <w:lang w:val="es-ES"/>
        </w:rPr>
        <w:t xml:space="preserve"> los programas extracurriculares. Las soluciones técnicas por sí solas, como la “diversidad” en la cima, son demasiado “simples” para producir resultados transformadores. Para ser efectivas, las reformas de la educación jurídica deben mejorar las condiciones institucionales que les estudiantes de grupos subordinados, o sus abogades, muestran como opresivas.</w:t>
      </w:r>
    </w:p>
    <w:p w14:paraId="2F6BF583" w14:textId="74EB86BC" w:rsidR="001A27A0" w:rsidRPr="009257E7" w:rsidRDefault="001A27A0" w:rsidP="00CB1E5A">
      <w:pPr>
        <w:pStyle w:val="NormalWeb"/>
        <w:ind w:firstLine="720"/>
        <w:rPr>
          <w:lang w:val="es-ES"/>
        </w:rPr>
      </w:pPr>
      <w:r w:rsidRPr="009257E7">
        <w:rPr>
          <w:lang w:val="es-ES"/>
        </w:rPr>
        <w:t>Estos no son informes aislados de Estados Unidos. Un estudio de 2018</w:t>
      </w:r>
      <w:r w:rsidR="00CB1E5A" w:rsidRPr="009257E7">
        <w:rPr>
          <w:lang w:val="es-ES"/>
        </w:rPr>
        <w:t>,</w:t>
      </w:r>
      <w:r w:rsidRPr="009257E7">
        <w:rPr>
          <w:lang w:val="es-ES"/>
        </w:rPr>
        <w:t xml:space="preserve"> en el Reino Unido</w:t>
      </w:r>
      <w:r w:rsidR="00CB1E5A" w:rsidRPr="009257E7">
        <w:rPr>
          <w:lang w:val="es-ES"/>
        </w:rPr>
        <w:t>,</w:t>
      </w:r>
      <w:r w:rsidRPr="009257E7">
        <w:rPr>
          <w:lang w:val="es-ES"/>
        </w:rPr>
        <w:t xml:space="preserve"> encontró que l</w:t>
      </w:r>
      <w:r w:rsidR="00EE1E2A" w:rsidRPr="009257E7">
        <w:rPr>
          <w:lang w:val="es-ES"/>
        </w:rPr>
        <w:t>o</w:t>
      </w:r>
      <w:r w:rsidRPr="009257E7">
        <w:rPr>
          <w:lang w:val="es-ES"/>
        </w:rPr>
        <w:t xml:space="preserve">s </w:t>
      </w:r>
      <w:proofErr w:type="gramStart"/>
      <w:r w:rsidRPr="009257E7">
        <w:rPr>
          <w:lang w:val="es-ES"/>
        </w:rPr>
        <w:t>asociad</w:t>
      </w:r>
      <w:r w:rsidR="00EE1E2A" w:rsidRPr="009257E7">
        <w:rPr>
          <w:lang w:val="es-ES"/>
        </w:rPr>
        <w:t>o</w:t>
      </w:r>
      <w:r w:rsidRPr="009257E7">
        <w:rPr>
          <w:lang w:val="es-ES"/>
        </w:rPr>
        <w:t>s júnior</w:t>
      </w:r>
      <w:proofErr w:type="gramEnd"/>
      <w:r w:rsidRPr="009257E7">
        <w:rPr>
          <w:lang w:val="es-ES"/>
        </w:rPr>
        <w:t xml:space="preserve"> de grandes bufetes que “eran percibid</w:t>
      </w:r>
      <w:r w:rsidR="00EE1E2A" w:rsidRPr="009257E7">
        <w:rPr>
          <w:lang w:val="es-ES"/>
        </w:rPr>
        <w:t>o</w:t>
      </w:r>
      <w:r w:rsidRPr="009257E7">
        <w:rPr>
          <w:lang w:val="es-ES"/>
        </w:rPr>
        <w:t xml:space="preserve">s como diferentes” debido a su trasfondo de clase sufrían microagresiones rutinarias que se traducían en peores perspectivas de avance profesional. A </w:t>
      </w:r>
      <w:r w:rsidR="00EE1E2A" w:rsidRPr="009257E7">
        <w:rPr>
          <w:lang w:val="es-ES"/>
        </w:rPr>
        <w:t>los asociados júnior de trasfondos socioeconómicos más bajos se les hacía sentir que no “encajaban” en la cultura del bufete debido a sus acentos, dicción, asociaciones escolares o a la falta de familiaridad con pasatiempos de personas adineradas, como “esquiar” o “vacaciones</w:t>
      </w:r>
      <w:r w:rsidRPr="009257E7">
        <w:rPr>
          <w:lang w:val="es-ES"/>
        </w:rPr>
        <w:t xml:space="preserve"> exóticas”. Est</w:t>
      </w:r>
      <w:r w:rsidR="00EE1E2A" w:rsidRPr="009257E7">
        <w:rPr>
          <w:lang w:val="es-ES"/>
        </w:rPr>
        <w:t>o</w:t>
      </w:r>
      <w:r w:rsidRPr="009257E7">
        <w:rPr>
          <w:lang w:val="es-ES"/>
        </w:rPr>
        <w:t xml:space="preserve">s </w:t>
      </w:r>
      <w:proofErr w:type="gramStart"/>
      <w:r w:rsidRPr="009257E7">
        <w:rPr>
          <w:lang w:val="es-ES"/>
        </w:rPr>
        <w:t>asociad</w:t>
      </w:r>
      <w:r w:rsidR="00EE1E2A" w:rsidRPr="009257E7">
        <w:rPr>
          <w:lang w:val="es-ES"/>
        </w:rPr>
        <w:t>o</w:t>
      </w:r>
      <w:r w:rsidRPr="009257E7">
        <w:rPr>
          <w:lang w:val="es-ES"/>
        </w:rPr>
        <w:t>s júnior</w:t>
      </w:r>
      <w:proofErr w:type="gramEnd"/>
      <w:r w:rsidRPr="009257E7">
        <w:rPr>
          <w:lang w:val="es-ES"/>
        </w:rPr>
        <w:t xml:space="preserve"> con menos recursos recibían evaluaciones de desempeño más altas que sus pares de trasfondos más acomodados, pero </w:t>
      </w:r>
      <w:r w:rsidR="00EE1E2A" w:rsidRPr="009257E7">
        <w:rPr>
          <w:lang w:val="es-ES"/>
        </w:rPr>
        <w:t>ascend</w:t>
      </w:r>
      <w:r w:rsidRPr="009257E7">
        <w:rPr>
          <w:lang w:val="es-ES"/>
        </w:rPr>
        <w:t xml:space="preserve">ían menos y tenían más probabilidades de abandonar el bufete </w:t>
      </w:r>
      <w:r w:rsidR="00EE1E2A" w:rsidRPr="009257E7">
        <w:rPr>
          <w:lang w:val="es-ES"/>
        </w:rPr>
        <w:t>más</w:t>
      </w:r>
      <w:r w:rsidRPr="009257E7">
        <w:rPr>
          <w:lang w:val="es-ES"/>
        </w:rPr>
        <w:t xml:space="preserve"> r</w:t>
      </w:r>
      <w:r w:rsidR="00EE1E2A" w:rsidRPr="009257E7">
        <w:rPr>
          <w:lang w:val="es-ES"/>
        </w:rPr>
        <w:t>ápido</w:t>
      </w:r>
      <w:r w:rsidRPr="009257E7">
        <w:rPr>
          <w:lang w:val="es-ES"/>
        </w:rPr>
        <w:t>. L</w:t>
      </w:r>
      <w:r w:rsidR="00B7730D" w:rsidRPr="009257E7">
        <w:rPr>
          <w:lang w:val="es-ES"/>
        </w:rPr>
        <w:t>o</w:t>
      </w:r>
      <w:r w:rsidRPr="009257E7">
        <w:rPr>
          <w:lang w:val="es-ES"/>
        </w:rPr>
        <w:t>s líderes de los bufetes justificaban esta divergencia en el avance profesional al evaluar a l</w:t>
      </w:r>
      <w:r w:rsidR="00B7730D" w:rsidRPr="009257E7">
        <w:rPr>
          <w:lang w:val="es-ES"/>
        </w:rPr>
        <w:t>o</w:t>
      </w:r>
      <w:r w:rsidRPr="009257E7">
        <w:rPr>
          <w:lang w:val="es-ES"/>
        </w:rPr>
        <w:t>s asociad</w:t>
      </w:r>
      <w:r w:rsidR="00B7730D" w:rsidRPr="009257E7">
        <w:rPr>
          <w:lang w:val="es-ES"/>
        </w:rPr>
        <w:t>o</w:t>
      </w:r>
      <w:r w:rsidRPr="009257E7">
        <w:rPr>
          <w:lang w:val="es-ES"/>
        </w:rPr>
        <w:t>s de trasfondos más ricos como personas más “seguras”, “carismáticas” o con m</w:t>
      </w:r>
      <w:r w:rsidR="00B7730D" w:rsidRPr="009257E7">
        <w:rPr>
          <w:lang w:val="es-ES"/>
        </w:rPr>
        <w:t>ayor</w:t>
      </w:r>
      <w:r w:rsidRPr="009257E7">
        <w:rPr>
          <w:lang w:val="es-ES"/>
        </w:rPr>
        <w:t xml:space="preserve"> </w:t>
      </w:r>
      <w:r w:rsidRPr="009257E7">
        <w:rPr>
          <w:lang w:val="es-ES"/>
        </w:rPr>
        <w:lastRenderedPageBreak/>
        <w:t xml:space="preserve">“gravitas”. Estas supuestas cualidades de “liderazgo” demostraron ser sustitutos de clase, a la vez que se superponían de manera significativa </w:t>
      </w:r>
      <w:r w:rsidR="00B7730D" w:rsidRPr="009257E7">
        <w:rPr>
          <w:lang w:val="es-ES"/>
        </w:rPr>
        <w:t>a</w:t>
      </w:r>
      <w:r w:rsidRPr="009257E7">
        <w:rPr>
          <w:lang w:val="es-ES"/>
        </w:rPr>
        <w:t xml:space="preserve"> la raza, </w:t>
      </w:r>
      <w:r w:rsidR="00B7730D" w:rsidRPr="009257E7">
        <w:rPr>
          <w:lang w:val="es-ES"/>
        </w:rPr>
        <w:t>a</w:t>
      </w:r>
      <w:r w:rsidRPr="009257E7">
        <w:rPr>
          <w:lang w:val="es-ES"/>
        </w:rPr>
        <w:t>l género y</w:t>
      </w:r>
      <w:r w:rsidR="00B7730D" w:rsidRPr="009257E7">
        <w:rPr>
          <w:lang w:val="es-ES"/>
        </w:rPr>
        <w:t xml:space="preserve"> a</w:t>
      </w:r>
      <w:r w:rsidRPr="009257E7">
        <w:rPr>
          <w:lang w:val="es-ES"/>
        </w:rPr>
        <w:t xml:space="preserve"> otras identidades. El informe señaló la complicidad de l</w:t>
      </w:r>
      <w:r w:rsidR="00B7730D" w:rsidRPr="009257E7">
        <w:rPr>
          <w:lang w:val="es-ES"/>
        </w:rPr>
        <w:t>o</w:t>
      </w:r>
      <w:r w:rsidRPr="009257E7">
        <w:rPr>
          <w:lang w:val="es-ES"/>
        </w:rPr>
        <w:t>s líderes de los bufetes en la creación de exclusiones basadas en la clase</w:t>
      </w:r>
      <w:r w:rsidR="00B7730D" w:rsidRPr="009257E7">
        <w:rPr>
          <w:lang w:val="es-ES"/>
        </w:rPr>
        <w:t>, así</w:t>
      </w:r>
      <w:r w:rsidRPr="009257E7">
        <w:rPr>
          <w:lang w:val="es-ES"/>
        </w:rPr>
        <w:t xml:space="preserve"> </w:t>
      </w:r>
      <w:r w:rsidR="00B7730D" w:rsidRPr="009257E7">
        <w:rPr>
          <w:lang w:val="es-ES"/>
        </w:rPr>
        <w:t>com</w:t>
      </w:r>
      <w:r w:rsidRPr="009257E7">
        <w:rPr>
          <w:lang w:val="es-ES"/>
        </w:rPr>
        <w:t xml:space="preserve">o su complacencia al no corregirlas. A través de todas las fronteras, los bufetes siguen priorizando la apariencia y los modales asociados con una cultura acomodada, </w:t>
      </w:r>
      <w:proofErr w:type="gramStart"/>
      <w:r w:rsidRPr="009257E7">
        <w:rPr>
          <w:lang w:val="es-ES"/>
        </w:rPr>
        <w:t>mayormente blanca y mayormente masculina</w:t>
      </w:r>
      <w:proofErr w:type="gramEnd"/>
      <w:r w:rsidRPr="009257E7">
        <w:rPr>
          <w:lang w:val="es-ES"/>
        </w:rPr>
        <w:t xml:space="preserve">, y la clase rara vez se menciona en las discusiones sobre “diversidad” representativa o sobre los ambientes </w:t>
      </w:r>
      <w:proofErr w:type="spellStart"/>
      <w:r w:rsidRPr="009257E7">
        <w:rPr>
          <w:lang w:val="es-ES"/>
        </w:rPr>
        <w:t>microagresivos</w:t>
      </w:r>
      <w:proofErr w:type="spellEnd"/>
      <w:r w:rsidRPr="009257E7">
        <w:rPr>
          <w:lang w:val="es-ES"/>
        </w:rPr>
        <w:t xml:space="preserve"> de las instituciones jurídicas</w:t>
      </w:r>
      <w:r w:rsidR="0052156B" w:rsidRPr="009257E7">
        <w:rPr>
          <w:rStyle w:val="FootnoteReference"/>
          <w:lang w:val="es-ES"/>
        </w:rPr>
        <w:footnoteReference w:id="129"/>
      </w:r>
      <w:r w:rsidRPr="009257E7">
        <w:rPr>
          <w:lang w:val="es-ES"/>
        </w:rPr>
        <w:t>.</w:t>
      </w:r>
    </w:p>
    <w:p w14:paraId="59E192B0" w14:textId="77777777" w:rsidR="0052156B" w:rsidRPr="009257E7" w:rsidRDefault="001A27A0" w:rsidP="0052156B">
      <w:pPr>
        <w:pStyle w:val="NormalWeb"/>
        <w:ind w:firstLine="720"/>
        <w:rPr>
          <w:b/>
          <w:bCs/>
          <w:lang w:val="es-ES"/>
        </w:rPr>
      </w:pPr>
      <w:r w:rsidRPr="009257E7">
        <w:rPr>
          <w:lang w:val="es-ES"/>
        </w:rPr>
        <w:t xml:space="preserve">Tomadas en conjunto, estas perspectivas explican cómo y por qué la educación jurídica funciona como un componente clave del derecho como industria conformista, basada en la identidad y </w:t>
      </w:r>
      <w:r w:rsidR="0052156B" w:rsidRPr="009257E7">
        <w:rPr>
          <w:lang w:val="es-ES"/>
        </w:rPr>
        <w:t>orientada a</w:t>
      </w:r>
      <w:r w:rsidRPr="009257E7">
        <w:rPr>
          <w:lang w:val="es-ES"/>
        </w:rPr>
        <w:t xml:space="preserve"> fines de lucro. Al usar esta información crítica desde abajo, les aprendices pueden desaprender y reaprender los modos, </w:t>
      </w:r>
      <w:r w:rsidR="0052156B" w:rsidRPr="009257E7">
        <w:rPr>
          <w:lang w:val="es-ES"/>
        </w:rPr>
        <w:t xml:space="preserve">los </w:t>
      </w:r>
      <w:r w:rsidRPr="009257E7">
        <w:rPr>
          <w:lang w:val="es-ES"/>
        </w:rPr>
        <w:t xml:space="preserve">medios y </w:t>
      </w:r>
      <w:r w:rsidR="0052156B" w:rsidRPr="009257E7">
        <w:rPr>
          <w:lang w:val="es-ES"/>
        </w:rPr>
        <w:t xml:space="preserve">los </w:t>
      </w:r>
      <w:r w:rsidRPr="009257E7">
        <w:rPr>
          <w:lang w:val="es-ES"/>
        </w:rPr>
        <w:t xml:space="preserve">fines de la educación jurídica formal. Mediante las </w:t>
      </w:r>
      <w:proofErr w:type="spellStart"/>
      <w:r w:rsidRPr="009257E7">
        <w:rPr>
          <w:lang w:val="es-ES"/>
        </w:rPr>
        <w:t>contraprácticas</w:t>
      </w:r>
      <w:proofErr w:type="spellEnd"/>
      <w:r w:rsidRPr="009257E7">
        <w:rPr>
          <w:lang w:val="es-ES"/>
        </w:rPr>
        <w:t xml:space="preserve"> cotidianas de la abogacía sistémica, estudiantes, graduades y otras personas pueden comenzar a trascender las vendas, </w:t>
      </w:r>
      <w:r w:rsidR="0052156B" w:rsidRPr="009257E7">
        <w:rPr>
          <w:lang w:val="es-ES"/>
        </w:rPr>
        <w:t xml:space="preserve">las </w:t>
      </w:r>
      <w:r w:rsidRPr="009257E7">
        <w:rPr>
          <w:lang w:val="es-ES"/>
        </w:rPr>
        <w:t xml:space="preserve">esposas y </w:t>
      </w:r>
      <w:r w:rsidR="0052156B" w:rsidRPr="009257E7">
        <w:rPr>
          <w:lang w:val="es-ES"/>
        </w:rPr>
        <w:t xml:space="preserve">las </w:t>
      </w:r>
      <w:r w:rsidRPr="009257E7">
        <w:rPr>
          <w:lang w:val="es-ES"/>
        </w:rPr>
        <w:t xml:space="preserve">jerarquías de esta industria. Al trabajar de manera personal y colectiva, les abogades pueden perforar progresivamente las fachadas formalistas de </w:t>
      </w:r>
      <w:r w:rsidR="0052156B" w:rsidRPr="009257E7">
        <w:rPr>
          <w:lang w:val="es-ES"/>
        </w:rPr>
        <w:t xml:space="preserve">la </w:t>
      </w:r>
      <w:r w:rsidRPr="009257E7">
        <w:rPr>
          <w:lang w:val="es-ES"/>
        </w:rPr>
        <w:t>igualdad y hacer que el derecho sea más consonante con la justicia igualitaria.</w:t>
      </w:r>
      <w:bookmarkEnd w:id="26"/>
      <w:r w:rsidR="0052156B" w:rsidRPr="009257E7">
        <w:rPr>
          <w:lang w:val="es-ES"/>
        </w:rPr>
        <w:br/>
      </w:r>
      <w:r w:rsidR="008F5B70" w:rsidRPr="009257E7">
        <w:rPr>
          <w:b/>
          <w:bCs/>
          <w:lang w:val="es-ES"/>
        </w:rPr>
        <w:br/>
        <w:t>3.3 El formalismo jurídico ciega el análisis de forma selectiva para ocultar la injusticia sistémica en operación</w:t>
      </w:r>
    </w:p>
    <w:p w14:paraId="61F868C7" w14:textId="3825FD7C" w:rsidR="00260636" w:rsidRPr="009257E7" w:rsidRDefault="00260636" w:rsidP="00601A66">
      <w:pPr>
        <w:pStyle w:val="NormalWeb"/>
        <w:ind w:firstLine="720"/>
        <w:rPr>
          <w:lang w:val="es-ES"/>
        </w:rPr>
      </w:pPr>
      <w:r w:rsidRPr="009257E7">
        <w:rPr>
          <w:lang w:val="es-ES"/>
        </w:rPr>
        <w:t xml:space="preserve">Hace más de un siglo, Christopher Columbus Langdell creó el llamado “método de casos”, que se </w:t>
      </w:r>
      <w:r w:rsidR="00813BF8" w:rsidRPr="009257E7">
        <w:rPr>
          <w:lang w:val="es-ES"/>
        </w:rPr>
        <w:t>centr</w:t>
      </w:r>
      <w:r w:rsidRPr="009257E7">
        <w:rPr>
          <w:lang w:val="es-ES"/>
        </w:rPr>
        <w:t xml:space="preserve">a en el diálogo socrático entre docente y estudiante de derecho, enmarcado </w:t>
      </w:r>
      <w:r w:rsidR="00813BF8" w:rsidRPr="009257E7">
        <w:rPr>
          <w:lang w:val="es-ES"/>
        </w:rPr>
        <w:t>en</w:t>
      </w:r>
      <w:r w:rsidRPr="009257E7">
        <w:rPr>
          <w:lang w:val="es-ES"/>
        </w:rPr>
        <w:t xml:space="preserve"> el individualismo jurídico. Este método </w:t>
      </w:r>
      <w:r w:rsidR="00813BF8" w:rsidRPr="009257E7">
        <w:rPr>
          <w:lang w:val="es-ES"/>
        </w:rPr>
        <w:t>lleva</w:t>
      </w:r>
      <w:r w:rsidRPr="009257E7">
        <w:rPr>
          <w:lang w:val="es-ES"/>
        </w:rPr>
        <w:t xml:space="preserve"> a l</w:t>
      </w:r>
      <w:r w:rsidR="00813BF8" w:rsidRPr="009257E7">
        <w:rPr>
          <w:lang w:val="es-ES"/>
        </w:rPr>
        <w:t>o</w:t>
      </w:r>
      <w:r w:rsidRPr="009257E7">
        <w:rPr>
          <w:lang w:val="es-ES"/>
        </w:rPr>
        <w:t xml:space="preserve">s estudiantes de derecho en Estados Unidos a estudiar las minucias de las opiniones </w:t>
      </w:r>
      <w:r w:rsidR="00452F88" w:rsidRPr="009257E7">
        <w:rPr>
          <w:lang w:val="es-ES"/>
        </w:rPr>
        <w:t>emiti</w:t>
      </w:r>
      <w:r w:rsidRPr="009257E7">
        <w:rPr>
          <w:lang w:val="es-ES"/>
        </w:rPr>
        <w:t xml:space="preserve">das </w:t>
      </w:r>
      <w:r w:rsidR="00813BF8" w:rsidRPr="009257E7">
        <w:rPr>
          <w:lang w:val="es-ES"/>
        </w:rPr>
        <w:t>por</w:t>
      </w:r>
      <w:r w:rsidR="00CE5069" w:rsidRPr="009257E7">
        <w:rPr>
          <w:lang w:val="es-ES"/>
        </w:rPr>
        <w:t xml:space="preserve"> los</w:t>
      </w:r>
      <w:r w:rsidRPr="009257E7">
        <w:rPr>
          <w:lang w:val="es-ES"/>
        </w:rPr>
        <w:t xml:space="preserve"> jueces </w:t>
      </w:r>
      <w:r w:rsidR="00813BF8" w:rsidRPr="009257E7">
        <w:rPr>
          <w:lang w:val="es-ES"/>
        </w:rPr>
        <w:t>de apelación</w:t>
      </w:r>
      <w:r w:rsidRPr="009257E7">
        <w:rPr>
          <w:lang w:val="es-ES"/>
        </w:rPr>
        <w:t xml:space="preserve"> y su</w:t>
      </w:r>
      <w:r w:rsidR="00452F88" w:rsidRPr="009257E7">
        <w:rPr>
          <w:lang w:val="es-ES"/>
        </w:rPr>
        <w:t xml:space="preserve"> (presunta)</w:t>
      </w:r>
      <w:r w:rsidRPr="009257E7">
        <w:rPr>
          <w:lang w:val="es-ES"/>
        </w:rPr>
        <w:t xml:space="preserve"> lógica interna. </w:t>
      </w:r>
      <w:r w:rsidR="001F1AC2" w:rsidRPr="009257E7">
        <w:rPr>
          <w:lang w:val="es-ES"/>
        </w:rPr>
        <w:t>Los</w:t>
      </w:r>
      <w:r w:rsidRPr="009257E7">
        <w:rPr>
          <w:lang w:val="es-ES"/>
        </w:rPr>
        <w:t xml:space="preserve"> aprendices de </w:t>
      </w:r>
      <w:r w:rsidR="001F1AC2" w:rsidRPr="009257E7">
        <w:rPr>
          <w:lang w:val="es-ES"/>
        </w:rPr>
        <w:t>re</w:t>
      </w:r>
      <w:r w:rsidRPr="009257E7">
        <w:rPr>
          <w:lang w:val="es-ES"/>
        </w:rPr>
        <w:t>solución de problemas —al igual que les jueces apelativos— pueden quedar aislad</w:t>
      </w:r>
      <w:r w:rsidR="001F1AC2" w:rsidRPr="009257E7">
        <w:rPr>
          <w:lang w:val="es-ES"/>
        </w:rPr>
        <w:t>o</w:t>
      </w:r>
      <w:r w:rsidRPr="009257E7">
        <w:rPr>
          <w:lang w:val="es-ES"/>
        </w:rPr>
        <w:t>s de las realidades sociales:</w:t>
      </w:r>
      <w:r w:rsidR="00813BF8" w:rsidRPr="009257E7">
        <w:rPr>
          <w:lang w:val="es-ES"/>
        </w:rPr>
        <w:t xml:space="preserve"> </w:t>
      </w:r>
    </w:p>
    <w:p w14:paraId="11D897CD" w14:textId="6CF2E904" w:rsidR="00260636" w:rsidRPr="009257E7" w:rsidRDefault="00260636" w:rsidP="001F1AC2">
      <w:pPr>
        <w:pStyle w:val="NormalWeb"/>
        <w:ind w:left="720"/>
        <w:rPr>
          <w:lang w:val="es-ES"/>
        </w:rPr>
      </w:pPr>
      <w:r w:rsidRPr="009257E7">
        <w:rPr>
          <w:lang w:val="es-ES"/>
        </w:rPr>
        <w:t xml:space="preserve">Les </w:t>
      </w:r>
      <w:proofErr w:type="spellStart"/>
      <w:r w:rsidRPr="009257E7">
        <w:rPr>
          <w:lang w:val="es-ES"/>
        </w:rPr>
        <w:t>académicxs</w:t>
      </w:r>
      <w:proofErr w:type="spellEnd"/>
      <w:r w:rsidRPr="009257E7">
        <w:rPr>
          <w:lang w:val="es-ES"/>
        </w:rPr>
        <w:t xml:space="preserve"> </w:t>
      </w:r>
      <w:proofErr w:type="spellStart"/>
      <w:r w:rsidRPr="009257E7">
        <w:rPr>
          <w:lang w:val="es-ES"/>
        </w:rPr>
        <w:t>langdellianes</w:t>
      </w:r>
      <w:proofErr w:type="spellEnd"/>
      <w:r w:rsidRPr="009257E7">
        <w:rPr>
          <w:lang w:val="es-ES"/>
        </w:rPr>
        <w:t xml:space="preserve"> comenzaban ya fuera por establecer, en abstracto, un número pequeño de principios axiomáticos, o por analizar una serie de casos para descubrir, mediante razonamiento inductivo, los principios axiomáticos necesarios. Esos principios podían entonces gobernar todas las disputas posibles dentro del </w:t>
      </w:r>
      <w:r w:rsidR="00D44081" w:rsidRPr="009257E7">
        <w:rPr>
          <w:lang w:val="es-ES"/>
        </w:rPr>
        <w:t>ámbit</w:t>
      </w:r>
      <w:r w:rsidRPr="009257E7">
        <w:rPr>
          <w:lang w:val="es-ES"/>
        </w:rPr>
        <w:t xml:space="preserve">o pertinente del derecho. Las reglas jurídicas más específicas y las resoluciones correctas de los asuntos jurídicos podían deducirse, mediante razonamiento lógico abstracto, a partir de los principios. En última instancia, el </w:t>
      </w:r>
      <w:proofErr w:type="spellStart"/>
      <w:r w:rsidRPr="009257E7">
        <w:rPr>
          <w:rStyle w:val="Emphasis"/>
          <w:lang w:val="es-ES"/>
        </w:rPr>
        <w:t>common</w:t>
      </w:r>
      <w:proofErr w:type="spellEnd"/>
      <w:r w:rsidRPr="009257E7">
        <w:rPr>
          <w:rStyle w:val="Emphasis"/>
          <w:lang w:val="es-ES"/>
        </w:rPr>
        <w:t xml:space="preserve"> </w:t>
      </w:r>
      <w:proofErr w:type="spellStart"/>
      <w:r w:rsidRPr="009257E7">
        <w:rPr>
          <w:rStyle w:val="Emphasis"/>
          <w:lang w:val="es-ES"/>
        </w:rPr>
        <w:t>law</w:t>
      </w:r>
      <w:proofErr w:type="spellEnd"/>
      <w:r w:rsidRPr="009257E7">
        <w:rPr>
          <w:lang w:val="es-ES"/>
        </w:rPr>
        <w:t xml:space="preserve"> podía organizarse lógicamente en un sistema formal y conceptualmente ordenado.</w:t>
      </w:r>
      <w:r w:rsidR="001814FF" w:rsidRPr="009257E7">
        <w:rPr>
          <w:rStyle w:val="FootnoteReference"/>
          <w:lang w:val="es-ES"/>
        </w:rPr>
        <w:footnoteReference w:id="130"/>
      </w:r>
    </w:p>
    <w:p w14:paraId="3D445077" w14:textId="06B55496" w:rsidR="00260636" w:rsidRPr="009257E7" w:rsidRDefault="00260636" w:rsidP="00260636">
      <w:pPr>
        <w:pStyle w:val="NormalWeb"/>
        <w:rPr>
          <w:lang w:val="es-ES"/>
        </w:rPr>
      </w:pPr>
      <w:r w:rsidRPr="009257E7">
        <w:rPr>
          <w:lang w:val="es-ES"/>
        </w:rPr>
        <w:t>Así, el formalismo es una teoría y una práctica en la cual “las reglas jurídicas se mantienen separadas de otras instituciones sociales y políticas. [...] [U]</w:t>
      </w:r>
      <w:proofErr w:type="spellStart"/>
      <w:r w:rsidRPr="009257E7">
        <w:rPr>
          <w:lang w:val="es-ES"/>
        </w:rPr>
        <w:t>na</w:t>
      </w:r>
      <w:proofErr w:type="spellEnd"/>
      <w:r w:rsidRPr="009257E7">
        <w:rPr>
          <w:lang w:val="es-ES"/>
        </w:rPr>
        <w:t xml:space="preserve"> vez </w:t>
      </w:r>
      <w:r w:rsidR="001814FF" w:rsidRPr="009257E7">
        <w:rPr>
          <w:lang w:val="es-ES"/>
        </w:rPr>
        <w:t>que lo</w:t>
      </w:r>
      <w:r w:rsidRPr="009257E7">
        <w:rPr>
          <w:lang w:val="es-ES"/>
        </w:rPr>
        <w:t>s legisladores producen reglas, l</w:t>
      </w:r>
      <w:r w:rsidR="001814FF" w:rsidRPr="009257E7">
        <w:rPr>
          <w:lang w:val="es-ES"/>
        </w:rPr>
        <w:t>o</w:t>
      </w:r>
      <w:r w:rsidRPr="009257E7">
        <w:rPr>
          <w:lang w:val="es-ES"/>
        </w:rPr>
        <w:t xml:space="preserve">s jueces las aplican a los hechos de un caso sin considerar los intereses sociales ni la </w:t>
      </w:r>
      <w:r w:rsidRPr="009257E7">
        <w:rPr>
          <w:lang w:val="es-ES"/>
        </w:rPr>
        <w:lastRenderedPageBreak/>
        <w:t>política pública”</w:t>
      </w:r>
      <w:r w:rsidR="0065265D" w:rsidRPr="009257E7">
        <w:rPr>
          <w:rStyle w:val="FootnoteReference"/>
          <w:lang w:val="es-ES"/>
        </w:rPr>
        <w:footnoteReference w:id="131"/>
      </w:r>
      <w:r w:rsidRPr="009257E7">
        <w:rPr>
          <w:lang w:val="es-ES"/>
        </w:rPr>
        <w:t>. Los enfoques formalistas de análisis y abogacía enseñan que el poder responde —usualmente— al principio y a la persuasión; es decir, que los principios controlan los ejercicios del poder y que l</w:t>
      </w:r>
      <w:r w:rsidR="008B7146" w:rsidRPr="009257E7">
        <w:rPr>
          <w:lang w:val="es-ES"/>
        </w:rPr>
        <w:t>o</w:t>
      </w:r>
      <w:r w:rsidRPr="009257E7">
        <w:rPr>
          <w:lang w:val="es-ES"/>
        </w:rPr>
        <w:t>s abogad</w:t>
      </w:r>
      <w:r w:rsidR="008B7146" w:rsidRPr="009257E7">
        <w:rPr>
          <w:lang w:val="es-ES"/>
        </w:rPr>
        <w:t>o</w:t>
      </w:r>
      <w:r w:rsidRPr="009257E7">
        <w:rPr>
          <w:lang w:val="es-ES"/>
        </w:rPr>
        <w:t>s, por tanto, promueven la justicia al no desafiar el sistema jurídico ni sus resultados. La devoción del formalismo por los legalismos abstractos fomenta un</w:t>
      </w:r>
      <w:r w:rsidR="008B7146" w:rsidRPr="009257E7">
        <w:rPr>
          <w:lang w:val="es-ES"/>
        </w:rPr>
        <w:t xml:space="preserve">a </w:t>
      </w:r>
      <w:r w:rsidRPr="009257E7">
        <w:rPr>
          <w:lang w:val="es-ES"/>
        </w:rPr>
        <w:t>ceg</w:t>
      </w:r>
      <w:r w:rsidR="008B7146" w:rsidRPr="009257E7">
        <w:rPr>
          <w:lang w:val="es-ES"/>
        </w:rPr>
        <w:t>uera</w:t>
      </w:r>
      <w:r w:rsidRPr="009257E7">
        <w:rPr>
          <w:lang w:val="es-ES"/>
        </w:rPr>
        <w:t xml:space="preserve"> </w:t>
      </w:r>
      <w:r w:rsidR="008B7146" w:rsidRPr="009257E7">
        <w:rPr>
          <w:lang w:val="es-ES"/>
        </w:rPr>
        <w:t>generalizada</w:t>
      </w:r>
      <w:r w:rsidRPr="009257E7">
        <w:rPr>
          <w:lang w:val="es-ES"/>
        </w:rPr>
        <w:t xml:space="preserve"> a</w:t>
      </w:r>
      <w:r w:rsidR="008B7146" w:rsidRPr="009257E7">
        <w:rPr>
          <w:lang w:val="es-ES"/>
        </w:rPr>
        <w:t>nte</w:t>
      </w:r>
      <w:r w:rsidRPr="009257E7">
        <w:rPr>
          <w:lang w:val="es-ES"/>
        </w:rPr>
        <w:t xml:space="preserve"> las condiciones sociales reales y </w:t>
      </w:r>
      <w:r w:rsidR="008B7146" w:rsidRPr="009257E7">
        <w:rPr>
          <w:lang w:val="es-ES"/>
        </w:rPr>
        <w:t>e</w:t>
      </w:r>
      <w:r w:rsidRPr="009257E7">
        <w:rPr>
          <w:lang w:val="es-ES"/>
        </w:rPr>
        <w:t xml:space="preserve">l papel del poder en el </w:t>
      </w:r>
      <w:r w:rsidR="008B7146" w:rsidRPr="009257E7">
        <w:rPr>
          <w:lang w:val="es-ES"/>
        </w:rPr>
        <w:t>sostén</w:t>
      </w:r>
      <w:r w:rsidRPr="009257E7">
        <w:rPr>
          <w:lang w:val="es-ES"/>
        </w:rPr>
        <w:t xml:space="preserve"> de la injusticia sistémica. La doctrina de los tribunales apelativos es la fuente principal de este sistema de formación y de su inculcación de conformidad con la autoridad.</w:t>
      </w:r>
    </w:p>
    <w:p w14:paraId="00CFB987" w14:textId="2F57C2CE" w:rsidR="00260636" w:rsidRPr="009257E7" w:rsidRDefault="00260636" w:rsidP="0065265D">
      <w:pPr>
        <w:pStyle w:val="NormalWeb"/>
        <w:ind w:firstLine="720"/>
        <w:rPr>
          <w:lang w:val="es-ES"/>
        </w:rPr>
      </w:pPr>
      <w:r w:rsidRPr="009257E7">
        <w:rPr>
          <w:lang w:val="es-ES"/>
        </w:rPr>
        <w:t xml:space="preserve">La doctrina se presenta en forma de opiniones judiciales que </w:t>
      </w:r>
      <w:r w:rsidR="00ED3D2A" w:rsidRPr="009257E7">
        <w:rPr>
          <w:lang w:val="es-ES"/>
        </w:rPr>
        <w:t>resuelv</w:t>
      </w:r>
      <w:r w:rsidRPr="009257E7">
        <w:rPr>
          <w:lang w:val="es-ES"/>
        </w:rPr>
        <w:t xml:space="preserve">en disputas. Estas luego funcionan como precedente que debe estudiarse con cuidado debido a su autoridad vinculante o persuasiva en el sistema jurídico estadounidense. El formalismo se inculca mediante una formación basada en la doctrina en la conciencia de cada aprendiz del derecho desde el primer día de clases, si no antes, mucho antes de que </w:t>
      </w:r>
      <w:r w:rsidR="00E45106" w:rsidRPr="009257E7">
        <w:rPr>
          <w:lang w:val="es-ES"/>
        </w:rPr>
        <w:t>el</w:t>
      </w:r>
      <w:r w:rsidRPr="009257E7">
        <w:rPr>
          <w:lang w:val="es-ES"/>
        </w:rPr>
        <w:t xml:space="preserve"> estudiante aprenda el término o su significado social. A menudo, l</w:t>
      </w:r>
      <w:r w:rsidR="00E45106" w:rsidRPr="009257E7">
        <w:rPr>
          <w:lang w:val="es-ES"/>
        </w:rPr>
        <w:t>o</w:t>
      </w:r>
      <w:r w:rsidRPr="009257E7">
        <w:rPr>
          <w:lang w:val="es-ES"/>
        </w:rPr>
        <w:t>s estudiantes pasan por tres años de educación jurídica sin usar nunca —o comprender plenamente— el término y las implicaciones de “formalismo”, aunque hayan leído e internalizado decenas de formalismos a partir de innumerables opiniones. El formalismo institucionalizado está incrustado en la educación jurídica y en la industria en su conjunto.</w:t>
      </w:r>
    </w:p>
    <w:p w14:paraId="3C0D30C8" w14:textId="2C25C707" w:rsidR="00260636" w:rsidRPr="009257E7" w:rsidRDefault="00260636" w:rsidP="00FB0EE9">
      <w:pPr>
        <w:pStyle w:val="NormalWeb"/>
        <w:ind w:firstLine="720"/>
        <w:rPr>
          <w:lang w:val="es-ES"/>
        </w:rPr>
      </w:pPr>
      <w:r w:rsidRPr="009257E7">
        <w:rPr>
          <w:lang w:val="es-ES"/>
        </w:rPr>
        <w:t>Quienes son inculcad</w:t>
      </w:r>
      <w:r w:rsidR="00FB0EE9" w:rsidRPr="009257E7">
        <w:rPr>
          <w:lang w:val="es-ES"/>
        </w:rPr>
        <w:t>o</w:t>
      </w:r>
      <w:r w:rsidRPr="009257E7">
        <w:rPr>
          <w:lang w:val="es-ES"/>
        </w:rPr>
        <w:t xml:space="preserve">s en este marco disciplinario —el formalismo jurídico—absorben </w:t>
      </w:r>
      <w:r w:rsidR="00FB0EE9" w:rsidRPr="009257E7">
        <w:rPr>
          <w:lang w:val="es-ES"/>
        </w:rPr>
        <w:t xml:space="preserve">necesariamente </w:t>
      </w:r>
      <w:r w:rsidRPr="009257E7">
        <w:rPr>
          <w:lang w:val="es-ES"/>
        </w:rPr>
        <w:t xml:space="preserve">una comprensión compartida </w:t>
      </w:r>
      <w:r w:rsidR="00FB0EE9" w:rsidRPr="009257E7">
        <w:rPr>
          <w:lang w:val="es-ES"/>
        </w:rPr>
        <w:t>d</w:t>
      </w:r>
      <w:r w:rsidRPr="009257E7">
        <w:rPr>
          <w:lang w:val="es-ES"/>
        </w:rPr>
        <w:t xml:space="preserve">e lo que realmente piensan y hacen, así </w:t>
      </w:r>
      <w:r w:rsidRPr="009257E7">
        <w:rPr>
          <w:i/>
          <w:iCs/>
          <w:lang w:val="es-ES"/>
        </w:rPr>
        <w:t>como</w:t>
      </w:r>
      <w:r w:rsidRPr="009257E7">
        <w:rPr>
          <w:lang w:val="es-ES"/>
        </w:rPr>
        <w:t xml:space="preserve"> </w:t>
      </w:r>
      <w:r w:rsidR="00FB0EE9" w:rsidRPr="009257E7">
        <w:rPr>
          <w:lang w:val="es-ES"/>
        </w:rPr>
        <w:t>d</w:t>
      </w:r>
      <w:r w:rsidRPr="009257E7">
        <w:rPr>
          <w:lang w:val="es-ES"/>
        </w:rPr>
        <w:t xml:space="preserve">e lo que deberían pensar y hacer. El formalismo jurídico ha servido bien a este propósito. Primero, el formalismo, o “jurisprudencia mecánica”, pretende describir con precisión </w:t>
      </w:r>
      <w:r w:rsidRPr="009257E7">
        <w:rPr>
          <w:i/>
          <w:iCs/>
          <w:lang w:val="es-ES"/>
        </w:rPr>
        <w:t xml:space="preserve">cómo </w:t>
      </w:r>
      <w:r w:rsidR="00FB0EE9" w:rsidRPr="009257E7">
        <w:rPr>
          <w:i/>
          <w:iCs/>
          <w:lang w:val="es-ES"/>
        </w:rPr>
        <w:t>s</w:t>
      </w:r>
      <w:r w:rsidRPr="009257E7">
        <w:rPr>
          <w:i/>
          <w:iCs/>
          <w:lang w:val="es-ES"/>
        </w:rPr>
        <w:t xml:space="preserve">e </w:t>
      </w:r>
      <w:r w:rsidR="00FB0EE9" w:rsidRPr="009257E7">
        <w:rPr>
          <w:i/>
          <w:iCs/>
          <w:lang w:val="es-ES"/>
        </w:rPr>
        <w:t>resuelve</w:t>
      </w:r>
      <w:r w:rsidRPr="009257E7">
        <w:rPr>
          <w:lang w:val="es-ES"/>
        </w:rPr>
        <w:t xml:space="preserve"> </w:t>
      </w:r>
      <w:r w:rsidR="00FB0EE9" w:rsidRPr="009257E7">
        <w:rPr>
          <w:lang w:val="es-ES"/>
        </w:rPr>
        <w:t>la</w:t>
      </w:r>
      <w:r w:rsidRPr="009257E7">
        <w:rPr>
          <w:lang w:val="es-ES"/>
        </w:rPr>
        <w:t xml:space="preserve"> </w:t>
      </w:r>
      <w:r w:rsidR="00FB0EE9" w:rsidRPr="009257E7">
        <w:rPr>
          <w:lang w:val="es-ES"/>
        </w:rPr>
        <w:t>problemática</w:t>
      </w:r>
      <w:r w:rsidRPr="009257E7">
        <w:rPr>
          <w:lang w:val="es-ES"/>
        </w:rPr>
        <w:t xml:space="preserve"> </w:t>
      </w:r>
      <w:r w:rsidR="00FB0EE9" w:rsidRPr="009257E7">
        <w:rPr>
          <w:lang w:val="es-ES"/>
        </w:rPr>
        <w:t>jurídica</w:t>
      </w:r>
      <w:r w:rsidRPr="009257E7">
        <w:rPr>
          <w:lang w:val="es-ES"/>
        </w:rPr>
        <w:t xml:space="preserve">, en particular la </w:t>
      </w:r>
      <w:r w:rsidR="00FB0EE9" w:rsidRPr="009257E7">
        <w:rPr>
          <w:lang w:val="es-ES"/>
        </w:rPr>
        <w:t xml:space="preserve">de la </w:t>
      </w:r>
      <w:r w:rsidRPr="009257E7">
        <w:rPr>
          <w:lang w:val="es-ES"/>
        </w:rPr>
        <w:t>adjudicación. Segundo, el formalismo promueve la toma de decisiones ficcional</w:t>
      </w:r>
      <w:r w:rsidR="007F5DA3" w:rsidRPr="009257E7">
        <w:rPr>
          <w:lang w:val="es-ES"/>
        </w:rPr>
        <w:t>es</w:t>
      </w:r>
      <w:r w:rsidRPr="009257E7">
        <w:rPr>
          <w:lang w:val="es-ES"/>
        </w:rPr>
        <w:t xml:space="preserve"> y abstracta</w:t>
      </w:r>
      <w:r w:rsidR="007F5DA3" w:rsidRPr="009257E7">
        <w:rPr>
          <w:lang w:val="es-ES"/>
        </w:rPr>
        <w:t>s</w:t>
      </w:r>
      <w:r w:rsidRPr="009257E7">
        <w:rPr>
          <w:lang w:val="es-ES"/>
        </w:rPr>
        <w:t xml:space="preserve"> como una teoría normativa “aceptable”, al señalar </w:t>
      </w:r>
      <w:r w:rsidRPr="009257E7">
        <w:rPr>
          <w:i/>
          <w:iCs/>
          <w:lang w:val="es-ES"/>
        </w:rPr>
        <w:t>cómo debería</w:t>
      </w:r>
      <w:r w:rsidRPr="009257E7">
        <w:rPr>
          <w:lang w:val="es-ES"/>
        </w:rPr>
        <w:t xml:space="preserve"> </w:t>
      </w:r>
      <w:r w:rsidR="007F5DA3" w:rsidRPr="009257E7">
        <w:rPr>
          <w:lang w:val="es-ES"/>
        </w:rPr>
        <w:t>resolverse</w:t>
      </w:r>
      <w:r w:rsidRPr="009257E7">
        <w:rPr>
          <w:lang w:val="es-ES"/>
        </w:rPr>
        <w:t xml:space="preserve"> </w:t>
      </w:r>
      <w:r w:rsidR="007F5DA3" w:rsidRPr="009257E7">
        <w:rPr>
          <w:lang w:val="es-ES"/>
        </w:rPr>
        <w:t>un</w:t>
      </w:r>
      <w:r w:rsidRPr="009257E7">
        <w:rPr>
          <w:lang w:val="es-ES"/>
        </w:rPr>
        <w:t xml:space="preserve"> problema. En la teoría y en la práctica, el formalismo representa la toma de decisiones sistémica como no afectada por sesgos, experiencias o las proverbiales “corazonadas” que guían la “discreción” en la vida real.</w:t>
      </w:r>
    </w:p>
    <w:p w14:paraId="61154019" w14:textId="543FBB89" w:rsidR="00260636" w:rsidRPr="009257E7" w:rsidRDefault="00260636" w:rsidP="00822176">
      <w:pPr>
        <w:pStyle w:val="NormalWeb"/>
        <w:ind w:firstLine="720"/>
        <w:rPr>
          <w:lang w:val="es-ES"/>
        </w:rPr>
      </w:pPr>
      <w:r w:rsidRPr="009257E7">
        <w:rPr>
          <w:lang w:val="es-ES"/>
        </w:rPr>
        <w:t>El formalismo jurídico</w:t>
      </w:r>
      <w:r w:rsidR="00700619" w:rsidRPr="009257E7">
        <w:rPr>
          <w:lang w:val="es-ES"/>
        </w:rPr>
        <w:t>,</w:t>
      </w:r>
      <w:r w:rsidRPr="009257E7">
        <w:rPr>
          <w:lang w:val="es-ES"/>
        </w:rPr>
        <w:t xml:space="preserve"> como “razonamiento”</w:t>
      </w:r>
      <w:r w:rsidR="00700619" w:rsidRPr="009257E7">
        <w:rPr>
          <w:lang w:val="es-ES"/>
        </w:rPr>
        <w:t>,</w:t>
      </w:r>
      <w:r w:rsidRPr="009257E7">
        <w:rPr>
          <w:lang w:val="es-ES"/>
        </w:rPr>
        <w:t xml:space="preserve"> se caracteriza por proponer categorías diseñadas para parecer arraigadas en la naturaleza o en la lógica. Luego, esas categorías se consideran reflejos de la realidad social, mientras se </w:t>
      </w:r>
      <w:r w:rsidR="00700619" w:rsidRPr="009257E7">
        <w:rPr>
          <w:lang w:val="es-ES"/>
        </w:rPr>
        <w:t>emple</w:t>
      </w:r>
      <w:r w:rsidRPr="009257E7">
        <w:rPr>
          <w:lang w:val="es-ES"/>
        </w:rPr>
        <w:t xml:space="preserve">an definiciones ajustadas a resultados preferidos. En los esquemas formalistas, se exige la deducción “lógica” por encima del razonamiento inductivo u otras formas de razonamiento. De manera similar, las fuentes y </w:t>
      </w:r>
      <w:r w:rsidR="004371CD" w:rsidRPr="009257E7">
        <w:rPr>
          <w:lang w:val="es-ES"/>
        </w:rPr>
        <w:t xml:space="preserve">los </w:t>
      </w:r>
      <w:r w:rsidRPr="009257E7">
        <w:rPr>
          <w:lang w:val="es-ES"/>
        </w:rPr>
        <w:t xml:space="preserve">usos de hechos o evidencia considerados admisibles en procedimientos jurídicos —ya sean datos empíricos, relatos narrativos, analogías o citas “autoritativas”— se estrechan selectivamente. Los efectos acumulativos de estas reglas procesales, probatorias o sustantivas ayudan a explicar la desconexión del derecho </w:t>
      </w:r>
      <w:r w:rsidR="004371CD" w:rsidRPr="009257E7">
        <w:rPr>
          <w:lang w:val="es-ES"/>
        </w:rPr>
        <w:t>respecto</w:t>
      </w:r>
      <w:r w:rsidRPr="009257E7">
        <w:rPr>
          <w:lang w:val="es-ES"/>
        </w:rPr>
        <w:t xml:space="preserve"> </w:t>
      </w:r>
      <w:r w:rsidR="004371CD" w:rsidRPr="009257E7">
        <w:rPr>
          <w:lang w:val="es-ES"/>
        </w:rPr>
        <w:t>de</w:t>
      </w:r>
      <w:r w:rsidRPr="009257E7">
        <w:rPr>
          <w:lang w:val="es-ES"/>
        </w:rPr>
        <w:t xml:space="preserve"> la realidad y </w:t>
      </w:r>
      <w:r w:rsidR="004371CD" w:rsidRPr="009257E7">
        <w:rPr>
          <w:lang w:val="es-ES"/>
        </w:rPr>
        <w:t>de</w:t>
      </w:r>
      <w:r w:rsidRPr="009257E7">
        <w:rPr>
          <w:lang w:val="es-ES"/>
        </w:rPr>
        <w:t xml:space="preserve"> la justicia.</w:t>
      </w:r>
    </w:p>
    <w:p w14:paraId="0748E36A" w14:textId="263620E1" w:rsidR="00260636" w:rsidRPr="009257E7" w:rsidRDefault="00260636" w:rsidP="004371CD">
      <w:pPr>
        <w:pStyle w:val="NormalWeb"/>
        <w:ind w:firstLine="720"/>
        <w:rPr>
          <w:lang w:val="es-ES"/>
        </w:rPr>
      </w:pPr>
      <w:r w:rsidRPr="009257E7">
        <w:rPr>
          <w:lang w:val="es-ES"/>
        </w:rPr>
        <w:t xml:space="preserve">Además, se presume que el propio proceso de toma de decisiones jurídicas no está afectado por identidades, grupos, intereses </w:t>
      </w:r>
      <w:r w:rsidR="004371CD" w:rsidRPr="009257E7">
        <w:rPr>
          <w:lang w:val="es-ES"/>
        </w:rPr>
        <w:t>ni</w:t>
      </w:r>
      <w:r w:rsidRPr="009257E7">
        <w:rPr>
          <w:lang w:val="es-ES"/>
        </w:rPr>
        <w:t xml:space="preserve"> poder. El formalismo como razonamiento crea la apariencia de procesos autónomos y resultados “científicos” que dependen de estándares </w:t>
      </w:r>
      <w:r w:rsidRPr="009257E7">
        <w:rPr>
          <w:lang w:val="es-ES"/>
        </w:rPr>
        <w:lastRenderedPageBreak/>
        <w:t>“objetivos” para producir resultados “neutrales”, lo que confirma la utilidad y legitimidad reclamadas por el sistema:</w:t>
      </w:r>
    </w:p>
    <w:p w14:paraId="1249154E" w14:textId="49EACEDA" w:rsidR="00260636" w:rsidRPr="009257E7" w:rsidRDefault="00260636" w:rsidP="004371CD">
      <w:pPr>
        <w:pStyle w:val="NormalWeb"/>
        <w:ind w:left="720"/>
        <w:rPr>
          <w:lang w:val="es-ES"/>
        </w:rPr>
      </w:pPr>
      <w:r w:rsidRPr="009257E7">
        <w:rPr>
          <w:lang w:val="es-ES"/>
        </w:rPr>
        <w:t xml:space="preserve">En el derecho, el formalismo está </w:t>
      </w:r>
      <w:r w:rsidR="004371CD" w:rsidRPr="009257E7">
        <w:rPr>
          <w:lang w:val="es-ES"/>
        </w:rPr>
        <w:t>vincul</w:t>
      </w:r>
      <w:r w:rsidRPr="009257E7">
        <w:rPr>
          <w:lang w:val="es-ES"/>
        </w:rPr>
        <w:t xml:space="preserve">ado </w:t>
      </w:r>
      <w:r w:rsidR="004371CD" w:rsidRPr="009257E7">
        <w:rPr>
          <w:lang w:val="es-ES"/>
        </w:rPr>
        <w:t>a</w:t>
      </w:r>
      <w:r w:rsidRPr="009257E7">
        <w:rPr>
          <w:lang w:val="es-ES"/>
        </w:rPr>
        <w:t xml:space="preserve"> la regla del precedente y </w:t>
      </w:r>
      <w:r w:rsidR="004371CD" w:rsidRPr="009257E7">
        <w:rPr>
          <w:lang w:val="es-ES"/>
        </w:rPr>
        <w:t>a</w:t>
      </w:r>
      <w:r w:rsidRPr="009257E7">
        <w:rPr>
          <w:lang w:val="es-ES"/>
        </w:rPr>
        <w:t xml:space="preserve"> la adjudicación conservadora. En la educación jurídica, el formalismo se manifiesta en la enseñanza de </w:t>
      </w:r>
      <w:r w:rsidR="00DA6456" w:rsidRPr="009257E7">
        <w:rPr>
          <w:lang w:val="es-ES"/>
        </w:rPr>
        <w:t xml:space="preserve">las </w:t>
      </w:r>
      <w:r w:rsidRPr="009257E7">
        <w:rPr>
          <w:lang w:val="es-ES"/>
        </w:rPr>
        <w:t xml:space="preserve">reglas y </w:t>
      </w:r>
      <w:r w:rsidR="00DA6456" w:rsidRPr="009257E7">
        <w:rPr>
          <w:lang w:val="es-ES"/>
        </w:rPr>
        <w:t xml:space="preserve">las </w:t>
      </w:r>
      <w:r w:rsidRPr="009257E7">
        <w:rPr>
          <w:lang w:val="es-ES"/>
        </w:rPr>
        <w:t>doctrinas a costa de las implicaciones sociales y de la política pública. Exalta valores internos como la consistencia por encima de la ambigüedad, la racionalidad por encima de la emoción, las reglas por encima del contexto social</w:t>
      </w:r>
      <w:r w:rsidR="00DA6456" w:rsidRPr="009257E7">
        <w:rPr>
          <w:lang w:val="es-ES"/>
        </w:rPr>
        <w:t>,</w:t>
      </w:r>
      <w:r w:rsidRPr="009257E7">
        <w:rPr>
          <w:lang w:val="es-ES"/>
        </w:rPr>
        <w:t xml:space="preserve"> </w:t>
      </w:r>
      <w:r w:rsidR="00DA6456" w:rsidRPr="009257E7">
        <w:rPr>
          <w:lang w:val="es-ES"/>
        </w:rPr>
        <w:t>de</w:t>
      </w:r>
      <w:r w:rsidRPr="009257E7">
        <w:rPr>
          <w:lang w:val="es-ES"/>
        </w:rPr>
        <w:t xml:space="preserve"> </w:t>
      </w:r>
      <w:r w:rsidR="00DA6456" w:rsidRPr="009257E7">
        <w:rPr>
          <w:lang w:val="es-ES"/>
        </w:rPr>
        <w:t>los</w:t>
      </w:r>
      <w:r w:rsidRPr="009257E7">
        <w:rPr>
          <w:lang w:val="es-ES"/>
        </w:rPr>
        <w:t xml:space="preserve"> intereses y</w:t>
      </w:r>
      <w:r w:rsidR="00DA6456" w:rsidRPr="009257E7">
        <w:rPr>
          <w:lang w:val="es-ES"/>
        </w:rPr>
        <w:t xml:space="preserve"> de las</w:t>
      </w:r>
      <w:r w:rsidRPr="009257E7">
        <w:rPr>
          <w:lang w:val="es-ES"/>
        </w:rPr>
        <w:t xml:space="preserve"> narrativas en competencia.</w:t>
      </w:r>
      <w:r w:rsidR="008846B2" w:rsidRPr="009257E7">
        <w:rPr>
          <w:rStyle w:val="FootnoteReference"/>
          <w:lang w:val="es-ES"/>
        </w:rPr>
        <w:footnoteReference w:id="132"/>
      </w:r>
    </w:p>
    <w:p w14:paraId="178B4360" w14:textId="0E8BA634" w:rsidR="00B1786A" w:rsidRPr="009257E7" w:rsidRDefault="00B1786A" w:rsidP="00B1786A">
      <w:pPr>
        <w:pStyle w:val="NormalWeb"/>
        <w:ind w:firstLine="720"/>
        <w:rPr>
          <w:lang w:val="es-ES"/>
        </w:rPr>
      </w:pPr>
      <w:r w:rsidRPr="009257E7">
        <w:rPr>
          <w:lang w:val="es-ES"/>
        </w:rPr>
        <w:t>En la práctica, el formalismo jurídico es un marco disciplinario que ata el derecho a los intereses elitistas, no al razonamiento neutral. Con el tiempo, se vuelve no solo arraigado, sino también normalizado. El statu quo</w:t>
      </w:r>
      <w:r w:rsidR="001307C8" w:rsidRPr="009257E7">
        <w:rPr>
          <w:lang w:val="es-ES"/>
        </w:rPr>
        <w:t xml:space="preserve"> aparenta ser</w:t>
      </w:r>
      <w:r w:rsidRPr="009257E7">
        <w:rPr>
          <w:lang w:val="es-ES"/>
        </w:rPr>
        <w:t xml:space="preserve"> natural, apropiado y, sin duda, inevitable. Así, la oposición a cualquier cambio también se vuelve inevitable.</w:t>
      </w:r>
      <w:r w:rsidR="000A708E" w:rsidRPr="009257E7">
        <w:rPr>
          <w:lang w:val="es-ES"/>
        </w:rPr>
        <w:t xml:space="preserve"> </w:t>
      </w:r>
    </w:p>
    <w:p w14:paraId="54A46795" w14:textId="0B87ACD0" w:rsidR="00B1786A" w:rsidRPr="009257E7" w:rsidRDefault="00B1786A" w:rsidP="00BE1952">
      <w:pPr>
        <w:pStyle w:val="NormalWeb"/>
        <w:ind w:firstLine="720"/>
        <w:rPr>
          <w:lang w:val="es-ES"/>
        </w:rPr>
      </w:pPr>
      <w:r w:rsidRPr="009257E7">
        <w:rPr>
          <w:lang w:val="es-ES"/>
        </w:rPr>
        <w:t xml:space="preserve">Incluso los espacios formalmente dedicados al aprendizaje nuevo son disputados en esos mismos términos. Aníbal Rosario-Lebrón, académico crítico de </w:t>
      </w:r>
      <w:r w:rsidR="00BE1952" w:rsidRPr="009257E7">
        <w:rPr>
          <w:lang w:val="es-ES"/>
        </w:rPr>
        <w:t xml:space="preserve">la </w:t>
      </w:r>
      <w:r w:rsidRPr="009257E7">
        <w:rPr>
          <w:lang w:val="es-ES"/>
        </w:rPr>
        <w:t>investigación y</w:t>
      </w:r>
      <w:r w:rsidR="00BE1952" w:rsidRPr="009257E7">
        <w:rPr>
          <w:lang w:val="es-ES"/>
        </w:rPr>
        <w:t xml:space="preserve"> la</w:t>
      </w:r>
      <w:r w:rsidRPr="009257E7">
        <w:rPr>
          <w:lang w:val="es-ES"/>
        </w:rPr>
        <w:t xml:space="preserve"> escritura jurídica, señala que la resistencia y el conflicto pueden </w:t>
      </w:r>
      <w:r w:rsidR="00BE1952" w:rsidRPr="009257E7">
        <w:rPr>
          <w:lang w:val="es-ES"/>
        </w:rPr>
        <w:t>pro</w:t>
      </w:r>
      <w:r w:rsidRPr="009257E7">
        <w:rPr>
          <w:lang w:val="es-ES"/>
        </w:rPr>
        <w:t>venir de fuentes inesperadas. Indica que l</w:t>
      </w:r>
      <w:r w:rsidR="00BE1952" w:rsidRPr="009257E7">
        <w:rPr>
          <w:lang w:val="es-ES"/>
        </w:rPr>
        <w:t>o</w:t>
      </w:r>
      <w:r w:rsidRPr="009257E7">
        <w:rPr>
          <w:lang w:val="es-ES"/>
        </w:rPr>
        <w:t xml:space="preserve">s profesores pueden resistirse a introducir métodos pedagógicos nuevos por temor a enfrentar dificultades para </w:t>
      </w:r>
      <w:r w:rsidR="00BE1952" w:rsidRPr="009257E7">
        <w:rPr>
          <w:lang w:val="es-ES"/>
        </w:rPr>
        <w:t>legitimarl</w:t>
      </w:r>
      <w:r w:rsidRPr="009257E7">
        <w:rPr>
          <w:lang w:val="es-ES"/>
        </w:rPr>
        <w:t>os y mantener lo que se considera</w:t>
      </w:r>
      <w:r w:rsidR="00BE1952" w:rsidRPr="009257E7">
        <w:rPr>
          <w:lang w:val="es-ES"/>
        </w:rPr>
        <w:t xml:space="preserve"> un</w:t>
      </w:r>
      <w:r w:rsidRPr="009257E7">
        <w:rPr>
          <w:lang w:val="es-ES"/>
        </w:rPr>
        <w:t xml:space="preserve"> control apropiado del salón de clases. También l</w:t>
      </w:r>
      <w:r w:rsidR="00EB0B35" w:rsidRPr="009257E7">
        <w:rPr>
          <w:lang w:val="es-ES"/>
        </w:rPr>
        <w:t>o</w:t>
      </w:r>
      <w:r w:rsidRPr="009257E7">
        <w:rPr>
          <w:lang w:val="es-ES"/>
        </w:rPr>
        <w:t>s estudiantes pueden resistirse al uso de esos métodos porque los desafíos a las perspectivas dominantes pueden parecer demasiado ambiguos para constituir “aprender el derecho”:</w:t>
      </w:r>
      <w:r w:rsidR="00BE1952" w:rsidRPr="009257E7">
        <w:rPr>
          <w:lang w:val="es-ES"/>
        </w:rPr>
        <w:t xml:space="preserve"> </w:t>
      </w:r>
    </w:p>
    <w:p w14:paraId="42269153" w14:textId="77777777" w:rsidR="00B1786A" w:rsidRPr="009257E7" w:rsidRDefault="00B1786A" w:rsidP="00EB0B35">
      <w:pPr>
        <w:pStyle w:val="NormalWeb"/>
        <w:ind w:left="720"/>
        <w:rPr>
          <w:lang w:val="es-ES"/>
        </w:rPr>
      </w:pPr>
      <w:r w:rsidRPr="009257E7">
        <w:rPr>
          <w:lang w:val="es-ES"/>
        </w:rPr>
        <w:t>Si tenemos el compromiso de derribar esas jerarquías [tradicionales], debemos comenzar por asegurarnos de que no existan en los salones de clase.</w:t>
      </w:r>
    </w:p>
    <w:p w14:paraId="5CA200F5" w14:textId="77777777" w:rsidR="00B1786A" w:rsidRPr="009257E7" w:rsidRDefault="00B1786A" w:rsidP="00EB0B35">
      <w:pPr>
        <w:pStyle w:val="NormalWeb"/>
        <w:ind w:firstLine="720"/>
        <w:rPr>
          <w:lang w:val="es-ES"/>
        </w:rPr>
      </w:pPr>
      <w:r w:rsidRPr="009257E7">
        <w:rPr>
          <w:lang w:val="es-ES"/>
        </w:rPr>
        <w:t>[...] [L]as reglas [del salón] no deben ser una imposición, sino un acuerdo. [...]</w:t>
      </w:r>
    </w:p>
    <w:p w14:paraId="4E0B8EBF" w14:textId="6A807278" w:rsidR="00B1786A" w:rsidRPr="009257E7" w:rsidRDefault="00B1786A" w:rsidP="00EB0B35">
      <w:pPr>
        <w:pStyle w:val="NormalWeb"/>
        <w:ind w:left="720"/>
        <w:rPr>
          <w:lang w:val="es-ES"/>
        </w:rPr>
      </w:pPr>
      <w:r w:rsidRPr="009257E7">
        <w:rPr>
          <w:lang w:val="es-ES"/>
        </w:rPr>
        <w:t>El método de planteamiento de problemas involucra a estudiantes y docentes en el proceso de reflexión y acción, o praxis. Este enfoque de enseñanza se centra en revelar la realidad, no en esconderla. Estudiantes y docentes examinan colectivamente, mediante la indagación y el diálogo, problemas relacionados con sus posiciones en el mundo y participan en la generación de intervenciones críticas frente a e</w:t>
      </w:r>
      <w:r w:rsidR="00A31430" w:rsidRPr="009257E7">
        <w:rPr>
          <w:lang w:val="es-ES"/>
        </w:rPr>
        <w:t>sto</w:t>
      </w:r>
      <w:r w:rsidRPr="009257E7">
        <w:rPr>
          <w:lang w:val="es-ES"/>
        </w:rPr>
        <w:t>s.</w:t>
      </w:r>
    </w:p>
    <w:p w14:paraId="2C7003C3" w14:textId="73813356" w:rsidR="00B1786A" w:rsidRPr="009257E7" w:rsidRDefault="00B1786A" w:rsidP="00A31430">
      <w:pPr>
        <w:pStyle w:val="NormalWeb"/>
        <w:ind w:left="720"/>
        <w:rPr>
          <w:lang w:val="es-ES"/>
        </w:rPr>
      </w:pPr>
      <w:r w:rsidRPr="009257E7">
        <w:rPr>
          <w:lang w:val="es-ES"/>
        </w:rPr>
        <w:t>[...] L</w:t>
      </w:r>
      <w:r w:rsidR="00A31430" w:rsidRPr="009257E7">
        <w:rPr>
          <w:lang w:val="es-ES"/>
        </w:rPr>
        <w:t>o</w:t>
      </w:r>
      <w:r w:rsidRPr="009257E7">
        <w:rPr>
          <w:lang w:val="es-ES"/>
        </w:rPr>
        <w:t>s profesores críticos también deben desafiar la noción de objetividad [...] [y] la idea de que el derecho es, en sí mismo, [...] la solución a todo problema.</w:t>
      </w:r>
    </w:p>
    <w:p w14:paraId="604D2987" w14:textId="77777777" w:rsidR="00B1786A" w:rsidRPr="009257E7" w:rsidRDefault="00B1786A" w:rsidP="00A31430">
      <w:pPr>
        <w:pStyle w:val="NormalWeb"/>
        <w:ind w:left="720"/>
        <w:rPr>
          <w:lang w:val="es-ES"/>
        </w:rPr>
      </w:pPr>
      <w:r w:rsidRPr="009257E7">
        <w:rPr>
          <w:lang w:val="es-ES"/>
        </w:rPr>
        <w:t>[...] Hacemos preguntas sobre poder, privilegio y statu quo; intentamos desmontar la visión hegemónica del derecho.</w:t>
      </w:r>
    </w:p>
    <w:p w14:paraId="0B3F0A25" w14:textId="0F253B1F" w:rsidR="00B1786A" w:rsidRPr="009257E7" w:rsidRDefault="00B1786A" w:rsidP="00A31430">
      <w:pPr>
        <w:pStyle w:val="NormalWeb"/>
        <w:ind w:left="720"/>
        <w:rPr>
          <w:lang w:val="es-ES"/>
        </w:rPr>
      </w:pPr>
      <w:r w:rsidRPr="009257E7">
        <w:rPr>
          <w:lang w:val="es-ES"/>
        </w:rPr>
        <w:lastRenderedPageBreak/>
        <w:t>[...] No hablo solo del contenido —por ejemplo, un currículo que incluya la historia y las voces de grupos marginados—, sino también de prácticas de enseñanza que pongan a l</w:t>
      </w:r>
      <w:r w:rsidR="00A31430" w:rsidRPr="009257E7">
        <w:rPr>
          <w:lang w:val="es-ES"/>
        </w:rPr>
        <w:t>o</w:t>
      </w:r>
      <w:r w:rsidRPr="009257E7">
        <w:rPr>
          <w:lang w:val="es-ES"/>
        </w:rPr>
        <w:t xml:space="preserve">s estudiantes en contacto con comunidades </w:t>
      </w:r>
      <w:proofErr w:type="spellStart"/>
      <w:r w:rsidRPr="009257E7">
        <w:rPr>
          <w:lang w:val="es-ES"/>
        </w:rPr>
        <w:t>ostracizadas</w:t>
      </w:r>
      <w:proofErr w:type="spellEnd"/>
      <w:r w:rsidRPr="009257E7">
        <w:rPr>
          <w:lang w:val="es-ES"/>
        </w:rPr>
        <w:t xml:space="preserve"> y les ayuden a ver sus realidades.</w:t>
      </w:r>
    </w:p>
    <w:p w14:paraId="0C74E8B7" w14:textId="4C353473" w:rsidR="00B1786A" w:rsidRPr="009257E7" w:rsidRDefault="00B1786A" w:rsidP="00A31430">
      <w:pPr>
        <w:pStyle w:val="NormalWeb"/>
        <w:ind w:left="720"/>
        <w:rPr>
          <w:lang w:val="es-ES"/>
        </w:rPr>
      </w:pPr>
      <w:r w:rsidRPr="009257E7">
        <w:rPr>
          <w:lang w:val="es-ES"/>
        </w:rPr>
        <w:t>[...] El objetivo es que l</w:t>
      </w:r>
      <w:r w:rsidR="00A31430" w:rsidRPr="009257E7">
        <w:rPr>
          <w:lang w:val="es-ES"/>
        </w:rPr>
        <w:t>o</w:t>
      </w:r>
      <w:r w:rsidRPr="009257E7">
        <w:rPr>
          <w:lang w:val="es-ES"/>
        </w:rPr>
        <w:t xml:space="preserve">s estudiantes experimenten de primera mano los problemas que enfrentan estas comunidades cuando </w:t>
      </w:r>
      <w:r w:rsidR="00A31430" w:rsidRPr="009257E7">
        <w:rPr>
          <w:lang w:val="es-ES"/>
        </w:rPr>
        <w:t>forma</w:t>
      </w:r>
      <w:r w:rsidRPr="009257E7">
        <w:rPr>
          <w:lang w:val="es-ES"/>
        </w:rPr>
        <w:t>n parte de controversias jurídicas.</w:t>
      </w:r>
    </w:p>
    <w:p w14:paraId="7C105B97" w14:textId="6633732B" w:rsidR="00B1786A" w:rsidRPr="009257E7" w:rsidRDefault="00B1786A" w:rsidP="00A31430">
      <w:pPr>
        <w:pStyle w:val="NormalWeb"/>
        <w:ind w:left="720"/>
        <w:rPr>
          <w:lang w:val="es-ES"/>
        </w:rPr>
      </w:pPr>
      <w:r w:rsidRPr="009257E7">
        <w:rPr>
          <w:lang w:val="es-ES"/>
        </w:rPr>
        <w:t>[...] L</w:t>
      </w:r>
      <w:r w:rsidR="00A31430" w:rsidRPr="009257E7">
        <w:rPr>
          <w:lang w:val="es-ES"/>
        </w:rPr>
        <w:t>o</w:t>
      </w:r>
      <w:r w:rsidRPr="009257E7">
        <w:rPr>
          <w:lang w:val="es-ES"/>
        </w:rPr>
        <w:t xml:space="preserve">s estudiantes cuestionan las estrategias autorreflexivas, la incorporación de materiales no tradicionales —por ejemplo, ver películas o leer poemas—, e incluso </w:t>
      </w:r>
      <w:r w:rsidR="0082708D" w:rsidRPr="009257E7">
        <w:rPr>
          <w:lang w:val="es-ES"/>
        </w:rPr>
        <w:t xml:space="preserve">las </w:t>
      </w:r>
      <w:r w:rsidRPr="009257E7">
        <w:rPr>
          <w:lang w:val="es-ES"/>
        </w:rPr>
        <w:t>tareas externas</w:t>
      </w:r>
      <w:r w:rsidR="00A31430" w:rsidRPr="009257E7">
        <w:rPr>
          <w:lang w:val="es-ES"/>
        </w:rPr>
        <w:t>,</w:t>
      </w:r>
      <w:r w:rsidRPr="009257E7">
        <w:rPr>
          <w:lang w:val="es-ES"/>
        </w:rPr>
        <w:t xml:space="preserve"> como hablar con abogad</w:t>
      </w:r>
      <w:r w:rsidR="0082708D" w:rsidRPr="009257E7">
        <w:rPr>
          <w:lang w:val="es-ES"/>
        </w:rPr>
        <w:t>o</w:t>
      </w:r>
      <w:r w:rsidRPr="009257E7">
        <w:rPr>
          <w:lang w:val="es-ES"/>
        </w:rPr>
        <w:t xml:space="preserve">s practicantes y </w:t>
      </w:r>
      <w:r w:rsidR="0082708D" w:rsidRPr="009257E7">
        <w:rPr>
          <w:lang w:val="es-ES"/>
        </w:rPr>
        <w:t xml:space="preserve">con </w:t>
      </w:r>
      <w:r w:rsidRPr="009257E7">
        <w:rPr>
          <w:lang w:val="es-ES"/>
        </w:rPr>
        <w:t>litigantes anteriores. Sienten que su educación carece de contenido porque no depende del derecho duro, y que están perdiendo el tiempo al hacer estos ejercicios o considerar estos materiales que no enseñan a ser abogad</w:t>
      </w:r>
      <w:r w:rsidR="0082708D" w:rsidRPr="009257E7">
        <w:rPr>
          <w:lang w:val="es-ES"/>
        </w:rPr>
        <w:t>os</w:t>
      </w:r>
      <w:r w:rsidRPr="009257E7">
        <w:rPr>
          <w:lang w:val="es-ES"/>
        </w:rPr>
        <w:t>. [...]</w:t>
      </w:r>
    </w:p>
    <w:p w14:paraId="1A96A904" w14:textId="1F75843D" w:rsidR="00B1786A" w:rsidRPr="009257E7" w:rsidRDefault="00B1786A" w:rsidP="0082708D">
      <w:pPr>
        <w:pStyle w:val="NormalWeb"/>
        <w:ind w:left="720"/>
        <w:rPr>
          <w:lang w:val="es-ES"/>
        </w:rPr>
      </w:pPr>
      <w:r w:rsidRPr="009257E7">
        <w:rPr>
          <w:lang w:val="es-ES"/>
        </w:rPr>
        <w:t>[...] ¿Por qué está haciendo esto</w:t>
      </w:r>
      <w:r w:rsidR="003D4255" w:rsidRPr="009257E7">
        <w:rPr>
          <w:lang w:val="es-ES"/>
        </w:rPr>
        <w:t xml:space="preserve"> usted</w:t>
      </w:r>
      <w:r w:rsidRPr="009257E7">
        <w:rPr>
          <w:lang w:val="es-ES"/>
        </w:rPr>
        <w:t xml:space="preserve">? Mientras </w:t>
      </w:r>
      <w:r w:rsidR="003D4255" w:rsidRPr="009257E7">
        <w:rPr>
          <w:lang w:val="es-ES"/>
        </w:rPr>
        <w:t xml:space="preserve">que </w:t>
      </w:r>
      <w:r w:rsidRPr="009257E7">
        <w:rPr>
          <w:lang w:val="es-ES"/>
        </w:rPr>
        <w:t>la primera confrontación era sobre el contenido, esta es sobre la autoridad. L</w:t>
      </w:r>
      <w:r w:rsidR="003D4255" w:rsidRPr="009257E7">
        <w:rPr>
          <w:lang w:val="es-ES"/>
        </w:rPr>
        <w:t>o</w:t>
      </w:r>
      <w:r w:rsidRPr="009257E7">
        <w:rPr>
          <w:lang w:val="es-ES"/>
        </w:rPr>
        <w:t>s estudiantes le perciben como un mal docente porque</w:t>
      </w:r>
      <w:r w:rsidR="003D4255" w:rsidRPr="009257E7">
        <w:rPr>
          <w:lang w:val="es-ES"/>
        </w:rPr>
        <w:t>,</w:t>
      </w:r>
      <w:r w:rsidRPr="009257E7">
        <w:rPr>
          <w:lang w:val="es-ES"/>
        </w:rPr>
        <w:t xml:space="preserve"> supuestamente</w:t>
      </w:r>
      <w:r w:rsidR="003D4255" w:rsidRPr="009257E7">
        <w:rPr>
          <w:lang w:val="es-ES"/>
        </w:rPr>
        <w:t>,</w:t>
      </w:r>
      <w:r w:rsidRPr="009257E7">
        <w:rPr>
          <w:lang w:val="es-ES"/>
        </w:rPr>
        <w:t xml:space="preserve"> carece de control </w:t>
      </w:r>
      <w:r w:rsidR="003D4255" w:rsidRPr="009257E7">
        <w:rPr>
          <w:lang w:val="es-ES"/>
        </w:rPr>
        <w:t>en</w:t>
      </w:r>
      <w:r w:rsidRPr="009257E7">
        <w:rPr>
          <w:lang w:val="es-ES"/>
        </w:rPr>
        <w:t xml:space="preserve"> el salón de clases. L</w:t>
      </w:r>
      <w:r w:rsidR="003D4255" w:rsidRPr="009257E7">
        <w:rPr>
          <w:lang w:val="es-ES"/>
        </w:rPr>
        <w:t>o</w:t>
      </w:r>
      <w:r w:rsidRPr="009257E7">
        <w:rPr>
          <w:lang w:val="es-ES"/>
        </w:rPr>
        <w:t>s estudiantes cuestionan por qué [...] las decisiones deben tomarse como grupo en lugar de imponer el criterio docente como norma. [...]</w:t>
      </w:r>
    </w:p>
    <w:p w14:paraId="20DECD5B" w14:textId="0F4A5045" w:rsidR="00B1786A" w:rsidRPr="009257E7" w:rsidRDefault="00B1786A" w:rsidP="0082708D">
      <w:pPr>
        <w:pStyle w:val="NormalWeb"/>
        <w:ind w:left="720"/>
        <w:rPr>
          <w:lang w:val="es-ES"/>
        </w:rPr>
      </w:pPr>
      <w:r w:rsidRPr="009257E7">
        <w:rPr>
          <w:lang w:val="es-ES"/>
        </w:rPr>
        <w:t xml:space="preserve">[...] ¿Por qué usted está enseñando esto? ¿Por qué hablamos de producción académica crítica? ¿Por qué consideramos temas que no son el derecho? ¿Y cómo resulta útil comprender </w:t>
      </w:r>
      <w:r w:rsidR="00D75DBA" w:rsidRPr="009257E7">
        <w:rPr>
          <w:lang w:val="es-ES"/>
        </w:rPr>
        <w:t xml:space="preserve">las </w:t>
      </w:r>
      <w:r w:rsidRPr="009257E7">
        <w:rPr>
          <w:lang w:val="es-ES"/>
        </w:rPr>
        <w:t>voces marginadas o leer sobre ellas? La idea [...] [es] que usted no es un buen docente porque se preocupa más por factores políticos que por el derecho [...], a diferencia de l</w:t>
      </w:r>
      <w:r w:rsidR="00D75DBA" w:rsidRPr="009257E7">
        <w:rPr>
          <w:lang w:val="es-ES"/>
        </w:rPr>
        <w:t>o</w:t>
      </w:r>
      <w:r w:rsidRPr="009257E7">
        <w:rPr>
          <w:lang w:val="es-ES"/>
        </w:rPr>
        <w:t>s profesores tradicionales de derecho, percibid</w:t>
      </w:r>
      <w:r w:rsidR="00D75DBA" w:rsidRPr="009257E7">
        <w:rPr>
          <w:lang w:val="es-ES"/>
        </w:rPr>
        <w:t>o</w:t>
      </w:r>
      <w:r w:rsidRPr="009257E7">
        <w:rPr>
          <w:lang w:val="es-ES"/>
        </w:rPr>
        <w:t>s como personas sin agenda.</w:t>
      </w:r>
    </w:p>
    <w:p w14:paraId="1E78D9CD" w14:textId="17C7176A" w:rsidR="00B1786A" w:rsidRPr="009257E7" w:rsidRDefault="00B1786A" w:rsidP="0082708D">
      <w:pPr>
        <w:pStyle w:val="NormalWeb"/>
        <w:ind w:left="720"/>
        <w:rPr>
          <w:lang w:val="es-ES"/>
        </w:rPr>
      </w:pPr>
      <w:r w:rsidRPr="009257E7">
        <w:rPr>
          <w:lang w:val="es-ES"/>
        </w:rPr>
        <w:t>[...] ¿Por qué usted siquiera es docente de derecho? En este frente hay muchas consideraciones en juego, especialmente si usted es un docente minoritari</w:t>
      </w:r>
      <w:r w:rsidR="00D75DBA" w:rsidRPr="009257E7">
        <w:rPr>
          <w:lang w:val="es-ES"/>
        </w:rPr>
        <w:t>o</w:t>
      </w:r>
      <w:r w:rsidRPr="009257E7">
        <w:rPr>
          <w:lang w:val="es-ES"/>
        </w:rPr>
        <w:t>. [...] Si habla sobre las luchas de una identidad particular, debe ser porque está enojad</w:t>
      </w:r>
      <w:r w:rsidR="00D75DBA" w:rsidRPr="009257E7">
        <w:rPr>
          <w:lang w:val="es-ES"/>
        </w:rPr>
        <w:t>o</w:t>
      </w:r>
      <w:r w:rsidRPr="009257E7">
        <w:rPr>
          <w:lang w:val="es-ES"/>
        </w:rPr>
        <w:t xml:space="preserve"> </w:t>
      </w:r>
      <w:r w:rsidR="009770EE" w:rsidRPr="009257E7">
        <w:rPr>
          <w:lang w:val="es-ES"/>
        </w:rPr>
        <w:t>con</w:t>
      </w:r>
      <w:r w:rsidRPr="009257E7">
        <w:rPr>
          <w:lang w:val="es-ES"/>
        </w:rPr>
        <w:t xml:space="preserve"> su condición y quiere imponer ese asunto político en la vida de les estudiantes. [...]</w:t>
      </w:r>
    </w:p>
    <w:p w14:paraId="1D485ABA" w14:textId="10497917" w:rsidR="00B1786A" w:rsidRPr="009257E7" w:rsidRDefault="00B1786A" w:rsidP="00D75DBA">
      <w:pPr>
        <w:pStyle w:val="NormalWeb"/>
        <w:ind w:left="720"/>
        <w:rPr>
          <w:lang w:val="es-ES"/>
        </w:rPr>
      </w:pPr>
      <w:r w:rsidRPr="009257E7">
        <w:rPr>
          <w:lang w:val="es-ES"/>
        </w:rPr>
        <w:t xml:space="preserve">[...] Para que los discursos hegemónicos cambien, </w:t>
      </w:r>
      <w:r w:rsidR="00D75DBA" w:rsidRPr="009257E7">
        <w:rPr>
          <w:lang w:val="es-ES"/>
        </w:rPr>
        <w:t>deb</w:t>
      </w:r>
      <w:r w:rsidRPr="009257E7">
        <w:rPr>
          <w:lang w:val="es-ES"/>
        </w:rPr>
        <w:t>e haber confrontación. [...] Si deseo tener éxito completo [...], debería buscar más confrontación en lugar de evitarla.</w:t>
      </w:r>
      <w:r w:rsidR="00CE5D34" w:rsidRPr="009257E7">
        <w:rPr>
          <w:rStyle w:val="FootnoteReference"/>
          <w:lang w:val="es-ES"/>
        </w:rPr>
        <w:footnoteReference w:id="133"/>
      </w:r>
    </w:p>
    <w:p w14:paraId="7BCD4F75" w14:textId="7E499028" w:rsidR="00B1786A" w:rsidRPr="009257E7" w:rsidRDefault="00B1786A" w:rsidP="009770EE">
      <w:pPr>
        <w:pStyle w:val="NormalWeb"/>
        <w:ind w:firstLine="720"/>
        <w:rPr>
          <w:lang w:val="es-ES"/>
        </w:rPr>
      </w:pPr>
      <w:r w:rsidRPr="009257E7">
        <w:rPr>
          <w:lang w:val="es-ES"/>
        </w:rPr>
        <w:t xml:space="preserve">Desplazar los hábitos y </w:t>
      </w:r>
      <w:r w:rsidR="00CE5D34" w:rsidRPr="009257E7">
        <w:rPr>
          <w:lang w:val="es-ES"/>
        </w:rPr>
        <w:t xml:space="preserve">las </w:t>
      </w:r>
      <w:r w:rsidRPr="009257E7">
        <w:rPr>
          <w:lang w:val="es-ES"/>
        </w:rPr>
        <w:t>consecuencias arraigados o hegemónicos del formalismo exige esfuerzos intencionales y creativos para “descolonizarnos” a nosotres mismes y también a los sistemas.</w:t>
      </w:r>
    </w:p>
    <w:p w14:paraId="0E6E3D0F" w14:textId="5D0C2CF0" w:rsidR="00B1786A" w:rsidRPr="009257E7" w:rsidRDefault="00B1786A" w:rsidP="00CE5D34">
      <w:pPr>
        <w:pStyle w:val="NormalWeb"/>
        <w:ind w:firstLine="720"/>
        <w:rPr>
          <w:lang w:val="es-ES"/>
        </w:rPr>
      </w:pPr>
      <w:r w:rsidRPr="009257E7">
        <w:rPr>
          <w:lang w:val="es-ES"/>
        </w:rPr>
        <w:t xml:space="preserve">Para empezar, las facultades de derecho podrían y deberían innovar </w:t>
      </w:r>
      <w:r w:rsidR="00CE5D34" w:rsidRPr="009257E7">
        <w:rPr>
          <w:lang w:val="es-ES"/>
        </w:rPr>
        <w:t xml:space="preserve">en </w:t>
      </w:r>
      <w:r w:rsidRPr="009257E7">
        <w:rPr>
          <w:lang w:val="es-ES"/>
        </w:rPr>
        <w:t xml:space="preserve">los cursos de primer año de investigación, análisis y escritura jurídica para incluir estudios comparados y críticos desde el comienzo mismo de la educación jurídica formal. Jaribu Hill, directora del Mississippi Workers’ Center </w:t>
      </w:r>
      <w:proofErr w:type="spellStart"/>
      <w:r w:rsidRPr="009257E7">
        <w:rPr>
          <w:lang w:val="es-ES"/>
        </w:rPr>
        <w:t>for</w:t>
      </w:r>
      <w:proofErr w:type="spellEnd"/>
      <w:r w:rsidRPr="009257E7">
        <w:rPr>
          <w:lang w:val="es-ES"/>
        </w:rPr>
        <w:t xml:space="preserve"> Human </w:t>
      </w:r>
      <w:proofErr w:type="spellStart"/>
      <w:r w:rsidRPr="009257E7">
        <w:rPr>
          <w:lang w:val="es-ES"/>
        </w:rPr>
        <w:t>Rights</w:t>
      </w:r>
      <w:proofErr w:type="spellEnd"/>
      <w:r w:rsidRPr="009257E7">
        <w:rPr>
          <w:lang w:val="es-ES"/>
        </w:rPr>
        <w:t xml:space="preserve">, sostiene que la educación jurídica y la producción académica pueden y deben volver a dedicarse a la descolonización. Anima a les </w:t>
      </w:r>
      <w:r w:rsidRPr="009257E7">
        <w:rPr>
          <w:lang w:val="es-ES"/>
        </w:rPr>
        <w:lastRenderedPageBreak/>
        <w:t>abogades a crear “una producción académica viva, caminante y respirante que ayude a quienes sufren algunos de los abusos de derechos humanos más severos a desarrollar estrategias para el cambio”</w:t>
      </w:r>
      <w:r w:rsidR="002230D3" w:rsidRPr="009257E7">
        <w:rPr>
          <w:rStyle w:val="FootnoteReference"/>
          <w:lang w:val="es-ES"/>
        </w:rPr>
        <w:footnoteReference w:id="134"/>
      </w:r>
      <w:r w:rsidRPr="009257E7">
        <w:rPr>
          <w:lang w:val="es-ES"/>
        </w:rPr>
        <w:t>. Este enfoque orientado hacia la justicia equiparía a les estudiantes tanto para comprender como para ver a través de los formalismos binarios de la cultura jurídica occidental.</w:t>
      </w:r>
    </w:p>
    <w:p w14:paraId="0426EE2D" w14:textId="77777777" w:rsidR="00C34C7F" w:rsidRPr="009257E7" w:rsidRDefault="002230D3" w:rsidP="00880E97">
      <w:pPr>
        <w:pStyle w:val="NormalWeb"/>
        <w:ind w:firstLine="720"/>
        <w:rPr>
          <w:b/>
          <w:bCs/>
          <w:lang w:val="es-ES"/>
        </w:rPr>
      </w:pPr>
      <w:r w:rsidRPr="009257E7">
        <w:rPr>
          <w:lang w:val="es-ES"/>
        </w:rPr>
        <w:t>S</w:t>
      </w:r>
      <w:r w:rsidR="00B1786A" w:rsidRPr="009257E7">
        <w:rPr>
          <w:lang w:val="es-ES"/>
        </w:rPr>
        <w:t xml:space="preserve">i el conocimiento crítico o desde abajo no se ofrece en los currículos institucionales, les abogades deben desaprender y reaprender las formas del derecho y la justicia por su cuenta y junto con amistades y aliades. La descolonización del formalismo jurídico y sus ficciones es una empresa personal y colectiva, tanto interna como material. Estudiantes y profesores pueden exponer las consecuencias del formalismo en contextos institucionales y en espacios sociales cotidianos. La descolonización es un proceso multifacético de exorcizar las ideologías, culturas y premisas trasplantadas por el colonialismo, el imperialismo y la globalización, e internalizadas a </w:t>
      </w:r>
      <w:r w:rsidRPr="009257E7">
        <w:rPr>
          <w:lang w:val="es-ES"/>
        </w:rPr>
        <w:t>lo largo</w:t>
      </w:r>
      <w:r w:rsidR="00B1786A" w:rsidRPr="009257E7">
        <w:rPr>
          <w:lang w:val="es-ES"/>
        </w:rPr>
        <w:t xml:space="preserve"> de generaciones. Descolonizar la educación </w:t>
      </w:r>
      <w:r w:rsidRPr="009257E7">
        <w:rPr>
          <w:lang w:val="es-ES"/>
        </w:rPr>
        <w:t>implica reemplazar</w:t>
      </w:r>
      <w:r w:rsidR="00B1786A" w:rsidRPr="009257E7">
        <w:rPr>
          <w:lang w:val="es-ES"/>
        </w:rPr>
        <w:t xml:space="preserve"> los valores coloniales </w:t>
      </w:r>
      <w:r w:rsidRPr="009257E7">
        <w:rPr>
          <w:lang w:val="es-ES"/>
        </w:rPr>
        <w:t>por</w:t>
      </w:r>
      <w:r w:rsidR="00B1786A" w:rsidRPr="009257E7">
        <w:rPr>
          <w:lang w:val="es-ES"/>
        </w:rPr>
        <w:t xml:space="preserve"> relaciones liberadoras e igualitarias que promueven el desaprendizaje y </w:t>
      </w:r>
      <w:r w:rsidRPr="009257E7">
        <w:rPr>
          <w:lang w:val="es-ES"/>
        </w:rPr>
        <w:t xml:space="preserve">el </w:t>
      </w:r>
      <w:r w:rsidR="00B1786A" w:rsidRPr="009257E7">
        <w:rPr>
          <w:lang w:val="es-ES"/>
        </w:rPr>
        <w:t xml:space="preserve">reaprendizaje continuos en el </w:t>
      </w:r>
      <w:r w:rsidRPr="009257E7">
        <w:rPr>
          <w:lang w:val="es-ES"/>
        </w:rPr>
        <w:t xml:space="preserve">ámbito del </w:t>
      </w:r>
      <w:r w:rsidR="00B1786A" w:rsidRPr="009257E7">
        <w:rPr>
          <w:lang w:val="es-ES"/>
        </w:rPr>
        <w:t>derecho y en toda la sociedad. Entre estos se encuentra el individualismo jurídico.</w:t>
      </w:r>
      <w:r w:rsidR="00880E97" w:rsidRPr="009257E7">
        <w:rPr>
          <w:lang w:val="es-ES"/>
        </w:rPr>
        <w:br/>
      </w:r>
      <w:r w:rsidR="008F5B70" w:rsidRPr="009257E7">
        <w:rPr>
          <w:b/>
          <w:bCs/>
          <w:lang w:val="es-ES"/>
        </w:rPr>
        <w:br/>
        <w:t>3.4 El individualismo jurídico —un formalismo clave— atomiza el derecho y desajusta los problemas y las soluciones</w:t>
      </w:r>
    </w:p>
    <w:p w14:paraId="627BCDD4" w14:textId="5E490E62" w:rsidR="00C34C7F" w:rsidRPr="009257E7" w:rsidRDefault="00C34C7F" w:rsidP="00D113F3">
      <w:pPr>
        <w:pStyle w:val="NormalWeb"/>
        <w:ind w:firstLine="720"/>
        <w:rPr>
          <w:lang w:val="es-ES"/>
        </w:rPr>
      </w:pPr>
      <w:r w:rsidRPr="009257E7">
        <w:rPr>
          <w:lang w:val="es-ES"/>
        </w:rPr>
        <w:t xml:space="preserve">Aunque los formalismos abundan en el derecho, algunas ficciones formalistas </w:t>
      </w:r>
      <w:r w:rsidR="00D113F3" w:rsidRPr="009257E7">
        <w:rPr>
          <w:lang w:val="es-ES"/>
        </w:rPr>
        <w:t>resulta</w:t>
      </w:r>
      <w:r w:rsidRPr="009257E7">
        <w:rPr>
          <w:lang w:val="es-ES"/>
        </w:rPr>
        <w:t>n más existenciales para el sistema que otras. Entre estos formalismos sistémicos, el individualismo jurídico ocupa un lugar clave: la noción</w:t>
      </w:r>
      <w:r w:rsidR="00D113F3" w:rsidRPr="009257E7">
        <w:rPr>
          <w:lang w:val="es-ES"/>
        </w:rPr>
        <w:t>,</w:t>
      </w:r>
      <w:r w:rsidRPr="009257E7">
        <w:rPr>
          <w:lang w:val="es-ES"/>
        </w:rPr>
        <w:t xml:space="preserve"> desde arriba</w:t>
      </w:r>
      <w:r w:rsidR="00D113F3" w:rsidRPr="009257E7">
        <w:rPr>
          <w:lang w:val="es-ES"/>
        </w:rPr>
        <w:t>,</w:t>
      </w:r>
      <w:r w:rsidRPr="009257E7">
        <w:rPr>
          <w:lang w:val="es-ES"/>
        </w:rPr>
        <w:t xml:space="preserve"> de que la solución de problemas debe enmarcarse </w:t>
      </w:r>
      <w:r w:rsidR="00D113F3" w:rsidRPr="009257E7">
        <w:rPr>
          <w:lang w:val="es-ES"/>
        </w:rPr>
        <w:t>en</w:t>
      </w:r>
      <w:r w:rsidRPr="009257E7">
        <w:rPr>
          <w:lang w:val="es-ES"/>
        </w:rPr>
        <w:t xml:space="preserve"> asuntos, derechos y remedios “individuales” —o jurídicamente individuados—. En general, el individualismo jurídico sostiene la arquitectura del sistema jurídico estadounidense tanto </w:t>
      </w:r>
      <w:r w:rsidR="00D113F3" w:rsidRPr="009257E7">
        <w:rPr>
          <w:lang w:val="es-ES"/>
        </w:rPr>
        <w:t>en</w:t>
      </w:r>
      <w:r w:rsidRPr="009257E7">
        <w:rPr>
          <w:lang w:val="es-ES"/>
        </w:rPr>
        <w:t xml:space="preserve"> </w:t>
      </w:r>
      <w:r w:rsidR="00D113F3" w:rsidRPr="009257E7">
        <w:rPr>
          <w:lang w:val="es-ES"/>
        </w:rPr>
        <w:t xml:space="preserve">el </w:t>
      </w:r>
      <w:r w:rsidRPr="009257E7">
        <w:rPr>
          <w:lang w:val="es-ES"/>
        </w:rPr>
        <w:t>proceso —solo casos “personales”— como</w:t>
      </w:r>
      <w:r w:rsidR="00D113F3" w:rsidRPr="009257E7">
        <w:rPr>
          <w:lang w:val="es-ES"/>
        </w:rPr>
        <w:t xml:space="preserve"> en la</w:t>
      </w:r>
      <w:r w:rsidRPr="009257E7">
        <w:rPr>
          <w:lang w:val="es-ES"/>
        </w:rPr>
        <w:t xml:space="preserve"> sustancia —solo derechos “individuales”—. Esto crea un desajuste entre los remedios —solo para individuos— y los problemas —construidos </w:t>
      </w:r>
      <w:r w:rsidR="00E4232A" w:rsidRPr="009257E7">
        <w:rPr>
          <w:lang w:val="es-ES"/>
        </w:rPr>
        <w:t>en</w:t>
      </w:r>
      <w:r w:rsidRPr="009257E7">
        <w:rPr>
          <w:lang w:val="es-ES"/>
        </w:rPr>
        <w:t xml:space="preserve"> </w:t>
      </w:r>
      <w:r w:rsidR="00E4232A" w:rsidRPr="009257E7">
        <w:rPr>
          <w:lang w:val="es-ES"/>
        </w:rPr>
        <w:t>torno a</w:t>
      </w:r>
      <w:r w:rsidRPr="009257E7">
        <w:rPr>
          <w:lang w:val="es-ES"/>
        </w:rPr>
        <w:t xml:space="preserve"> identidades grupales—. El individualismo jurídico va más </w:t>
      </w:r>
      <w:r w:rsidR="00E4232A" w:rsidRPr="009257E7">
        <w:rPr>
          <w:lang w:val="es-ES"/>
        </w:rPr>
        <w:t>allá</w:t>
      </w:r>
      <w:r w:rsidRPr="009257E7">
        <w:rPr>
          <w:lang w:val="es-ES"/>
        </w:rPr>
        <w:t xml:space="preserve"> </w:t>
      </w:r>
      <w:r w:rsidR="00E4232A" w:rsidRPr="009257E7">
        <w:rPr>
          <w:lang w:val="es-ES"/>
        </w:rPr>
        <w:t>d</w:t>
      </w:r>
      <w:r w:rsidRPr="009257E7">
        <w:rPr>
          <w:lang w:val="es-ES"/>
        </w:rPr>
        <w:t>e cualquier doctrina particular y atraviesa la formación, la práctica y la cultura jurídicas.</w:t>
      </w:r>
    </w:p>
    <w:p w14:paraId="42943620" w14:textId="78145649" w:rsidR="00C34C7F" w:rsidRPr="009257E7" w:rsidRDefault="00C34C7F" w:rsidP="00E4232A">
      <w:pPr>
        <w:pStyle w:val="NormalWeb"/>
        <w:ind w:firstLine="720"/>
        <w:rPr>
          <w:lang w:val="es-ES"/>
        </w:rPr>
      </w:pPr>
      <w:r w:rsidRPr="009257E7">
        <w:rPr>
          <w:lang w:val="es-ES"/>
        </w:rPr>
        <w:t xml:space="preserve">Este formalismo particular está </w:t>
      </w:r>
      <w:r w:rsidR="004F7BFA" w:rsidRPr="009257E7">
        <w:rPr>
          <w:lang w:val="es-ES"/>
        </w:rPr>
        <w:t>incrustado</w:t>
      </w:r>
      <w:r w:rsidRPr="009257E7">
        <w:rPr>
          <w:lang w:val="es-ES"/>
        </w:rPr>
        <w:t xml:space="preserve"> en el sistema y afecta todo lo demás </w:t>
      </w:r>
      <w:r w:rsidR="004F7BFA" w:rsidRPr="009257E7">
        <w:rPr>
          <w:lang w:val="es-ES"/>
        </w:rPr>
        <w:t>d</w:t>
      </w:r>
      <w:r w:rsidRPr="009257E7">
        <w:rPr>
          <w:lang w:val="es-ES"/>
        </w:rPr>
        <w:t xml:space="preserve">el derecho, especialmente al restringir el litigio y la adjudicación como instrumentos de justicia sistémica en el encuadre de </w:t>
      </w:r>
      <w:r w:rsidR="004F7BFA" w:rsidRPr="009257E7">
        <w:rPr>
          <w:lang w:val="es-ES"/>
        </w:rPr>
        <w:t xml:space="preserve">las </w:t>
      </w:r>
      <w:r w:rsidRPr="009257E7">
        <w:rPr>
          <w:lang w:val="es-ES"/>
        </w:rPr>
        <w:t>reclamaciones, el reconocimiento de</w:t>
      </w:r>
      <w:r w:rsidR="004F7BFA" w:rsidRPr="009257E7">
        <w:rPr>
          <w:lang w:val="es-ES"/>
        </w:rPr>
        <w:t xml:space="preserve"> la</w:t>
      </w:r>
      <w:r w:rsidRPr="009257E7">
        <w:rPr>
          <w:lang w:val="es-ES"/>
        </w:rPr>
        <w:t xml:space="preserve"> legitimación activa y los remedios permitidos, por ejemplo. Aunque las lesiones sistémicas son comunales, el sistema normalmente insiste en atomizar las lesiones colectivizadas en remedios individualizados. Al desajustar de manera sistémica la lesión y el remedio, el individualismo jurídico limita la conciencia y las opciones de la abogacía. Les abogades deben comprender este formalismo existencial, ser capaces de detectar sus efectos y estar preparades para contrarrestarlo —o </w:t>
      </w:r>
      <w:r w:rsidR="006C68EB" w:rsidRPr="009257E7">
        <w:rPr>
          <w:lang w:val="es-ES"/>
        </w:rPr>
        <w:t>circunvalarlo</w:t>
      </w:r>
      <w:r w:rsidRPr="009257E7">
        <w:rPr>
          <w:lang w:val="es-ES"/>
        </w:rPr>
        <w:t>— de manera estratégica.</w:t>
      </w:r>
    </w:p>
    <w:p w14:paraId="4AED49FC" w14:textId="7D0190AE" w:rsidR="00C34C7F" w:rsidRPr="009257E7" w:rsidRDefault="00C34C7F" w:rsidP="004312A8">
      <w:pPr>
        <w:pStyle w:val="NormalWeb"/>
        <w:ind w:firstLine="720"/>
        <w:rPr>
          <w:lang w:val="es-ES"/>
        </w:rPr>
      </w:pPr>
      <w:r w:rsidRPr="009257E7">
        <w:rPr>
          <w:lang w:val="es-ES"/>
        </w:rPr>
        <w:t xml:space="preserve">En general, el individualismo ha sido parte del derecho y </w:t>
      </w:r>
      <w:r w:rsidR="004312A8" w:rsidRPr="009257E7">
        <w:rPr>
          <w:lang w:val="es-ES"/>
        </w:rPr>
        <w:t xml:space="preserve">de </w:t>
      </w:r>
      <w:r w:rsidRPr="009257E7">
        <w:rPr>
          <w:lang w:val="es-ES"/>
        </w:rPr>
        <w:t xml:space="preserve">la sociedad desde el inicio de </w:t>
      </w:r>
      <w:r w:rsidR="004312A8" w:rsidRPr="009257E7">
        <w:rPr>
          <w:lang w:val="es-ES"/>
        </w:rPr>
        <w:t xml:space="preserve">los </w:t>
      </w:r>
      <w:r w:rsidRPr="009257E7">
        <w:rPr>
          <w:lang w:val="es-ES"/>
        </w:rPr>
        <w:t xml:space="preserve">Estados Unidos y sostiene mitos fundacionales estadounidenses clave. El individualismo idealizado es el centro del “Sueño Americano” y del “individualismo rudo” de la tradición estadounidense. Como cultura e ideología, el individualismo estrecha los conceptos a los que les </w:t>
      </w:r>
      <w:r w:rsidRPr="009257E7">
        <w:rPr>
          <w:lang w:val="es-ES"/>
        </w:rPr>
        <w:lastRenderedPageBreak/>
        <w:t xml:space="preserve">abogades sistémiques y </w:t>
      </w:r>
      <w:r w:rsidR="00DF399E" w:rsidRPr="009257E7">
        <w:rPr>
          <w:lang w:val="es-ES"/>
        </w:rPr>
        <w:t xml:space="preserve">les </w:t>
      </w:r>
      <w:r w:rsidRPr="009257E7">
        <w:rPr>
          <w:lang w:val="es-ES"/>
        </w:rPr>
        <w:t xml:space="preserve">activistas pueden recurrir al diseñar y ejecutar acciones. En el derecho específicamente, el individualismo disminuye la atención a los grupos y movimientos, y la abogacía </w:t>
      </w:r>
      <w:r w:rsidR="00DF399E" w:rsidRPr="009257E7">
        <w:rPr>
          <w:lang w:val="es-ES"/>
        </w:rPr>
        <w:t>por</w:t>
      </w:r>
      <w:r w:rsidRPr="009257E7">
        <w:rPr>
          <w:lang w:val="es-ES"/>
        </w:rPr>
        <w:t xml:space="preserve"> ellos, lo que ayuda a preservar el statu quo de las castas identitarias.</w:t>
      </w:r>
    </w:p>
    <w:p w14:paraId="0C3C12A8" w14:textId="15D1FF55" w:rsidR="00C34C7F" w:rsidRPr="009257E7" w:rsidRDefault="00C34C7F" w:rsidP="00DF399E">
      <w:pPr>
        <w:pStyle w:val="NormalWeb"/>
        <w:ind w:firstLine="720"/>
        <w:rPr>
          <w:lang w:val="es-ES"/>
        </w:rPr>
      </w:pPr>
      <w:r w:rsidRPr="009257E7">
        <w:rPr>
          <w:lang w:val="es-ES"/>
        </w:rPr>
        <w:t xml:space="preserve">Considérese, en este sentido, el análisis crítico del individualismo jurídico en el derecho y la sociedad realizado por </w:t>
      </w:r>
      <w:proofErr w:type="spellStart"/>
      <w:r w:rsidRPr="009257E7">
        <w:rPr>
          <w:lang w:val="es-ES"/>
        </w:rPr>
        <w:t>john</w:t>
      </w:r>
      <w:proofErr w:type="spellEnd"/>
      <w:r w:rsidRPr="009257E7">
        <w:rPr>
          <w:lang w:val="es-ES"/>
        </w:rPr>
        <w:t xml:space="preserve"> </w:t>
      </w:r>
      <w:proofErr w:type="spellStart"/>
      <w:r w:rsidRPr="009257E7">
        <w:rPr>
          <w:lang w:val="es-ES"/>
        </w:rPr>
        <w:t>powell</w:t>
      </w:r>
      <w:proofErr w:type="spellEnd"/>
      <w:r w:rsidR="00D76F81" w:rsidRPr="009257E7">
        <w:rPr>
          <w:rStyle w:val="FootnoteReference"/>
          <w:lang w:val="es-ES"/>
        </w:rPr>
        <w:footnoteReference w:id="135"/>
      </w:r>
      <w:r w:rsidRPr="009257E7">
        <w:rPr>
          <w:lang w:val="es-ES"/>
        </w:rPr>
        <w:t xml:space="preserve">, académico del derecho y exdirector jurídico nacional de la ACLU. </w:t>
      </w:r>
      <w:proofErr w:type="spellStart"/>
      <w:r w:rsidRPr="009257E7">
        <w:rPr>
          <w:lang w:val="es-ES"/>
        </w:rPr>
        <w:t>powell</w:t>
      </w:r>
      <w:proofErr w:type="spellEnd"/>
      <w:r w:rsidRPr="009257E7">
        <w:rPr>
          <w:lang w:val="es-ES"/>
        </w:rPr>
        <w:t xml:space="preserve"> desenmascara los efectos cargados de identidad del individualismo jurídico, y enfatiza cómo el individualismo limita el conocimiento colectivo y las colaboraciones desde abajo. Desde una perspectiva de</w:t>
      </w:r>
      <w:r w:rsidR="009F1748" w:rsidRPr="009257E7">
        <w:rPr>
          <w:lang w:val="es-ES"/>
        </w:rPr>
        <w:t>sde</w:t>
      </w:r>
      <w:r w:rsidRPr="009257E7">
        <w:rPr>
          <w:lang w:val="es-ES"/>
        </w:rPr>
        <w:t xml:space="preserve"> abajo, el individualismo aísla a los individuos y, de manera paradójica, enfatiza la diferencia mientras exige igualdad. Bajo “la ideología de la individualidad”, como revela </w:t>
      </w:r>
      <w:proofErr w:type="spellStart"/>
      <w:r w:rsidRPr="009257E7">
        <w:rPr>
          <w:lang w:val="es-ES"/>
        </w:rPr>
        <w:t>powell</w:t>
      </w:r>
      <w:proofErr w:type="spellEnd"/>
      <w:r w:rsidRPr="009257E7">
        <w:rPr>
          <w:lang w:val="es-ES"/>
        </w:rPr>
        <w:t xml:space="preserve">, todes somos individuos únicos, pero también somos una sola raza. Con esta perspectiva crítica, </w:t>
      </w:r>
      <w:proofErr w:type="spellStart"/>
      <w:r w:rsidRPr="009257E7">
        <w:rPr>
          <w:lang w:val="es-ES"/>
        </w:rPr>
        <w:t>powell</w:t>
      </w:r>
      <w:proofErr w:type="spellEnd"/>
      <w:r w:rsidRPr="009257E7">
        <w:rPr>
          <w:lang w:val="es-ES"/>
        </w:rPr>
        <w:t xml:space="preserve"> explica cómo el “lenguaje de la individualidad” —y esta paradoja— inhibe la formación de </w:t>
      </w:r>
      <w:proofErr w:type="gramStart"/>
      <w:r w:rsidRPr="009257E7">
        <w:rPr>
          <w:lang w:val="es-ES"/>
        </w:rPr>
        <w:t>conciencia colectiva y acción colectiva</w:t>
      </w:r>
      <w:proofErr w:type="gramEnd"/>
      <w:r w:rsidRPr="009257E7">
        <w:rPr>
          <w:lang w:val="es-ES"/>
        </w:rPr>
        <w:t xml:space="preserve"> para cambiar sistemas y sus resultados:</w:t>
      </w:r>
    </w:p>
    <w:p w14:paraId="77A45CCB" w14:textId="77777777" w:rsidR="00C34C7F" w:rsidRPr="009257E7" w:rsidRDefault="00C34C7F" w:rsidP="007D595A">
      <w:pPr>
        <w:pStyle w:val="NormalWeb"/>
        <w:ind w:left="720"/>
        <w:rPr>
          <w:lang w:val="es-ES"/>
        </w:rPr>
      </w:pPr>
      <w:r w:rsidRPr="009257E7">
        <w:rPr>
          <w:lang w:val="es-ES"/>
        </w:rPr>
        <w:t>[...] Creo que el lenguaje dominante y la ideología de la individualidad nos ciegan ante las formas en que no somos solo individuos. [...]</w:t>
      </w:r>
    </w:p>
    <w:p w14:paraId="7788C690" w14:textId="03C20B1B" w:rsidR="00C34C7F" w:rsidRPr="009257E7" w:rsidRDefault="00C34C7F" w:rsidP="007D595A">
      <w:pPr>
        <w:pStyle w:val="NormalWeb"/>
        <w:ind w:left="720"/>
        <w:rPr>
          <w:lang w:val="es-ES"/>
        </w:rPr>
      </w:pPr>
      <w:r w:rsidRPr="009257E7">
        <w:rPr>
          <w:lang w:val="es-ES"/>
        </w:rPr>
        <w:t xml:space="preserve">Resulta evidente que la opresión y la dominación ocurren en el nivel sistémico o colectivo cuando se observa que a menudo son sancionadas por el lenguaje, la estructura, las instituciones y las prácticas de una sociedad. De hecho, John Rawls sugirió que, si queremos saber si una sociedad es justa, no debemos detenernos demasiado en las actitudes individuales </w:t>
      </w:r>
      <w:r w:rsidR="007D595A" w:rsidRPr="009257E7">
        <w:rPr>
          <w:lang w:val="es-ES"/>
        </w:rPr>
        <w:t>d</w:t>
      </w:r>
      <w:r w:rsidRPr="009257E7">
        <w:rPr>
          <w:lang w:val="es-ES"/>
        </w:rPr>
        <w:t xml:space="preserve">e las personas en esa sociedad. En cambio, Rawls dirige nuestra atención </w:t>
      </w:r>
      <w:r w:rsidR="007D595A" w:rsidRPr="009257E7">
        <w:rPr>
          <w:lang w:val="es-ES"/>
        </w:rPr>
        <w:t>a</w:t>
      </w:r>
      <w:r w:rsidRPr="009257E7">
        <w:rPr>
          <w:lang w:val="es-ES"/>
        </w:rPr>
        <w:t xml:space="preserve"> los arreglos y </w:t>
      </w:r>
      <w:r w:rsidR="007D595A" w:rsidRPr="009257E7">
        <w:rPr>
          <w:lang w:val="es-ES"/>
        </w:rPr>
        <w:t xml:space="preserve">las </w:t>
      </w:r>
      <w:r w:rsidRPr="009257E7">
        <w:rPr>
          <w:lang w:val="es-ES"/>
        </w:rPr>
        <w:t>estructuras institucionales de esas sociedades. [...]</w:t>
      </w:r>
    </w:p>
    <w:p w14:paraId="55367507" w14:textId="7DA38EEE" w:rsidR="00C34C7F" w:rsidRPr="009257E7" w:rsidRDefault="00C34C7F" w:rsidP="007D595A">
      <w:pPr>
        <w:pStyle w:val="NormalWeb"/>
        <w:ind w:left="720"/>
        <w:rPr>
          <w:lang w:val="es-ES"/>
        </w:rPr>
      </w:pPr>
      <w:r w:rsidRPr="009257E7">
        <w:rPr>
          <w:lang w:val="es-ES"/>
        </w:rPr>
        <w:t xml:space="preserve">[...] ¿Cómo opera hoy el individualismo </w:t>
      </w:r>
      <w:r w:rsidR="007D595A" w:rsidRPr="009257E7">
        <w:rPr>
          <w:lang w:val="es-ES"/>
        </w:rPr>
        <w:t>en torno a</w:t>
      </w:r>
      <w:r w:rsidRPr="009257E7">
        <w:rPr>
          <w:lang w:val="es-ES"/>
        </w:rPr>
        <w:t xml:space="preserve"> la raza y el género? La respuesta desde el campo individualista es que la raza y el género no existen. Somos solo individuos. Cualquier característica que no refleje esa individualidad es simplemente un accidente. En otras palabras, cualquier marcador de género, raza o sexualidad </w:t>
      </w:r>
      <w:r w:rsidR="007D595A" w:rsidRPr="009257E7">
        <w:rPr>
          <w:lang w:val="es-ES"/>
        </w:rPr>
        <w:t>en</w:t>
      </w:r>
      <w:r w:rsidRPr="009257E7">
        <w:rPr>
          <w:lang w:val="es-ES"/>
        </w:rPr>
        <w:t xml:space="preserve"> </w:t>
      </w:r>
      <w:r w:rsidR="007D595A" w:rsidRPr="009257E7">
        <w:rPr>
          <w:lang w:val="es-ES"/>
        </w:rPr>
        <w:t>torno a</w:t>
      </w:r>
      <w:r w:rsidRPr="009257E7">
        <w:rPr>
          <w:lang w:val="es-ES"/>
        </w:rPr>
        <w:t>l cual se construye significado socialmente es, en gran medida, irrelevante.</w:t>
      </w:r>
    </w:p>
    <w:p w14:paraId="25346AFB" w14:textId="107BEA89" w:rsidR="00C34C7F" w:rsidRPr="009257E7" w:rsidRDefault="00C34C7F" w:rsidP="007D595A">
      <w:pPr>
        <w:pStyle w:val="NormalWeb"/>
        <w:ind w:left="720"/>
        <w:rPr>
          <w:lang w:val="es-ES"/>
        </w:rPr>
      </w:pPr>
      <w:r w:rsidRPr="009257E7">
        <w:rPr>
          <w:lang w:val="es-ES"/>
        </w:rPr>
        <w:t>De algún modo, la individualidad, incluso cuando pretende tomar en cuenta nuestra singularidad, [por tanto] nos hace a todes iguales en formas fundamentales. Tod</w:t>
      </w:r>
      <w:r w:rsidR="00F36230" w:rsidRPr="009257E7">
        <w:rPr>
          <w:lang w:val="es-ES"/>
        </w:rPr>
        <w:t>o</w:t>
      </w:r>
      <w:r w:rsidRPr="009257E7">
        <w:rPr>
          <w:lang w:val="es-ES"/>
        </w:rPr>
        <w:t>s somos personas racionales y autónomas y, por tanto, deberíamos recibir el mismo trato. [...] Así, la individualidad se convierte en un modelo de asimilación. Tod</w:t>
      </w:r>
      <w:r w:rsidR="00F36230" w:rsidRPr="009257E7">
        <w:rPr>
          <w:lang w:val="es-ES"/>
        </w:rPr>
        <w:t>o</w:t>
      </w:r>
      <w:r w:rsidRPr="009257E7">
        <w:rPr>
          <w:lang w:val="es-ES"/>
        </w:rPr>
        <w:t>s somos exactamente iguales. [...] Pero ¿cuáles son las consecuencias de adoptar esta postura para los grupos subordinados y marginados? [...]</w:t>
      </w:r>
      <w:r w:rsidR="00226B7F" w:rsidRPr="009257E7">
        <w:rPr>
          <w:rStyle w:val="FootnoteReference"/>
          <w:lang w:val="es-ES"/>
        </w:rPr>
        <w:footnoteReference w:id="136"/>
      </w:r>
    </w:p>
    <w:p w14:paraId="66F8E610" w14:textId="260FEBDC" w:rsidR="00C34C7F" w:rsidRPr="009257E7" w:rsidRDefault="00C34C7F" w:rsidP="00226B7F">
      <w:pPr>
        <w:pStyle w:val="NormalWeb"/>
        <w:ind w:firstLine="720"/>
        <w:rPr>
          <w:lang w:val="es-ES"/>
        </w:rPr>
      </w:pPr>
      <w:r w:rsidRPr="009257E7">
        <w:rPr>
          <w:lang w:val="es-ES"/>
        </w:rPr>
        <w:t xml:space="preserve">Como señala </w:t>
      </w:r>
      <w:proofErr w:type="spellStart"/>
      <w:r w:rsidRPr="009257E7">
        <w:rPr>
          <w:lang w:val="es-ES"/>
        </w:rPr>
        <w:t>powell</w:t>
      </w:r>
      <w:proofErr w:type="spellEnd"/>
      <w:r w:rsidRPr="009257E7">
        <w:rPr>
          <w:lang w:val="es-ES"/>
        </w:rPr>
        <w:t xml:space="preserve">, el individualismo en el derecho significa asimilación a normas y </w:t>
      </w:r>
      <w:r w:rsidR="00226B7F" w:rsidRPr="009257E7">
        <w:rPr>
          <w:lang w:val="es-ES"/>
        </w:rPr>
        <w:t xml:space="preserve">a </w:t>
      </w:r>
      <w:r w:rsidRPr="009257E7">
        <w:rPr>
          <w:lang w:val="es-ES"/>
        </w:rPr>
        <w:t>grupos dominantes. Significa negar que las identidades sociales import</w:t>
      </w:r>
      <w:r w:rsidR="00226B7F" w:rsidRPr="009257E7">
        <w:rPr>
          <w:lang w:val="es-ES"/>
        </w:rPr>
        <w:t>en</w:t>
      </w:r>
      <w:r w:rsidRPr="009257E7">
        <w:rPr>
          <w:lang w:val="es-ES"/>
        </w:rPr>
        <w:t xml:space="preserve"> tanto en el derecho </w:t>
      </w:r>
      <w:r w:rsidRPr="009257E7">
        <w:rPr>
          <w:lang w:val="es-ES"/>
        </w:rPr>
        <w:lastRenderedPageBreak/>
        <w:t>como en la sociedad. Paradójicamente, el individualismo jurídico niega la necesidad o la realidad de la diferencia, incluso mientras insiste en que “todes” somos seres únicos.</w:t>
      </w:r>
    </w:p>
    <w:p w14:paraId="759EED91" w14:textId="1515A65E" w:rsidR="00C34C7F" w:rsidRPr="009257E7" w:rsidRDefault="00C34C7F" w:rsidP="009C5EFF">
      <w:pPr>
        <w:pStyle w:val="NormalWeb"/>
        <w:ind w:firstLine="720"/>
        <w:rPr>
          <w:lang w:val="es-ES"/>
        </w:rPr>
      </w:pPr>
      <w:r w:rsidRPr="009257E7">
        <w:rPr>
          <w:lang w:val="es-ES"/>
        </w:rPr>
        <w:t>El individualismo jurídico, como el formalismo en general, nunca es neutral, por diseño. Más bien, estructura un desajuste entre las reclamaciones y los remedios permitidos</w:t>
      </w:r>
      <w:r w:rsidR="00F52193" w:rsidRPr="009257E7">
        <w:rPr>
          <w:lang w:val="es-ES"/>
        </w:rPr>
        <w:t>; ofrece</w:t>
      </w:r>
      <w:r w:rsidRPr="009257E7">
        <w:rPr>
          <w:lang w:val="es-ES"/>
        </w:rPr>
        <w:t xml:space="preserve"> ayuda y consuelo a las castas de grupos identitarios que el principio de justicia igualitaria repudia expresamente. Junto con las esposas de la industria, </w:t>
      </w:r>
      <w:r w:rsidR="00F52193" w:rsidRPr="009257E7">
        <w:rPr>
          <w:lang w:val="es-ES"/>
        </w:rPr>
        <w:t>la ceguera</w:t>
      </w:r>
      <w:r w:rsidRPr="009257E7">
        <w:rPr>
          <w:lang w:val="es-ES"/>
        </w:rPr>
        <w:t xml:space="preserve"> formalista selectiv</w:t>
      </w:r>
      <w:r w:rsidR="00F52193" w:rsidRPr="009257E7">
        <w:rPr>
          <w:lang w:val="es-ES"/>
        </w:rPr>
        <w:t>a</w:t>
      </w:r>
      <w:r w:rsidRPr="009257E7">
        <w:rPr>
          <w:lang w:val="es-ES"/>
        </w:rPr>
        <w:t>, incluido el individualismo, mantiene el derecho atado al Desafío Crítico. Así, el derecho le falla a la justicia como se pretendía: “</w:t>
      </w:r>
      <w:r w:rsidR="0024453E" w:rsidRPr="009257E7">
        <w:rPr>
          <w:lang w:val="es-ES"/>
        </w:rPr>
        <w:t>E</w:t>
      </w:r>
      <w:r w:rsidRPr="009257E7">
        <w:rPr>
          <w:lang w:val="es-ES"/>
        </w:rPr>
        <w:t>l individualismo sirve para privilegiar y normalizar las preferencias de los grupos dominantes. El derecho tiene una historia</w:t>
      </w:r>
      <w:r w:rsidR="0024453E" w:rsidRPr="009257E7">
        <w:rPr>
          <w:lang w:val="es-ES"/>
        </w:rPr>
        <w:t xml:space="preserve"> extensa</w:t>
      </w:r>
      <w:r w:rsidRPr="009257E7">
        <w:rPr>
          <w:lang w:val="es-ES"/>
        </w:rPr>
        <w:t xml:space="preserve"> de proteger las decisiones de las personas blancas, aunque </w:t>
      </w:r>
      <w:r w:rsidR="00D025F4" w:rsidRPr="009257E7">
        <w:rPr>
          <w:lang w:val="es-ES"/>
        </w:rPr>
        <w:t xml:space="preserve">estas </w:t>
      </w:r>
      <w:r w:rsidR="00640C77" w:rsidRPr="009257E7">
        <w:rPr>
          <w:lang w:val="es-ES"/>
        </w:rPr>
        <w:t xml:space="preserve">decisiones </w:t>
      </w:r>
      <w:r w:rsidRPr="009257E7">
        <w:rPr>
          <w:lang w:val="es-ES"/>
        </w:rPr>
        <w:t xml:space="preserve">puedan servir como barreras a la participación igualitaria de las personas negras en la sociedad. Las decisiones jurídicas que perjudican los intereses de igualdad de las personas negras se racionalizan </w:t>
      </w:r>
      <w:r w:rsidR="00D025F4" w:rsidRPr="009257E7">
        <w:rPr>
          <w:lang w:val="es-ES"/>
        </w:rPr>
        <w:t>en</w:t>
      </w:r>
      <w:r w:rsidRPr="009257E7">
        <w:rPr>
          <w:lang w:val="es-ES"/>
        </w:rPr>
        <w:t xml:space="preserve"> la necesidad de proteger el ideal </w:t>
      </w:r>
      <w:r w:rsidR="00D025F4" w:rsidRPr="009257E7">
        <w:rPr>
          <w:lang w:val="es-ES"/>
        </w:rPr>
        <w:t>de neutralidad</w:t>
      </w:r>
      <w:r w:rsidRPr="009257E7">
        <w:rPr>
          <w:lang w:val="es-ES"/>
        </w:rPr>
        <w:t xml:space="preserve"> de la libertad individual”</w:t>
      </w:r>
      <w:r w:rsidR="00640C77" w:rsidRPr="009257E7">
        <w:rPr>
          <w:rStyle w:val="FootnoteReference"/>
          <w:lang w:val="es-ES"/>
        </w:rPr>
        <w:footnoteReference w:id="137"/>
      </w:r>
      <w:r w:rsidRPr="009257E7">
        <w:rPr>
          <w:lang w:val="es-ES"/>
        </w:rPr>
        <w:t>.</w:t>
      </w:r>
    </w:p>
    <w:p w14:paraId="6D0CDA3F" w14:textId="74767A02" w:rsidR="00C34C7F" w:rsidRPr="009257E7" w:rsidRDefault="00C34C7F" w:rsidP="00640C77">
      <w:pPr>
        <w:pStyle w:val="NormalWeb"/>
        <w:ind w:firstLine="720"/>
        <w:rPr>
          <w:lang w:val="es-ES"/>
        </w:rPr>
      </w:pPr>
      <w:r w:rsidRPr="009257E7">
        <w:rPr>
          <w:lang w:val="es-ES"/>
        </w:rPr>
        <w:t xml:space="preserve">Este formalismo también atraviesa la teoría y la práctica económicas, especialmente el marco neoliberal dominante actual, lo </w:t>
      </w:r>
      <w:r w:rsidR="00640C77" w:rsidRPr="009257E7">
        <w:rPr>
          <w:lang w:val="es-ES"/>
        </w:rPr>
        <w:t>que</w:t>
      </w:r>
      <w:r w:rsidRPr="009257E7">
        <w:rPr>
          <w:lang w:val="es-ES"/>
        </w:rPr>
        <w:t xml:space="preserve"> refuerza los efectos desproporcionados del individualismo jurídico en términos materiales</w:t>
      </w:r>
      <w:r w:rsidR="00640C77" w:rsidRPr="009257E7">
        <w:rPr>
          <w:lang w:val="es-ES"/>
        </w:rPr>
        <w:t>,</w:t>
      </w:r>
      <w:r w:rsidRPr="009257E7">
        <w:rPr>
          <w:lang w:val="es-ES"/>
        </w:rPr>
        <w:t xml:space="preserve"> micro</w:t>
      </w:r>
      <w:r w:rsidR="00640C77" w:rsidRPr="009257E7">
        <w:rPr>
          <w:lang w:val="es-ES"/>
        </w:rPr>
        <w:t xml:space="preserve"> y </w:t>
      </w:r>
      <w:r w:rsidRPr="009257E7">
        <w:rPr>
          <w:lang w:val="es-ES"/>
        </w:rPr>
        <w:t>macro</w:t>
      </w:r>
      <w:r w:rsidR="00EB7FC2" w:rsidRPr="009257E7">
        <w:rPr>
          <w:rStyle w:val="FootnoteReference"/>
          <w:lang w:val="es-ES"/>
        </w:rPr>
        <w:footnoteReference w:id="138"/>
      </w:r>
      <w:r w:rsidRPr="009257E7">
        <w:rPr>
          <w:lang w:val="es-ES"/>
        </w:rPr>
        <w:t xml:space="preserve">. El individualismo jurídico y el individualismo económico se combinan para exagerar las vulnerabilidades de individuos y grupos ya vulnerables. Los </w:t>
      </w:r>
      <w:r w:rsidR="001C3B54" w:rsidRPr="009257E7">
        <w:rPr>
          <w:lang w:val="es-ES"/>
        </w:rPr>
        <w:t>numeros</w:t>
      </w:r>
      <w:r w:rsidRPr="009257E7">
        <w:rPr>
          <w:lang w:val="es-ES"/>
        </w:rPr>
        <w:t xml:space="preserve">os mitos del individualismo —jurídicos, económicos y culturales— contradicen el hecho </w:t>
      </w:r>
      <w:r w:rsidR="001C3B54" w:rsidRPr="009257E7">
        <w:rPr>
          <w:lang w:val="es-ES"/>
        </w:rPr>
        <w:t>bien</w:t>
      </w:r>
      <w:r w:rsidRPr="009257E7">
        <w:rPr>
          <w:lang w:val="es-ES"/>
        </w:rPr>
        <w:t xml:space="preserve"> conocido de que los seres humanos, como especie, son criaturas sociales. Si se aísla a las personas como individuos de otros individuos, marchitan y mueren. Verdaderamente se necesita una aldea, no solo para que los individuos sobrevivan y prosperen, sino </w:t>
      </w:r>
      <w:r w:rsidR="00FE2404" w:rsidRPr="009257E7">
        <w:rPr>
          <w:lang w:val="es-ES"/>
        </w:rPr>
        <w:t xml:space="preserve">también </w:t>
      </w:r>
      <w:r w:rsidRPr="009257E7">
        <w:rPr>
          <w:lang w:val="es-ES"/>
        </w:rPr>
        <w:t>para que se organicen con otras personas para comprender y resolver</w:t>
      </w:r>
      <w:r w:rsidR="00FE2404" w:rsidRPr="009257E7">
        <w:rPr>
          <w:lang w:val="es-ES"/>
        </w:rPr>
        <w:t xml:space="preserve"> las</w:t>
      </w:r>
      <w:r w:rsidRPr="009257E7">
        <w:rPr>
          <w:lang w:val="es-ES"/>
        </w:rPr>
        <w:t xml:space="preserve"> lesiones colectivas. En contextos como la democracia laboral o las reparaciones, las ideologías del individualismo obst</w:t>
      </w:r>
      <w:r w:rsidR="00FE2404" w:rsidRPr="009257E7">
        <w:rPr>
          <w:lang w:val="es-ES"/>
        </w:rPr>
        <w:t>aculiza</w:t>
      </w:r>
      <w:r w:rsidRPr="009257E7">
        <w:rPr>
          <w:lang w:val="es-ES"/>
        </w:rPr>
        <w:t>n las acciones colectivas necesarias para proteger a todos los individuos sujetos a un peligro o</w:t>
      </w:r>
      <w:r w:rsidR="00FE2404" w:rsidRPr="009257E7">
        <w:rPr>
          <w:lang w:val="es-ES"/>
        </w:rPr>
        <w:t xml:space="preserve"> a una</w:t>
      </w:r>
      <w:r w:rsidRPr="009257E7">
        <w:rPr>
          <w:lang w:val="es-ES"/>
        </w:rPr>
        <w:t xml:space="preserve"> vulnerabilidad común.</w:t>
      </w:r>
    </w:p>
    <w:p w14:paraId="211D856B" w14:textId="77777777" w:rsidR="00C34C7F" w:rsidRPr="009257E7" w:rsidRDefault="00C34C7F" w:rsidP="007219FA">
      <w:pPr>
        <w:pStyle w:val="NormalWeb"/>
        <w:ind w:firstLine="720"/>
        <w:rPr>
          <w:lang w:val="es-ES"/>
        </w:rPr>
      </w:pPr>
      <w:r w:rsidRPr="009257E7">
        <w:rPr>
          <w:lang w:val="es-ES"/>
        </w:rPr>
        <w:t xml:space="preserve">Les </w:t>
      </w:r>
      <w:proofErr w:type="spellStart"/>
      <w:r w:rsidRPr="009257E7">
        <w:rPr>
          <w:lang w:val="es-ES"/>
        </w:rPr>
        <w:t>académicxs</w:t>
      </w:r>
      <w:proofErr w:type="spellEnd"/>
      <w:r w:rsidRPr="009257E7">
        <w:rPr>
          <w:lang w:val="es-ES"/>
        </w:rPr>
        <w:t xml:space="preserve"> del derecho Kristen Carpenter y Eli Wald muestran otra forma en que el individualismo ha sesgado el derecho y su práctica, al enfocarse en el concepto de “abogacía celosa” en la ética jurídica:</w:t>
      </w:r>
    </w:p>
    <w:p w14:paraId="04942E52" w14:textId="7A3E2B0B" w:rsidR="00C34C7F" w:rsidRPr="009257E7" w:rsidRDefault="00C34C7F" w:rsidP="007E3672">
      <w:pPr>
        <w:pStyle w:val="NormalWeb"/>
        <w:ind w:left="720"/>
        <w:rPr>
          <w:lang w:val="es-ES"/>
        </w:rPr>
      </w:pPr>
      <w:r w:rsidRPr="009257E7">
        <w:rPr>
          <w:lang w:val="es-ES"/>
        </w:rPr>
        <w:t>La abogacía celosa refleja el impulso individualista del modelo básico. Presume un</w:t>
      </w:r>
      <w:r w:rsidR="007E3672" w:rsidRPr="009257E7">
        <w:rPr>
          <w:lang w:val="es-ES"/>
        </w:rPr>
        <w:t xml:space="preserve"> </w:t>
      </w:r>
      <w:r w:rsidRPr="009257E7">
        <w:rPr>
          <w:lang w:val="es-ES"/>
        </w:rPr>
        <w:t xml:space="preserve">cliente individual que establece objetivos claros y </w:t>
      </w:r>
      <w:r w:rsidR="009E0AF4" w:rsidRPr="009257E7">
        <w:rPr>
          <w:lang w:val="es-ES"/>
        </w:rPr>
        <w:t>los</w:t>
      </w:r>
      <w:r w:rsidRPr="009257E7">
        <w:rPr>
          <w:lang w:val="es-ES"/>
        </w:rPr>
        <w:t xml:space="preserve"> pers</w:t>
      </w:r>
      <w:r w:rsidR="009E0AF4" w:rsidRPr="009257E7">
        <w:rPr>
          <w:lang w:val="es-ES"/>
        </w:rPr>
        <w:t>igue</w:t>
      </w:r>
      <w:r w:rsidRPr="009257E7">
        <w:rPr>
          <w:lang w:val="es-ES"/>
        </w:rPr>
        <w:t xml:space="preserve">, ya sea de manera adversarial en el litigio o </w:t>
      </w:r>
      <w:r w:rsidR="009E0AF4" w:rsidRPr="009257E7">
        <w:rPr>
          <w:lang w:val="es-ES"/>
        </w:rPr>
        <w:t>de manera agresiva</w:t>
      </w:r>
      <w:r w:rsidRPr="009257E7">
        <w:rPr>
          <w:lang w:val="es-ES"/>
        </w:rPr>
        <w:t xml:space="preserve"> en la mesa de negociación. Además, presume tanto que l</w:t>
      </w:r>
      <w:r w:rsidR="0071357C" w:rsidRPr="009257E7">
        <w:rPr>
          <w:lang w:val="es-ES"/>
        </w:rPr>
        <w:t>o</w:t>
      </w:r>
      <w:r w:rsidRPr="009257E7">
        <w:rPr>
          <w:lang w:val="es-ES"/>
        </w:rPr>
        <w:t>s clientes recibirán el mejor servicio mediante el celo como que el papel principal de l</w:t>
      </w:r>
      <w:r w:rsidR="0071357C" w:rsidRPr="009257E7">
        <w:rPr>
          <w:lang w:val="es-ES"/>
        </w:rPr>
        <w:t>o</w:t>
      </w:r>
      <w:r w:rsidRPr="009257E7">
        <w:rPr>
          <w:lang w:val="es-ES"/>
        </w:rPr>
        <w:t>s abogad</w:t>
      </w:r>
      <w:r w:rsidR="0071357C" w:rsidRPr="009257E7">
        <w:rPr>
          <w:lang w:val="es-ES"/>
        </w:rPr>
        <w:t>o</w:t>
      </w:r>
      <w:r w:rsidRPr="009257E7">
        <w:rPr>
          <w:lang w:val="es-ES"/>
        </w:rPr>
        <w:t xml:space="preserve">s es la abogacía frente a una parte </w:t>
      </w:r>
      <w:r w:rsidR="0071357C" w:rsidRPr="009257E7">
        <w:rPr>
          <w:lang w:val="es-ES"/>
        </w:rPr>
        <w:t>contrari</w:t>
      </w:r>
      <w:r w:rsidRPr="009257E7">
        <w:rPr>
          <w:lang w:val="es-ES"/>
        </w:rPr>
        <w:t xml:space="preserve">a. [...] Pero la abogacía celosa simplemente no es una categoría lo suficientemente amplia </w:t>
      </w:r>
      <w:r w:rsidR="0071357C" w:rsidRPr="009257E7">
        <w:rPr>
          <w:lang w:val="es-ES"/>
        </w:rPr>
        <w:t xml:space="preserve">como </w:t>
      </w:r>
      <w:r w:rsidRPr="009257E7">
        <w:rPr>
          <w:lang w:val="es-ES"/>
        </w:rPr>
        <w:t>para abarcar la variedad de necesidades de tod</w:t>
      </w:r>
      <w:r w:rsidR="0071357C" w:rsidRPr="009257E7">
        <w:rPr>
          <w:lang w:val="es-ES"/>
        </w:rPr>
        <w:t>o</w:t>
      </w:r>
      <w:r w:rsidRPr="009257E7">
        <w:rPr>
          <w:lang w:val="es-ES"/>
        </w:rPr>
        <w:t>s l</w:t>
      </w:r>
      <w:r w:rsidR="0071357C" w:rsidRPr="009257E7">
        <w:rPr>
          <w:lang w:val="es-ES"/>
        </w:rPr>
        <w:t>o</w:t>
      </w:r>
      <w:r w:rsidRPr="009257E7">
        <w:rPr>
          <w:lang w:val="es-ES"/>
        </w:rPr>
        <w:t>s clientes, especialmente de</w:t>
      </w:r>
      <w:r w:rsidR="0071357C" w:rsidRPr="009257E7">
        <w:rPr>
          <w:lang w:val="es-ES"/>
        </w:rPr>
        <w:t xml:space="preserve"> los</w:t>
      </w:r>
      <w:r w:rsidRPr="009257E7">
        <w:rPr>
          <w:lang w:val="es-ES"/>
        </w:rPr>
        <w:t xml:space="preserve"> clientes grupales.</w:t>
      </w:r>
    </w:p>
    <w:p w14:paraId="43C1A81A" w14:textId="38001283" w:rsidR="00C34C7F" w:rsidRPr="009257E7" w:rsidRDefault="00C34C7F" w:rsidP="0071357C">
      <w:pPr>
        <w:pStyle w:val="NormalWeb"/>
        <w:ind w:left="720"/>
        <w:rPr>
          <w:lang w:val="es-ES"/>
        </w:rPr>
      </w:pPr>
      <w:r w:rsidRPr="009257E7">
        <w:rPr>
          <w:lang w:val="es-ES"/>
        </w:rPr>
        <w:lastRenderedPageBreak/>
        <w:t xml:space="preserve">[...] [A] veces, un aspecto importante de la representación grupal implica no necesidades externas frente a partes contrarias, sino necesidades internas de construcción de identidad y </w:t>
      </w:r>
      <w:r w:rsidR="00453DC0" w:rsidRPr="009257E7">
        <w:rPr>
          <w:lang w:val="es-ES"/>
        </w:rPr>
        <w:t xml:space="preserve">de </w:t>
      </w:r>
      <w:r w:rsidRPr="009257E7">
        <w:rPr>
          <w:lang w:val="es-ES"/>
        </w:rPr>
        <w:t xml:space="preserve">relaciones grupales. Para tales grupos, la representación efectiva podría requerir, en ocasiones, no una abogacía celosa </w:t>
      </w:r>
      <w:r w:rsidR="00453DC0" w:rsidRPr="009257E7">
        <w:rPr>
          <w:lang w:val="es-ES"/>
        </w:rPr>
        <w:t xml:space="preserve">y </w:t>
      </w:r>
      <w:r w:rsidRPr="009257E7">
        <w:rPr>
          <w:lang w:val="es-ES"/>
        </w:rPr>
        <w:t>estrecha, sino una facilitación tentativa y consciente. Un abogad</w:t>
      </w:r>
      <w:r w:rsidR="00453DC0" w:rsidRPr="009257E7">
        <w:rPr>
          <w:lang w:val="es-ES"/>
        </w:rPr>
        <w:t>o</w:t>
      </w:r>
      <w:r w:rsidRPr="009257E7">
        <w:rPr>
          <w:lang w:val="es-ES"/>
        </w:rPr>
        <w:t xml:space="preserve"> de grupo, en estas circunstancias, podría servir mejor a sus clientes si abandona [...] el celo, la agresión y una postura combativa, y los reemplaza con [...] una representación </w:t>
      </w:r>
      <w:r w:rsidR="00853A5B" w:rsidRPr="009257E7">
        <w:rPr>
          <w:lang w:val="es-ES"/>
        </w:rPr>
        <w:t>orientada</w:t>
      </w:r>
      <w:r w:rsidRPr="009257E7">
        <w:rPr>
          <w:lang w:val="es-ES"/>
        </w:rPr>
        <w:t xml:space="preserve"> </w:t>
      </w:r>
      <w:r w:rsidR="00853A5B" w:rsidRPr="009257E7">
        <w:rPr>
          <w:lang w:val="es-ES"/>
        </w:rPr>
        <w:t>a</w:t>
      </w:r>
      <w:r w:rsidRPr="009257E7">
        <w:rPr>
          <w:lang w:val="es-ES"/>
        </w:rPr>
        <w:t xml:space="preserve"> construir redes de relaciones dentro de los grupos y frente a otres.</w:t>
      </w:r>
    </w:p>
    <w:p w14:paraId="775ABCA4" w14:textId="0141477D" w:rsidR="00C34C7F" w:rsidRPr="009257E7" w:rsidRDefault="00C34C7F" w:rsidP="00853A5B">
      <w:pPr>
        <w:pStyle w:val="NormalWeb"/>
        <w:ind w:left="720"/>
        <w:rPr>
          <w:lang w:val="es-ES"/>
        </w:rPr>
      </w:pPr>
      <w:r w:rsidRPr="009257E7">
        <w:rPr>
          <w:lang w:val="es-ES"/>
        </w:rPr>
        <w:t xml:space="preserve">[...] Como ejemplo, la Nación </w:t>
      </w:r>
      <w:proofErr w:type="spellStart"/>
      <w:r w:rsidRPr="009257E7">
        <w:rPr>
          <w:lang w:val="es-ES"/>
        </w:rPr>
        <w:t>Onondaga</w:t>
      </w:r>
      <w:proofErr w:type="spellEnd"/>
      <w:r w:rsidRPr="009257E7">
        <w:rPr>
          <w:lang w:val="es-ES"/>
        </w:rPr>
        <w:t xml:space="preserve"> de Nueva York trabaja con sus abogad</w:t>
      </w:r>
      <w:r w:rsidR="00853A5B" w:rsidRPr="009257E7">
        <w:rPr>
          <w:lang w:val="es-ES"/>
        </w:rPr>
        <w:t>o</w:t>
      </w:r>
      <w:r w:rsidRPr="009257E7">
        <w:rPr>
          <w:lang w:val="es-ES"/>
        </w:rPr>
        <w:t xml:space="preserve">s para resolver reclamaciones históricas de tierras, pero, en lugar de enfocarse puramente en </w:t>
      </w:r>
      <w:r w:rsidR="00853A5B" w:rsidRPr="009257E7">
        <w:rPr>
          <w:lang w:val="es-ES"/>
        </w:rPr>
        <w:t>los derechos tribales, ha identificado objetivos que incluyen la limpieza de los recursos naturales locales y la restauración de las relaciones con los vecinos</w:t>
      </w:r>
      <w:r w:rsidRPr="009257E7">
        <w:rPr>
          <w:lang w:val="es-ES"/>
        </w:rPr>
        <w:t xml:space="preserve"> no indígenas. Por insistencia de líderes tribales, la demanda de reclamación de tierras de </w:t>
      </w:r>
      <w:proofErr w:type="spellStart"/>
      <w:r w:rsidRPr="009257E7">
        <w:rPr>
          <w:lang w:val="es-ES"/>
        </w:rPr>
        <w:t>Onondaga</w:t>
      </w:r>
      <w:proofErr w:type="spellEnd"/>
      <w:r w:rsidRPr="009257E7">
        <w:rPr>
          <w:lang w:val="es-ES"/>
        </w:rPr>
        <w:t xml:space="preserve"> [...] pide la “sanación de la tierra y el agua [...] con todas las personas que viven dentro del territorio original </w:t>
      </w:r>
      <w:proofErr w:type="spellStart"/>
      <w:r w:rsidRPr="009257E7">
        <w:rPr>
          <w:lang w:val="es-ES"/>
        </w:rPr>
        <w:t>onondaga</w:t>
      </w:r>
      <w:proofErr w:type="spellEnd"/>
      <w:r w:rsidRPr="009257E7">
        <w:rPr>
          <w:lang w:val="es-ES"/>
        </w:rPr>
        <w:t xml:space="preserve">”. Aunque todavía persiguen </w:t>
      </w:r>
      <w:r w:rsidR="00853A5B" w:rsidRPr="009257E7">
        <w:rPr>
          <w:lang w:val="es-ES"/>
        </w:rPr>
        <w:t xml:space="preserve">el </w:t>
      </w:r>
      <w:r w:rsidRPr="009257E7">
        <w:rPr>
          <w:lang w:val="es-ES"/>
        </w:rPr>
        <w:t>litigio, l</w:t>
      </w:r>
      <w:r w:rsidR="00853A5B" w:rsidRPr="009257E7">
        <w:rPr>
          <w:lang w:val="es-ES"/>
        </w:rPr>
        <w:t>o</w:t>
      </w:r>
      <w:r w:rsidRPr="009257E7">
        <w:rPr>
          <w:lang w:val="es-ES"/>
        </w:rPr>
        <w:t>s abogad</w:t>
      </w:r>
      <w:r w:rsidR="00853A5B" w:rsidRPr="009257E7">
        <w:rPr>
          <w:lang w:val="es-ES"/>
        </w:rPr>
        <w:t>o</w:t>
      </w:r>
      <w:r w:rsidRPr="009257E7">
        <w:rPr>
          <w:lang w:val="es-ES"/>
        </w:rPr>
        <w:t xml:space="preserve">s de la Nación </w:t>
      </w:r>
      <w:proofErr w:type="spellStart"/>
      <w:r w:rsidRPr="009257E7">
        <w:rPr>
          <w:lang w:val="es-ES"/>
        </w:rPr>
        <w:t>Onondaga</w:t>
      </w:r>
      <w:proofErr w:type="spellEnd"/>
      <w:r w:rsidRPr="009257E7">
        <w:rPr>
          <w:lang w:val="es-ES"/>
        </w:rPr>
        <w:t xml:space="preserve"> trabajan en una estrategia que incluye reuniones comunitarias, </w:t>
      </w:r>
      <w:r w:rsidR="00853A5B" w:rsidRPr="009257E7">
        <w:rPr>
          <w:lang w:val="es-ES"/>
        </w:rPr>
        <w:t xml:space="preserve">la </w:t>
      </w:r>
      <w:r w:rsidRPr="009257E7">
        <w:rPr>
          <w:lang w:val="es-ES"/>
        </w:rPr>
        <w:t>construcción de relaciones y</w:t>
      </w:r>
      <w:r w:rsidR="00853A5B" w:rsidRPr="009257E7">
        <w:rPr>
          <w:lang w:val="es-ES"/>
        </w:rPr>
        <w:t xml:space="preserve"> la</w:t>
      </w:r>
      <w:r w:rsidRPr="009257E7">
        <w:rPr>
          <w:lang w:val="es-ES"/>
        </w:rPr>
        <w:t xml:space="preserve"> discusión de intereses compartidos.</w:t>
      </w:r>
    </w:p>
    <w:p w14:paraId="6F03DF8E" w14:textId="5A63CFB8" w:rsidR="00C34C7F" w:rsidRPr="009257E7" w:rsidRDefault="00C34C7F" w:rsidP="00853A5B">
      <w:pPr>
        <w:pStyle w:val="NormalWeb"/>
        <w:ind w:left="720"/>
        <w:rPr>
          <w:lang w:val="es-ES"/>
        </w:rPr>
      </w:pPr>
      <w:r w:rsidRPr="009257E7">
        <w:rPr>
          <w:lang w:val="es-ES"/>
        </w:rPr>
        <w:t>[...] [L]a experiencia de l</w:t>
      </w:r>
      <w:r w:rsidR="00853A5B" w:rsidRPr="009257E7">
        <w:rPr>
          <w:lang w:val="es-ES"/>
        </w:rPr>
        <w:t>o</w:t>
      </w:r>
      <w:r w:rsidRPr="009257E7">
        <w:rPr>
          <w:lang w:val="es-ES"/>
        </w:rPr>
        <w:t>s abogad</w:t>
      </w:r>
      <w:r w:rsidR="00853A5B" w:rsidRPr="009257E7">
        <w:rPr>
          <w:lang w:val="es-ES"/>
        </w:rPr>
        <w:t>o</w:t>
      </w:r>
      <w:r w:rsidRPr="009257E7">
        <w:rPr>
          <w:lang w:val="es-ES"/>
        </w:rPr>
        <w:t xml:space="preserve">s tribales desafía de manera convincente la ideología dominante y las Reglas [éticas], y sugiere no solo la necesidad de repensar y </w:t>
      </w:r>
      <w:proofErr w:type="spellStart"/>
      <w:r w:rsidRPr="009257E7">
        <w:rPr>
          <w:lang w:val="es-ES"/>
        </w:rPr>
        <w:t>reimaginar</w:t>
      </w:r>
      <w:proofErr w:type="spellEnd"/>
      <w:r w:rsidRPr="009257E7">
        <w:rPr>
          <w:lang w:val="es-ES"/>
        </w:rPr>
        <w:t xml:space="preserve"> algunos aspectos del aparato regulador, sino también la ideología profesional que lo legitima.</w:t>
      </w:r>
      <w:r w:rsidR="00521D48" w:rsidRPr="009257E7">
        <w:rPr>
          <w:rStyle w:val="FootnoteReference"/>
          <w:lang w:val="es-ES"/>
        </w:rPr>
        <w:footnoteReference w:id="139"/>
      </w:r>
    </w:p>
    <w:p w14:paraId="1E7A4723" w14:textId="4720A3E0" w:rsidR="008F5B70" w:rsidRPr="009257E7" w:rsidRDefault="00C34C7F" w:rsidP="00BB5DB7">
      <w:pPr>
        <w:pStyle w:val="NormalWeb"/>
        <w:ind w:firstLine="720"/>
        <w:rPr>
          <w:lang w:val="es-ES"/>
        </w:rPr>
      </w:pPr>
      <w:r w:rsidRPr="009257E7">
        <w:rPr>
          <w:lang w:val="es-ES"/>
        </w:rPr>
        <w:t xml:space="preserve">El individualismo, como muestran estos materiales, es un formalismo fundacional que </w:t>
      </w:r>
      <w:r w:rsidR="00521D48" w:rsidRPr="009257E7">
        <w:rPr>
          <w:lang w:val="es-ES"/>
        </w:rPr>
        <w:t>trascien</w:t>
      </w:r>
      <w:r w:rsidRPr="009257E7">
        <w:rPr>
          <w:lang w:val="es-ES"/>
        </w:rPr>
        <w:t xml:space="preserve">de la formación jurídica centrada en la doctrina y el razonamiento. Se extiende a la práctica jurídica y estructura el tipo de relación que está en el centro de toda </w:t>
      </w:r>
      <w:r w:rsidR="004F11AF" w:rsidRPr="009257E7">
        <w:rPr>
          <w:lang w:val="es-ES"/>
        </w:rPr>
        <w:t xml:space="preserve">la </w:t>
      </w:r>
      <w:r w:rsidRPr="009257E7">
        <w:rPr>
          <w:lang w:val="es-ES"/>
        </w:rPr>
        <w:t xml:space="preserve">abogacía: la relación </w:t>
      </w:r>
      <w:r w:rsidR="004F11AF" w:rsidRPr="009257E7">
        <w:rPr>
          <w:lang w:val="es-ES"/>
        </w:rPr>
        <w:t>abogado-</w:t>
      </w:r>
      <w:r w:rsidRPr="009257E7">
        <w:rPr>
          <w:lang w:val="es-ES"/>
        </w:rPr>
        <w:t xml:space="preserve">cliente. El individualismo jurídico es un formalismo particularmente destructivo porque atraviesa el </w:t>
      </w:r>
      <w:r w:rsidR="004F11AF" w:rsidRPr="009257E7">
        <w:rPr>
          <w:lang w:val="es-ES"/>
        </w:rPr>
        <w:t>derecho tanto en su formación como en su</w:t>
      </w:r>
      <w:r w:rsidRPr="009257E7">
        <w:rPr>
          <w:lang w:val="es-ES"/>
        </w:rPr>
        <w:t xml:space="preserve"> práctica. En la práctica, el individualismo jurídico impide o desestima </w:t>
      </w:r>
      <w:r w:rsidR="004F11AF" w:rsidRPr="009257E7">
        <w:rPr>
          <w:lang w:val="es-ES"/>
        </w:rPr>
        <w:t xml:space="preserve">las </w:t>
      </w:r>
      <w:r w:rsidRPr="009257E7">
        <w:rPr>
          <w:lang w:val="es-ES"/>
        </w:rPr>
        <w:t>reclamaciones colectivas para</w:t>
      </w:r>
      <w:r w:rsidR="004F11AF" w:rsidRPr="009257E7">
        <w:rPr>
          <w:lang w:val="es-ES"/>
        </w:rPr>
        <w:t xml:space="preserve"> obtener</w:t>
      </w:r>
      <w:r w:rsidRPr="009257E7">
        <w:rPr>
          <w:lang w:val="es-ES"/>
        </w:rPr>
        <w:t xml:space="preserve"> remedios colectivos frente a problemas colectivos. En cambio, impone un desajuste entre el problema colectivo real y los remedios individualizados permitidos. Con el tiempo, el individualismo y otros formalismos han estructurado la cultura de la industria, así como las castas sociales arraigadas que elevan el poder y la ganancia por encima del principio y </w:t>
      </w:r>
      <w:r w:rsidR="004F11AF" w:rsidRPr="009257E7">
        <w:rPr>
          <w:lang w:val="es-ES"/>
        </w:rPr>
        <w:t xml:space="preserve">de </w:t>
      </w:r>
      <w:r w:rsidRPr="009257E7">
        <w:rPr>
          <w:lang w:val="es-ES"/>
        </w:rPr>
        <w:t>la justicia. Por estas razones, desaprender y reaprender las funciones ideológicas y sociales del individualismo jurídico, y del formalismo en general, son aspectos clave de la abogacía sistémica, incluida una comprensión crítica de la ética jurídica.</w:t>
      </w:r>
      <w:r w:rsidR="00BB5DB7" w:rsidRPr="009257E7">
        <w:rPr>
          <w:lang w:val="es-ES"/>
        </w:rPr>
        <w:br/>
      </w:r>
      <w:r w:rsidR="008F5B70" w:rsidRPr="009257E7">
        <w:rPr>
          <w:b/>
          <w:bCs/>
          <w:lang w:val="es-ES"/>
        </w:rPr>
        <w:br/>
        <w:t>3.5 La ética jurídica enseña e impone valores, esposas, vendas y jerarquías de la industria</w:t>
      </w:r>
    </w:p>
    <w:p w14:paraId="7BEEAC10" w14:textId="06BD08F8" w:rsidR="00BB5DB7" w:rsidRPr="009257E7" w:rsidRDefault="00BB5DB7" w:rsidP="005E3F3C">
      <w:pPr>
        <w:pStyle w:val="NormalWeb"/>
        <w:ind w:firstLine="720"/>
        <w:rPr>
          <w:lang w:val="es-ES"/>
        </w:rPr>
      </w:pPr>
      <w:r w:rsidRPr="009257E7">
        <w:rPr>
          <w:lang w:val="es-ES"/>
        </w:rPr>
        <w:t xml:space="preserve">La formación jurídica forma parte de una industria más </w:t>
      </w:r>
      <w:r w:rsidR="005E3F3C" w:rsidRPr="009257E7">
        <w:rPr>
          <w:lang w:val="es-ES"/>
        </w:rPr>
        <w:t>amplia, diseñada para inculcar la conformidad y amortiguar la disidencia, tanto en grandes como en pequeñas formas.</w:t>
      </w:r>
      <w:r w:rsidRPr="009257E7">
        <w:rPr>
          <w:lang w:val="es-ES"/>
        </w:rPr>
        <w:t xml:space="preserve"> La inculcación multifacética de agendas desde arriba proviene no solo de instituciones como las facultades de derecho y los bufetes, sino también de pares </w:t>
      </w:r>
      <w:r w:rsidR="005E3F3C" w:rsidRPr="009257E7">
        <w:rPr>
          <w:lang w:val="es-ES"/>
        </w:rPr>
        <w:t>co</w:t>
      </w:r>
      <w:r w:rsidRPr="009257E7">
        <w:rPr>
          <w:lang w:val="es-ES"/>
        </w:rPr>
        <w:t xml:space="preserve">n interés en el sistema de </w:t>
      </w:r>
      <w:r w:rsidRPr="009257E7">
        <w:rPr>
          <w:lang w:val="es-ES"/>
        </w:rPr>
        <w:lastRenderedPageBreak/>
        <w:t>recompensas de la industria. Esta presión generalizada es la forma en que la industria reproduce la jerarquía de año en año y de generación en generación.</w:t>
      </w:r>
    </w:p>
    <w:p w14:paraId="0E4BD881" w14:textId="61C33A33" w:rsidR="00BB5DB7" w:rsidRPr="009257E7" w:rsidRDefault="00BB5DB7" w:rsidP="00A92759">
      <w:pPr>
        <w:pStyle w:val="NormalWeb"/>
        <w:ind w:firstLine="720"/>
        <w:rPr>
          <w:lang w:val="es-ES"/>
        </w:rPr>
      </w:pPr>
      <w:r w:rsidRPr="009257E7">
        <w:rPr>
          <w:lang w:val="es-ES"/>
        </w:rPr>
        <w:t xml:space="preserve">En este esquema, la ética jurídica es un cuerpo distinto de reglas que enseña e impone las esposas y </w:t>
      </w:r>
      <w:r w:rsidR="00A92759" w:rsidRPr="009257E7">
        <w:rPr>
          <w:lang w:val="es-ES"/>
        </w:rPr>
        <w:t xml:space="preserve">las </w:t>
      </w:r>
      <w:r w:rsidRPr="009257E7">
        <w:rPr>
          <w:lang w:val="es-ES"/>
        </w:rPr>
        <w:t xml:space="preserve">vendas de la industria. Escrita tanto en términos aspiracionales como obligatorios, la ética jurídica vigila las acciones de les abogades para asegurar que la industria no permita ningún desafío serio a los intereses elitistas. Algunas disposiciones de los códigos de ética jurídica pueden estar orientadas a la protección de les clientes; de hecho, la ética jurídica puede servir al bien público. Pero, </w:t>
      </w:r>
      <w:r w:rsidR="00445BC9" w:rsidRPr="009257E7">
        <w:rPr>
          <w:lang w:val="es-ES"/>
        </w:rPr>
        <w:t>en</w:t>
      </w:r>
      <w:r w:rsidRPr="009257E7">
        <w:rPr>
          <w:lang w:val="es-ES"/>
        </w:rPr>
        <w:t xml:space="preserve"> conjunto, las reglas están diseñadas principalmente para la protección elitista. Cualquier abogade que se aparte demasiado queda sujete a disciplina: sanciones, censura y desafiliación profesional.</w:t>
      </w:r>
    </w:p>
    <w:p w14:paraId="0EBD758D" w14:textId="00B8E975" w:rsidR="00BB5DB7" w:rsidRPr="009257E7" w:rsidRDefault="00BB5DB7" w:rsidP="008E0EFD">
      <w:pPr>
        <w:pStyle w:val="NormalWeb"/>
        <w:ind w:firstLine="720"/>
        <w:rPr>
          <w:lang w:val="es-ES"/>
        </w:rPr>
      </w:pPr>
      <w:r w:rsidRPr="009257E7">
        <w:rPr>
          <w:lang w:val="es-ES"/>
        </w:rPr>
        <w:t xml:space="preserve">La ética </w:t>
      </w:r>
      <w:r w:rsidR="008E0EFD" w:rsidRPr="009257E7">
        <w:rPr>
          <w:lang w:val="es-ES"/>
        </w:rPr>
        <w:t>jurídica, como un conjunto distinto de reglas, surgió en</w:t>
      </w:r>
      <w:r w:rsidRPr="009257E7">
        <w:rPr>
          <w:lang w:val="es-ES"/>
        </w:rPr>
        <w:t xml:space="preserve"> la antigua Confederación después de la Guerra Civil. En ese momento, las mujeres y las personas de color estaban excluidas de la profesión jurídica. El proponente</w:t>
      </w:r>
      <w:r w:rsidR="008E0EFD" w:rsidRPr="009257E7">
        <w:rPr>
          <w:lang w:val="es-ES"/>
        </w:rPr>
        <w:t xml:space="preserve"> principal</w:t>
      </w:r>
      <w:r w:rsidRPr="009257E7">
        <w:rPr>
          <w:lang w:val="es-ES"/>
        </w:rPr>
        <w:t>, Thomas Goode Jones, exsoldado confederado, construyó y presentó los códigos de ética como una forma de unificar la profesión jurídica, en el norte y en el sur, sobre la base de concepciones compartidas, blancas y masculinas, de decoro, moralidad, “caballerosidad” y civilidad:</w:t>
      </w:r>
    </w:p>
    <w:p w14:paraId="15536DE7" w14:textId="7339937A" w:rsidR="00BB5DB7" w:rsidRPr="009257E7" w:rsidRDefault="00BB5DB7" w:rsidP="008E0EFD">
      <w:pPr>
        <w:pStyle w:val="NormalWeb"/>
        <w:ind w:left="720"/>
        <w:rPr>
          <w:lang w:val="es-ES"/>
        </w:rPr>
      </w:pPr>
      <w:r w:rsidRPr="009257E7">
        <w:rPr>
          <w:lang w:val="es-ES"/>
        </w:rPr>
        <w:t xml:space="preserve">La visión de Jones </w:t>
      </w:r>
      <w:r w:rsidR="001154CE" w:rsidRPr="009257E7">
        <w:rPr>
          <w:lang w:val="es-ES"/>
        </w:rPr>
        <w:t>sobr</w:t>
      </w:r>
      <w:r w:rsidRPr="009257E7">
        <w:rPr>
          <w:lang w:val="es-ES"/>
        </w:rPr>
        <w:t xml:space="preserve">e </w:t>
      </w:r>
      <w:r w:rsidR="008E0EFD" w:rsidRPr="009257E7">
        <w:rPr>
          <w:lang w:val="es-ES"/>
        </w:rPr>
        <w:t xml:space="preserve">la </w:t>
      </w:r>
      <w:r w:rsidRPr="009257E7">
        <w:rPr>
          <w:lang w:val="es-ES"/>
        </w:rPr>
        <w:t>unidad entre el norte y el sur se basaba en la experiencia común de la blanquitud. Al reconocer que l</w:t>
      </w:r>
      <w:r w:rsidR="001154CE" w:rsidRPr="009257E7">
        <w:rPr>
          <w:lang w:val="es-ES"/>
        </w:rPr>
        <w:t>o</w:t>
      </w:r>
      <w:r w:rsidRPr="009257E7">
        <w:rPr>
          <w:lang w:val="es-ES"/>
        </w:rPr>
        <w:t>s norteñ</w:t>
      </w:r>
      <w:r w:rsidR="001154CE" w:rsidRPr="009257E7">
        <w:rPr>
          <w:lang w:val="es-ES"/>
        </w:rPr>
        <w:t>o</w:t>
      </w:r>
      <w:r w:rsidRPr="009257E7">
        <w:rPr>
          <w:lang w:val="es-ES"/>
        </w:rPr>
        <w:t>s que murieron compartían tres aspectos fundamentales de identidad con l</w:t>
      </w:r>
      <w:r w:rsidR="001154CE" w:rsidRPr="009257E7">
        <w:rPr>
          <w:lang w:val="es-ES"/>
        </w:rPr>
        <w:t>o</w:t>
      </w:r>
      <w:r w:rsidRPr="009257E7">
        <w:rPr>
          <w:lang w:val="es-ES"/>
        </w:rPr>
        <w:t>s sureñ</w:t>
      </w:r>
      <w:r w:rsidR="001154CE" w:rsidRPr="009257E7">
        <w:rPr>
          <w:lang w:val="es-ES"/>
        </w:rPr>
        <w:t>o</w:t>
      </w:r>
      <w:r w:rsidRPr="009257E7">
        <w:rPr>
          <w:lang w:val="es-ES"/>
        </w:rPr>
        <w:t>s —su raza, lengua y religión—, Jones demostró que la blanquitud era el vehículo principal mediante el cual podía abogar por la humanización —y, en última instancia, la aceptación— del norte. Este reconocimiento de raza, lengua y religión significaba que el esquema de unificación de Jones no incluía a personas no blancas, inmigrantes</w:t>
      </w:r>
      <w:r w:rsidR="008C6D0E" w:rsidRPr="009257E7">
        <w:rPr>
          <w:lang w:val="es-ES"/>
        </w:rPr>
        <w:t>,</w:t>
      </w:r>
      <w:r w:rsidRPr="009257E7">
        <w:rPr>
          <w:lang w:val="es-ES"/>
        </w:rPr>
        <w:t xml:space="preserve"> no angloparlantes ni no cristianas. Estos son los mismos grupos de personas que fueron excluidos de la práctica del derecho a finales del siglo XIX y comienzos del siglo XX. [...] En la medida en que el código de Jones sugiere que la civilidad y la compostura caballer</w:t>
      </w:r>
      <w:r w:rsidR="008C6D0E" w:rsidRPr="009257E7">
        <w:rPr>
          <w:lang w:val="es-ES"/>
        </w:rPr>
        <w:t>esc</w:t>
      </w:r>
      <w:r w:rsidRPr="009257E7">
        <w:rPr>
          <w:lang w:val="es-ES"/>
        </w:rPr>
        <w:t>a pueden y deben esperarse de todas las personas que comparten la meta de practicar el derecho, la clave para entender a Jones es comprender que el mundo de abogad</w:t>
      </w:r>
      <w:r w:rsidR="005D0D98" w:rsidRPr="009257E7">
        <w:rPr>
          <w:lang w:val="es-ES"/>
        </w:rPr>
        <w:t>o</w:t>
      </w:r>
      <w:r w:rsidRPr="009257E7">
        <w:rPr>
          <w:lang w:val="es-ES"/>
        </w:rPr>
        <w:t>s civiles de Jones solo incluía a hombres blancos. [...] No solo creía que l</w:t>
      </w:r>
      <w:r w:rsidR="005D0D98" w:rsidRPr="009257E7">
        <w:rPr>
          <w:lang w:val="es-ES"/>
        </w:rPr>
        <w:t>o</w:t>
      </w:r>
      <w:r w:rsidRPr="009257E7">
        <w:rPr>
          <w:lang w:val="es-ES"/>
        </w:rPr>
        <w:t>s “integrantes indignos” debían ser excluidos de la entrada a la profesión; también creía en un sistema que pudiera monitorear y vigilar la conducta de sus integrantes.</w:t>
      </w:r>
      <w:r w:rsidR="001D5379" w:rsidRPr="009257E7">
        <w:rPr>
          <w:rStyle w:val="FootnoteReference"/>
          <w:lang w:val="es-ES"/>
        </w:rPr>
        <w:footnoteReference w:id="140"/>
      </w:r>
    </w:p>
    <w:p w14:paraId="3CABFBED" w14:textId="71102E40" w:rsidR="00BB5DB7" w:rsidRPr="009257E7" w:rsidRDefault="00BB5DB7" w:rsidP="001D5379">
      <w:pPr>
        <w:pStyle w:val="NormalWeb"/>
        <w:ind w:firstLine="720"/>
        <w:rPr>
          <w:lang w:val="es-ES"/>
        </w:rPr>
      </w:pPr>
      <w:r w:rsidRPr="009257E7">
        <w:rPr>
          <w:lang w:val="es-ES"/>
        </w:rPr>
        <w:t xml:space="preserve">El primer código de este tipo, redactado por Jones, fue adoptado por Alabama en 1887. Este se convirtió, casi palabra por palabra, en el modelo para otros códigos estatales </w:t>
      </w:r>
      <w:r w:rsidR="001D5379" w:rsidRPr="009257E7">
        <w:rPr>
          <w:lang w:val="es-ES"/>
        </w:rPr>
        <w:t>de los</w:t>
      </w:r>
      <w:r w:rsidRPr="009257E7">
        <w:rPr>
          <w:lang w:val="es-ES"/>
        </w:rPr>
        <w:t xml:space="preserve"> Estados Unidos. Con base en estos códigos, la American Bar </w:t>
      </w:r>
      <w:proofErr w:type="spellStart"/>
      <w:r w:rsidRPr="009257E7">
        <w:rPr>
          <w:lang w:val="es-ES"/>
        </w:rPr>
        <w:t>Association</w:t>
      </w:r>
      <w:proofErr w:type="spellEnd"/>
      <w:r w:rsidRPr="009257E7">
        <w:rPr>
          <w:lang w:val="es-ES"/>
        </w:rPr>
        <w:t xml:space="preserve"> promulgó en 1908 el primer código nacional de reglas modelo </w:t>
      </w:r>
      <w:r w:rsidR="001D5379" w:rsidRPr="009257E7">
        <w:rPr>
          <w:lang w:val="es-ES"/>
        </w:rPr>
        <w:t>de</w:t>
      </w:r>
      <w:r w:rsidRPr="009257E7">
        <w:rPr>
          <w:lang w:val="es-ES"/>
        </w:rPr>
        <w:t xml:space="preserve"> ética jurídica, con Jones como redactor principal. En dos años, casi la mitad de los estados había incorporado estas disposiciones en sus nuevos cánones estatales de ética, la mayoría palabra por palabra. Hoy, las reglas de ética jurídica conservan el plano, la sustancia y la función básicos de esos códigos tempranos, con la judicatura en control de su implementación e imposición:</w:t>
      </w:r>
      <w:r w:rsidR="001D5379" w:rsidRPr="009257E7">
        <w:rPr>
          <w:lang w:val="es-ES"/>
        </w:rPr>
        <w:t xml:space="preserve"> </w:t>
      </w:r>
    </w:p>
    <w:p w14:paraId="2CEC981A" w14:textId="27052C00" w:rsidR="00BB5DB7" w:rsidRPr="009257E7" w:rsidRDefault="00BB5DB7" w:rsidP="00EE0C92">
      <w:pPr>
        <w:pStyle w:val="NormalWeb"/>
        <w:ind w:left="720"/>
        <w:rPr>
          <w:lang w:val="es-ES"/>
        </w:rPr>
      </w:pPr>
      <w:r w:rsidRPr="009257E7">
        <w:rPr>
          <w:lang w:val="es-ES"/>
        </w:rPr>
        <w:lastRenderedPageBreak/>
        <w:t>[Hoy], la judicatura es una fuerza central tanto en los comités del foro jurídico como en los tribunales</w:t>
      </w:r>
      <w:r w:rsidR="00EE0C92" w:rsidRPr="009257E7">
        <w:rPr>
          <w:lang w:val="es-ES"/>
        </w:rPr>
        <w:t>,</w:t>
      </w:r>
      <w:r w:rsidRPr="009257E7">
        <w:rPr>
          <w:lang w:val="es-ES"/>
        </w:rPr>
        <w:t xml:space="preserve"> donde l</w:t>
      </w:r>
      <w:r w:rsidR="00EE0C92" w:rsidRPr="009257E7">
        <w:rPr>
          <w:lang w:val="es-ES"/>
        </w:rPr>
        <w:t>o</w:t>
      </w:r>
      <w:r w:rsidRPr="009257E7">
        <w:rPr>
          <w:lang w:val="es-ES"/>
        </w:rPr>
        <w:t>s abogad</w:t>
      </w:r>
      <w:r w:rsidR="00EE0C92" w:rsidRPr="009257E7">
        <w:rPr>
          <w:lang w:val="es-ES"/>
        </w:rPr>
        <w:t>o</w:t>
      </w:r>
      <w:r w:rsidRPr="009257E7">
        <w:rPr>
          <w:lang w:val="es-ES"/>
        </w:rPr>
        <w:t>s disciplinad</w:t>
      </w:r>
      <w:r w:rsidR="00EE0C92" w:rsidRPr="009257E7">
        <w:rPr>
          <w:lang w:val="es-ES"/>
        </w:rPr>
        <w:t>o</w:t>
      </w:r>
      <w:r w:rsidRPr="009257E7">
        <w:rPr>
          <w:lang w:val="es-ES"/>
        </w:rPr>
        <w:t>s comparecen para la adjudicación de sus casos por violaciones éticas. [...]</w:t>
      </w:r>
    </w:p>
    <w:p w14:paraId="0B93F198" w14:textId="7D696007" w:rsidR="00BB5DB7" w:rsidRPr="009257E7" w:rsidRDefault="00BB5DB7" w:rsidP="00EE0C92">
      <w:pPr>
        <w:pStyle w:val="NormalWeb"/>
        <w:ind w:left="720"/>
        <w:rPr>
          <w:lang w:val="es-ES"/>
        </w:rPr>
      </w:pPr>
      <w:r w:rsidRPr="009257E7">
        <w:rPr>
          <w:lang w:val="es-ES"/>
        </w:rPr>
        <w:t xml:space="preserve">Los tribunales [...] </w:t>
      </w:r>
      <w:r w:rsidR="00EE0C92" w:rsidRPr="009257E7">
        <w:rPr>
          <w:lang w:val="es-ES"/>
        </w:rPr>
        <w:t>ejerc</w:t>
      </w:r>
      <w:r w:rsidRPr="009257E7">
        <w:rPr>
          <w:lang w:val="es-ES"/>
        </w:rPr>
        <w:t xml:space="preserve">en </w:t>
      </w:r>
      <w:r w:rsidR="00EE0C92" w:rsidRPr="009257E7">
        <w:rPr>
          <w:lang w:val="es-ES"/>
        </w:rPr>
        <w:t xml:space="preserve">un </w:t>
      </w:r>
      <w:r w:rsidRPr="009257E7">
        <w:rPr>
          <w:lang w:val="es-ES"/>
        </w:rPr>
        <w:t>control total en cada etapa del ciclo de vida de</w:t>
      </w:r>
      <w:r w:rsidR="00EE0C92" w:rsidRPr="009257E7">
        <w:rPr>
          <w:lang w:val="es-ES"/>
        </w:rPr>
        <w:t>l</w:t>
      </w:r>
      <w:r w:rsidRPr="009257E7">
        <w:rPr>
          <w:lang w:val="es-ES"/>
        </w:rPr>
        <w:t xml:space="preserve"> abogad</w:t>
      </w:r>
      <w:r w:rsidR="00EE0C92" w:rsidRPr="009257E7">
        <w:rPr>
          <w:lang w:val="es-ES"/>
        </w:rPr>
        <w:t>o</w:t>
      </w:r>
      <w:r w:rsidRPr="009257E7">
        <w:rPr>
          <w:lang w:val="es-ES"/>
        </w:rPr>
        <w:t xml:space="preserve">. La sugerencia de que la judicatura es imparcial </w:t>
      </w:r>
      <w:r w:rsidR="00EE0C92" w:rsidRPr="009257E7">
        <w:rPr>
          <w:lang w:val="es-ES"/>
        </w:rPr>
        <w:t>al</w:t>
      </w:r>
      <w:r w:rsidRPr="009257E7">
        <w:rPr>
          <w:lang w:val="es-ES"/>
        </w:rPr>
        <w:t xml:space="preserve"> escucha</w:t>
      </w:r>
      <w:r w:rsidR="00EE0C92" w:rsidRPr="009257E7">
        <w:rPr>
          <w:lang w:val="es-ES"/>
        </w:rPr>
        <w:t>r</w:t>
      </w:r>
      <w:r w:rsidRPr="009257E7">
        <w:rPr>
          <w:lang w:val="es-ES"/>
        </w:rPr>
        <w:t xml:space="preserve"> e impone</w:t>
      </w:r>
      <w:r w:rsidR="00EE0C92" w:rsidRPr="009257E7">
        <w:rPr>
          <w:lang w:val="es-ES"/>
        </w:rPr>
        <w:t>r</w:t>
      </w:r>
      <w:r w:rsidRPr="009257E7">
        <w:rPr>
          <w:lang w:val="es-ES"/>
        </w:rPr>
        <w:t xml:space="preserve"> sanciones presupone que no tiene interés creado en mantener el control sobre todos los aspectos de la profesión. [...]</w:t>
      </w:r>
    </w:p>
    <w:p w14:paraId="45A80705" w14:textId="50938302" w:rsidR="00BB5DB7" w:rsidRPr="009257E7" w:rsidRDefault="00BB5DB7" w:rsidP="00EE0C92">
      <w:pPr>
        <w:pStyle w:val="NormalWeb"/>
        <w:ind w:left="720"/>
        <w:rPr>
          <w:lang w:val="es-ES"/>
        </w:rPr>
      </w:pPr>
      <w:r w:rsidRPr="009257E7">
        <w:rPr>
          <w:lang w:val="es-ES"/>
        </w:rPr>
        <w:t xml:space="preserve">La ética en </w:t>
      </w:r>
      <w:r w:rsidR="00EE0C92" w:rsidRPr="009257E7">
        <w:rPr>
          <w:lang w:val="es-ES"/>
        </w:rPr>
        <w:t xml:space="preserve">los </w:t>
      </w:r>
      <w:r w:rsidRPr="009257E7">
        <w:rPr>
          <w:lang w:val="es-ES"/>
        </w:rPr>
        <w:t>Estados Unidos está organizada bajo un paradigma de disciplina, castigo y vigilancia. Dentro de las facultades de derecho estadounidenses, a l</w:t>
      </w:r>
      <w:r w:rsidR="00042812" w:rsidRPr="009257E7">
        <w:rPr>
          <w:lang w:val="es-ES"/>
        </w:rPr>
        <w:t>o</w:t>
      </w:r>
      <w:r w:rsidRPr="009257E7">
        <w:rPr>
          <w:lang w:val="es-ES"/>
        </w:rPr>
        <w:t>s estudiantes [...] se les enseña a temer las consecuencias de las violaciones éticas. [...] Como abogad</w:t>
      </w:r>
      <w:r w:rsidR="00042812" w:rsidRPr="009257E7">
        <w:rPr>
          <w:lang w:val="es-ES"/>
        </w:rPr>
        <w:t>a</w:t>
      </w:r>
      <w:r w:rsidRPr="009257E7">
        <w:rPr>
          <w:lang w:val="es-ES"/>
        </w:rPr>
        <w:t xml:space="preserve">s, </w:t>
      </w:r>
      <w:r w:rsidR="00042812" w:rsidRPr="009257E7">
        <w:rPr>
          <w:lang w:val="es-ES"/>
        </w:rPr>
        <w:t>viven</w:t>
      </w:r>
      <w:r w:rsidRPr="009257E7">
        <w:rPr>
          <w:lang w:val="es-ES"/>
        </w:rPr>
        <w:t xml:space="preserve"> diariamente con estas reglas éticas.</w:t>
      </w:r>
      <w:r w:rsidR="00042812" w:rsidRPr="009257E7">
        <w:rPr>
          <w:rStyle w:val="FootnoteReference"/>
          <w:lang w:val="es-ES"/>
        </w:rPr>
        <w:footnoteReference w:id="141"/>
      </w:r>
    </w:p>
    <w:p w14:paraId="5A222A80" w14:textId="00269445" w:rsidR="00BB5DB7" w:rsidRPr="009257E7" w:rsidRDefault="00BB5DB7" w:rsidP="00042812">
      <w:pPr>
        <w:pStyle w:val="NormalWeb"/>
        <w:ind w:firstLine="720"/>
        <w:rPr>
          <w:lang w:val="es-ES"/>
        </w:rPr>
      </w:pPr>
      <w:r w:rsidRPr="009257E7">
        <w:rPr>
          <w:lang w:val="es-ES"/>
        </w:rPr>
        <w:t>La ética es un elemento importante en el control desde arriba de la industria jurídica para reproducir la jerarquía. La ética jurídica, por ejemplo, se u</w:t>
      </w:r>
      <w:r w:rsidR="00FD19CA" w:rsidRPr="009257E7">
        <w:rPr>
          <w:lang w:val="es-ES"/>
        </w:rPr>
        <w:t>tiliz</w:t>
      </w:r>
      <w:r w:rsidRPr="009257E7">
        <w:rPr>
          <w:lang w:val="es-ES"/>
        </w:rPr>
        <w:t>a como herramienta para embotar los desafíos jurídicos al statu quo de</w:t>
      </w:r>
      <w:r w:rsidR="00FD19CA" w:rsidRPr="009257E7">
        <w:rPr>
          <w:lang w:val="es-ES"/>
        </w:rPr>
        <w:t xml:space="preserve"> las</w:t>
      </w:r>
      <w:r w:rsidRPr="009257E7">
        <w:rPr>
          <w:lang w:val="es-ES"/>
        </w:rPr>
        <w:t xml:space="preserve"> castas en el derecho y </w:t>
      </w:r>
      <w:r w:rsidR="00FD19CA" w:rsidRPr="009257E7">
        <w:rPr>
          <w:lang w:val="es-ES"/>
        </w:rPr>
        <w:t xml:space="preserve">en </w:t>
      </w:r>
      <w:r w:rsidRPr="009257E7">
        <w:rPr>
          <w:lang w:val="es-ES"/>
        </w:rPr>
        <w:t xml:space="preserve">la sociedad. Después de </w:t>
      </w:r>
      <w:r w:rsidRPr="009257E7">
        <w:rPr>
          <w:rStyle w:val="Emphasis"/>
          <w:lang w:val="es-ES"/>
        </w:rPr>
        <w:t xml:space="preserve">Brown v. Board </w:t>
      </w:r>
      <w:proofErr w:type="spellStart"/>
      <w:r w:rsidRPr="009257E7">
        <w:rPr>
          <w:rStyle w:val="Emphasis"/>
          <w:lang w:val="es-ES"/>
        </w:rPr>
        <w:t>of</w:t>
      </w:r>
      <w:proofErr w:type="spellEnd"/>
      <w:r w:rsidRPr="009257E7">
        <w:rPr>
          <w:rStyle w:val="Emphasis"/>
          <w:lang w:val="es-ES"/>
        </w:rPr>
        <w:t xml:space="preserve"> </w:t>
      </w:r>
      <w:proofErr w:type="spellStart"/>
      <w:r w:rsidRPr="009257E7">
        <w:rPr>
          <w:rStyle w:val="Emphasis"/>
          <w:lang w:val="es-ES"/>
        </w:rPr>
        <w:t>Education</w:t>
      </w:r>
      <w:proofErr w:type="spellEnd"/>
      <w:r w:rsidRPr="009257E7">
        <w:rPr>
          <w:lang w:val="es-ES"/>
        </w:rPr>
        <w:t>, por ejemplo, las élites sureñas usaron la ética jurídica para atacar los desafíos contra la segregación y la discriminación planteados por grupos de abogacía negra como la NAACP: “[P]</w:t>
      </w:r>
      <w:proofErr w:type="spellStart"/>
      <w:r w:rsidRPr="009257E7">
        <w:rPr>
          <w:lang w:val="es-ES"/>
        </w:rPr>
        <w:t>rocesar</w:t>
      </w:r>
      <w:proofErr w:type="spellEnd"/>
      <w:r w:rsidRPr="009257E7">
        <w:rPr>
          <w:lang w:val="es-ES"/>
        </w:rPr>
        <w:t xml:space="preserve"> a la NAACP por presuntas violaciones de </w:t>
      </w:r>
      <w:r w:rsidR="00FD19CA" w:rsidRPr="009257E7">
        <w:rPr>
          <w:lang w:val="es-ES"/>
        </w:rPr>
        <w:t xml:space="preserve">la </w:t>
      </w:r>
      <w:r w:rsidRPr="009257E7">
        <w:rPr>
          <w:lang w:val="es-ES"/>
        </w:rPr>
        <w:t>ética jurídica constituyó uno de los medios de ataque más feroces de los estados sureños contra la organización”</w:t>
      </w:r>
      <w:r w:rsidR="000172F9" w:rsidRPr="009257E7">
        <w:rPr>
          <w:rStyle w:val="FootnoteReference"/>
          <w:lang w:val="es-ES"/>
        </w:rPr>
        <w:footnoteReference w:id="142"/>
      </w:r>
      <w:r w:rsidRPr="009257E7">
        <w:rPr>
          <w:lang w:val="es-ES"/>
        </w:rPr>
        <w:t>.</w:t>
      </w:r>
      <w:r w:rsidR="00FD19CA" w:rsidRPr="009257E7">
        <w:rPr>
          <w:lang w:val="es-ES"/>
        </w:rPr>
        <w:t xml:space="preserve"> </w:t>
      </w:r>
    </w:p>
    <w:p w14:paraId="6BC5489D" w14:textId="504179D4" w:rsidR="00BB5DB7" w:rsidRPr="009257E7" w:rsidRDefault="00BB5DB7" w:rsidP="00F05315">
      <w:pPr>
        <w:pStyle w:val="NormalWeb"/>
        <w:ind w:firstLine="720"/>
        <w:rPr>
          <w:lang w:val="es-ES"/>
        </w:rPr>
      </w:pPr>
      <w:r w:rsidRPr="009257E7">
        <w:rPr>
          <w:lang w:val="es-ES"/>
        </w:rPr>
        <w:t>Con bastante frecuencia, l</w:t>
      </w:r>
      <w:r w:rsidR="00F05315" w:rsidRPr="009257E7">
        <w:rPr>
          <w:lang w:val="es-ES"/>
        </w:rPr>
        <w:t>o</w:t>
      </w:r>
      <w:r w:rsidRPr="009257E7">
        <w:rPr>
          <w:lang w:val="es-ES"/>
        </w:rPr>
        <w:t>s abogad</w:t>
      </w:r>
      <w:r w:rsidR="00F05315" w:rsidRPr="009257E7">
        <w:rPr>
          <w:lang w:val="es-ES"/>
        </w:rPr>
        <w:t>o</w:t>
      </w:r>
      <w:r w:rsidRPr="009257E7">
        <w:rPr>
          <w:lang w:val="es-ES"/>
        </w:rPr>
        <w:t>s elitistas usan su influencia para apoyar el derecho de interés público con dinero o servicio en juntas, mientras resisten o bloquean críticas desde abajo que sugieren que la profesión jurídica en su conjunto sirve intereses elitistas y debe cambiar: “Al apoyar el trabajo de organizaciones de interés público como la NAACP, l</w:t>
      </w:r>
      <w:r w:rsidR="00EC26BA" w:rsidRPr="009257E7">
        <w:rPr>
          <w:lang w:val="es-ES"/>
        </w:rPr>
        <w:t>o</w:t>
      </w:r>
      <w:r w:rsidRPr="009257E7">
        <w:rPr>
          <w:lang w:val="es-ES"/>
        </w:rPr>
        <w:t>s abogad</w:t>
      </w:r>
      <w:r w:rsidR="00EC26BA" w:rsidRPr="009257E7">
        <w:rPr>
          <w:lang w:val="es-ES"/>
        </w:rPr>
        <w:t>o</w:t>
      </w:r>
      <w:r w:rsidRPr="009257E7">
        <w:rPr>
          <w:lang w:val="es-ES"/>
        </w:rPr>
        <w:t>s elitistas, desde [generaciones anteriores] hasta la nuestra, han podido presentar las aspiraciones públicas del foro jurídico como realidad sin tener que alterar de manera significativa sus propias prácticas, que con frecuencia socavan el marco público que las organizaciones de abogacía buscan proteger”</w:t>
      </w:r>
      <w:r w:rsidR="00955FF5" w:rsidRPr="009257E7">
        <w:rPr>
          <w:rStyle w:val="FootnoteReference"/>
          <w:lang w:val="es-ES"/>
        </w:rPr>
        <w:footnoteReference w:id="143"/>
      </w:r>
      <w:r w:rsidRPr="009257E7">
        <w:rPr>
          <w:lang w:val="es-ES"/>
        </w:rPr>
        <w:t xml:space="preserve">. Este trabajo no se basa en </w:t>
      </w:r>
      <w:r w:rsidR="00955FF5" w:rsidRPr="009257E7">
        <w:rPr>
          <w:lang w:val="es-ES"/>
        </w:rPr>
        <w:t xml:space="preserve">la </w:t>
      </w:r>
      <w:r w:rsidRPr="009257E7">
        <w:rPr>
          <w:lang w:val="es-ES"/>
        </w:rPr>
        <w:t xml:space="preserve">oposición a las metas reformistas de las organizaciones de interés público, sino en </w:t>
      </w:r>
      <w:r w:rsidR="00955FF5" w:rsidRPr="009257E7">
        <w:rPr>
          <w:lang w:val="es-ES"/>
        </w:rPr>
        <w:t>su</w:t>
      </w:r>
      <w:r w:rsidRPr="009257E7">
        <w:rPr>
          <w:lang w:val="es-ES"/>
        </w:rPr>
        <w:t xml:space="preserve"> </w:t>
      </w:r>
      <w:r w:rsidR="00955FF5" w:rsidRPr="009257E7">
        <w:rPr>
          <w:lang w:val="es-ES"/>
        </w:rPr>
        <w:t>apoyo</w:t>
      </w:r>
      <w:r w:rsidRPr="009257E7">
        <w:rPr>
          <w:lang w:val="es-ES"/>
        </w:rPr>
        <w:t>, siempre que no se amenace la transformación de las jerarquías de poder y prestigio</w:t>
      </w:r>
      <w:r w:rsidR="00E300F0" w:rsidRPr="009257E7">
        <w:rPr>
          <w:rStyle w:val="FootnoteReference"/>
          <w:lang w:val="es-ES"/>
        </w:rPr>
        <w:footnoteReference w:id="144"/>
      </w:r>
      <w:r w:rsidRPr="009257E7">
        <w:rPr>
          <w:lang w:val="es-ES"/>
        </w:rPr>
        <w:t>.</w:t>
      </w:r>
    </w:p>
    <w:p w14:paraId="0A7FA041" w14:textId="4BD46523" w:rsidR="00BB5DB7" w:rsidRPr="009257E7" w:rsidRDefault="00BB5DB7" w:rsidP="00955FF5">
      <w:pPr>
        <w:pStyle w:val="NormalWeb"/>
        <w:ind w:firstLine="720"/>
        <w:rPr>
          <w:lang w:val="es-ES"/>
        </w:rPr>
      </w:pPr>
      <w:r w:rsidRPr="009257E7">
        <w:rPr>
          <w:lang w:val="es-ES"/>
        </w:rPr>
        <w:lastRenderedPageBreak/>
        <w:t>Al n</w:t>
      </w:r>
      <w:r w:rsidR="00955FF5" w:rsidRPr="009257E7">
        <w:rPr>
          <w:lang w:val="es-ES"/>
        </w:rPr>
        <w:t>o</w:t>
      </w:r>
      <w:r w:rsidRPr="009257E7">
        <w:rPr>
          <w:lang w:val="es-ES"/>
        </w:rPr>
        <w:t xml:space="preserve"> haber sido reformados ni transformados de manera fundamental, los códigos de ética jurídica continúan </w:t>
      </w:r>
      <w:r w:rsidR="00955FF5" w:rsidRPr="009257E7">
        <w:rPr>
          <w:lang w:val="es-ES"/>
        </w:rPr>
        <w:t>cumpl</w:t>
      </w:r>
      <w:r w:rsidRPr="009257E7">
        <w:rPr>
          <w:lang w:val="es-ES"/>
        </w:rPr>
        <w:t xml:space="preserve">iendo sus propósitos sistémicos originales. Los códigos actuales siguen proyectando e imponiendo, aunque de forma más encubierta que antes, los sesgos gobernantes originales de la educación y </w:t>
      </w:r>
      <w:r w:rsidR="0018587B" w:rsidRPr="009257E7">
        <w:rPr>
          <w:lang w:val="es-ES"/>
        </w:rPr>
        <w:t xml:space="preserve">de </w:t>
      </w:r>
      <w:r w:rsidRPr="009257E7">
        <w:rPr>
          <w:lang w:val="es-ES"/>
        </w:rPr>
        <w:t>la práctica jurídica, que favorecen el poder y la ganancia por encima de la igualdad y la democracia. Esta historia es ahora el statu quo que les abogades sistémiques confrontan para crear y proteger el progreso sistémico.</w:t>
      </w:r>
    </w:p>
    <w:p w14:paraId="6B4F7AB9" w14:textId="77777777" w:rsidR="00BB5DB7" w:rsidRPr="009257E7" w:rsidRDefault="00BB5DB7" w:rsidP="008F5B70">
      <w:pPr>
        <w:spacing w:before="100" w:beforeAutospacing="1" w:after="100" w:afterAutospacing="1" w:line="240" w:lineRule="auto"/>
        <w:outlineLvl w:val="1"/>
        <w:rPr>
          <w:rFonts w:ascii="Times New Roman" w:eastAsia="Times New Roman" w:hAnsi="Times New Roman" w:cs="Times New Roman"/>
          <w:b/>
          <w:bCs/>
          <w:kern w:val="0"/>
          <w:lang w:val="es-ES"/>
          <w14:ligatures w14:val="none"/>
        </w:rPr>
      </w:pPr>
    </w:p>
    <w:p w14:paraId="51D8B26F" w14:textId="77777777" w:rsidR="0018587B" w:rsidRPr="009257E7" w:rsidRDefault="0018587B">
      <w:pPr>
        <w:rPr>
          <w:rFonts w:ascii="Times New Roman" w:eastAsia="Times New Roman" w:hAnsi="Times New Roman" w:cs="Times New Roman"/>
          <w:b/>
          <w:bCs/>
          <w:kern w:val="0"/>
          <w:lang w:val="es-ES"/>
          <w14:ligatures w14:val="none"/>
        </w:rPr>
      </w:pPr>
      <w:r w:rsidRPr="009257E7">
        <w:rPr>
          <w:rFonts w:ascii="Times New Roman" w:eastAsia="Times New Roman" w:hAnsi="Times New Roman" w:cs="Times New Roman"/>
          <w:b/>
          <w:bCs/>
          <w:kern w:val="0"/>
          <w:lang w:val="es-ES"/>
          <w14:ligatures w14:val="none"/>
        </w:rPr>
        <w:br w:type="page"/>
      </w:r>
    </w:p>
    <w:p w14:paraId="5407D0AC" w14:textId="2E38BDDE" w:rsidR="008F5B70" w:rsidRPr="009257E7" w:rsidRDefault="008F5B70" w:rsidP="008F5B70">
      <w:pPr>
        <w:spacing w:before="100" w:beforeAutospacing="1" w:after="100" w:afterAutospacing="1" w:line="240" w:lineRule="auto"/>
        <w:outlineLvl w:val="1"/>
        <w:rPr>
          <w:rFonts w:ascii="Times New Roman" w:eastAsia="Times New Roman" w:hAnsi="Times New Roman" w:cs="Times New Roman"/>
          <w:b/>
          <w:bCs/>
          <w:kern w:val="0"/>
          <w:lang w:val="es-ES"/>
          <w14:ligatures w14:val="none"/>
        </w:rPr>
      </w:pPr>
      <w:r w:rsidRPr="009257E7">
        <w:rPr>
          <w:rFonts w:ascii="Times New Roman" w:eastAsia="Times New Roman" w:hAnsi="Times New Roman" w:cs="Times New Roman"/>
          <w:b/>
          <w:bCs/>
          <w:kern w:val="0"/>
          <w:lang w:val="es-ES"/>
          <w14:ligatures w14:val="none"/>
        </w:rPr>
        <w:lastRenderedPageBreak/>
        <w:t>PARTE B</w:t>
      </w:r>
    </w:p>
    <w:p w14:paraId="22A7D0EC" w14:textId="72314A8C" w:rsidR="008F5B70" w:rsidRPr="009257E7" w:rsidRDefault="008F5B70" w:rsidP="008F5B70">
      <w:pPr>
        <w:spacing w:before="100" w:beforeAutospacing="1" w:after="100" w:afterAutospacing="1" w:line="240" w:lineRule="auto"/>
        <w:outlineLvl w:val="1"/>
        <w:rPr>
          <w:rFonts w:ascii="Times New Roman" w:eastAsia="Times New Roman" w:hAnsi="Times New Roman" w:cs="Times New Roman"/>
          <w:b/>
          <w:bCs/>
          <w:kern w:val="0"/>
          <w:lang w:val="es-ES"/>
          <w14:ligatures w14:val="none"/>
        </w:rPr>
      </w:pPr>
      <w:r w:rsidRPr="009257E7">
        <w:rPr>
          <w:rFonts w:ascii="Times New Roman" w:eastAsia="Times New Roman" w:hAnsi="Times New Roman" w:cs="Times New Roman"/>
          <w:b/>
          <w:bCs/>
          <w:kern w:val="0"/>
          <w:lang w:val="es-ES"/>
          <w14:ligatures w14:val="none"/>
        </w:rPr>
        <w:t>CONOCIMIENTO CRÍTICO Y ACCIONES COLABORATIVAS:</w:t>
      </w:r>
      <w:r w:rsidR="00B756BC" w:rsidRPr="009257E7">
        <w:rPr>
          <w:rFonts w:ascii="Times New Roman" w:eastAsia="Times New Roman" w:hAnsi="Times New Roman" w:cs="Times New Roman"/>
          <w:b/>
          <w:bCs/>
          <w:kern w:val="0"/>
          <w:lang w:val="es-ES"/>
          <w14:ligatures w14:val="none"/>
        </w:rPr>
        <w:t xml:space="preserve"> </w:t>
      </w:r>
      <w:r w:rsidRPr="009257E7">
        <w:rPr>
          <w:rFonts w:ascii="Times New Roman" w:eastAsia="Times New Roman" w:hAnsi="Times New Roman" w:cs="Times New Roman"/>
          <w:b/>
          <w:bCs/>
          <w:kern w:val="0"/>
          <w:lang w:val="es-ES"/>
          <w14:ligatures w14:val="none"/>
        </w:rPr>
        <w:t>MEDIOS Y FORMAS PARA LOGRAR PROGRESO SISTÉMICO</w:t>
      </w:r>
    </w:p>
    <w:p w14:paraId="207BFB0A" w14:textId="77777777" w:rsidR="00C57C4D" w:rsidRPr="009257E7" w:rsidRDefault="00C57C4D" w:rsidP="00C57C4D">
      <w:pPr>
        <w:spacing w:before="100" w:beforeAutospacing="1" w:after="100" w:afterAutospacing="1" w:line="240" w:lineRule="auto"/>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i/>
          <w:iCs/>
          <w:kern w:val="0"/>
          <w:lang w:val="es-ES"/>
          <w14:ligatures w14:val="none"/>
        </w:rPr>
        <w:t>Un sistema no puede fallarles a quienes nunca fue diseñado para proteger.</w:t>
      </w:r>
      <w:r w:rsidRPr="009257E7">
        <w:rPr>
          <w:rFonts w:ascii="Times New Roman" w:eastAsia="Times New Roman" w:hAnsi="Times New Roman" w:cs="Times New Roman"/>
          <w:i/>
          <w:iCs/>
          <w:kern w:val="0"/>
          <w:lang w:val="es-ES"/>
          <w14:ligatures w14:val="none"/>
        </w:rPr>
        <w:br/>
      </w:r>
      <w:r w:rsidRPr="009257E7">
        <w:rPr>
          <w:rFonts w:ascii="Times New Roman" w:eastAsia="Times New Roman" w:hAnsi="Times New Roman" w:cs="Times New Roman"/>
          <w:kern w:val="0"/>
          <w:lang w:val="es-ES"/>
          <w14:ligatures w14:val="none"/>
        </w:rPr>
        <w:t>—W.E.B. Du Bois</w:t>
      </w:r>
    </w:p>
    <w:p w14:paraId="4F5A68B4" w14:textId="77777777" w:rsidR="00C57C4D" w:rsidRPr="009257E7" w:rsidRDefault="00C57C4D" w:rsidP="00C57C4D">
      <w:pPr>
        <w:spacing w:before="100" w:beforeAutospacing="1" w:after="100" w:afterAutospacing="1" w:line="240" w:lineRule="auto"/>
        <w:outlineLvl w:val="1"/>
        <w:rPr>
          <w:rFonts w:ascii="Times New Roman" w:eastAsia="Times New Roman" w:hAnsi="Times New Roman" w:cs="Times New Roman"/>
          <w:b/>
          <w:bCs/>
          <w:kern w:val="0"/>
          <w:lang w:val="es-ES"/>
          <w14:ligatures w14:val="none"/>
        </w:rPr>
      </w:pPr>
      <w:r w:rsidRPr="009257E7">
        <w:rPr>
          <w:rFonts w:ascii="Times New Roman" w:eastAsia="Times New Roman" w:hAnsi="Times New Roman" w:cs="Times New Roman"/>
          <w:b/>
          <w:bCs/>
          <w:kern w:val="0"/>
          <w:lang w:val="es-ES"/>
          <w14:ligatures w14:val="none"/>
        </w:rPr>
        <w:t>INTRODUCCIÓN</w:t>
      </w:r>
    </w:p>
    <w:p w14:paraId="5A6F9276" w14:textId="2E440B24" w:rsidR="00C57C4D" w:rsidRPr="009257E7" w:rsidRDefault="00C57C4D" w:rsidP="00765D51">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 xml:space="preserve">Como sistema y por diseño, el Estado de derecho todavía usa identidades para construir grupos, asignar individuos a ellos y ordenarlos jerárquicamente, con el fin de canalizar resultados y moldear la sociedad en su conjunto. En </w:t>
      </w:r>
      <w:r w:rsidR="00765D51" w:rsidRPr="009257E7">
        <w:rPr>
          <w:rFonts w:ascii="Times New Roman" w:eastAsia="Times New Roman" w:hAnsi="Times New Roman" w:cs="Times New Roman"/>
          <w:kern w:val="0"/>
          <w:lang w:val="es-ES"/>
          <w14:ligatures w14:val="none"/>
        </w:rPr>
        <w:t xml:space="preserve">los </w:t>
      </w:r>
      <w:r w:rsidRPr="009257E7">
        <w:rPr>
          <w:rFonts w:ascii="Times New Roman" w:eastAsia="Times New Roman" w:hAnsi="Times New Roman" w:cs="Times New Roman"/>
          <w:kern w:val="0"/>
          <w:lang w:val="es-ES"/>
          <w14:ligatures w14:val="none"/>
        </w:rPr>
        <w:t>Estados Unidos y en muchas otras antiguas colonias europeas, las identidades sociales estuvieron en el centro del derecho desde su inicio. Han permanecido allí desde entonces, de forma abierta o encubierta, en términos micro-macro y materiales-simbólicos.</w:t>
      </w:r>
      <w:r w:rsidR="00765D51" w:rsidRPr="009257E7">
        <w:rPr>
          <w:rFonts w:ascii="Times New Roman" w:eastAsia="Times New Roman" w:hAnsi="Times New Roman" w:cs="Times New Roman"/>
          <w:kern w:val="0"/>
          <w:lang w:val="es-ES"/>
          <w14:ligatures w14:val="none"/>
        </w:rPr>
        <w:t xml:space="preserve"> </w:t>
      </w:r>
    </w:p>
    <w:p w14:paraId="0552A73E" w14:textId="2BEECBA0" w:rsidR="00C57C4D" w:rsidRPr="009257E7" w:rsidRDefault="00C57C4D" w:rsidP="00765D51">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 xml:space="preserve">En respuesta, les abogades y </w:t>
      </w:r>
      <w:r w:rsidR="00765D51" w:rsidRPr="009257E7">
        <w:rPr>
          <w:rFonts w:ascii="Times New Roman" w:eastAsia="Times New Roman" w:hAnsi="Times New Roman" w:cs="Times New Roman"/>
          <w:kern w:val="0"/>
          <w:lang w:val="es-ES"/>
          <w14:ligatures w14:val="none"/>
        </w:rPr>
        <w:t xml:space="preserve">les </w:t>
      </w:r>
      <w:r w:rsidRPr="009257E7">
        <w:rPr>
          <w:rFonts w:ascii="Times New Roman" w:eastAsia="Times New Roman" w:hAnsi="Times New Roman" w:cs="Times New Roman"/>
          <w:kern w:val="0"/>
          <w:lang w:val="es-ES"/>
          <w14:ligatures w14:val="none"/>
        </w:rPr>
        <w:t xml:space="preserve">activistas </w:t>
      </w:r>
      <w:proofErr w:type="spellStart"/>
      <w:r w:rsidRPr="009257E7">
        <w:rPr>
          <w:rFonts w:ascii="Times New Roman" w:eastAsia="Times New Roman" w:hAnsi="Times New Roman" w:cs="Times New Roman"/>
          <w:kern w:val="0"/>
          <w:lang w:val="es-ES"/>
          <w14:ligatures w14:val="none"/>
        </w:rPr>
        <w:t>críticxs</w:t>
      </w:r>
      <w:proofErr w:type="spellEnd"/>
      <w:r w:rsidRPr="009257E7">
        <w:rPr>
          <w:rFonts w:ascii="Times New Roman" w:eastAsia="Times New Roman" w:hAnsi="Times New Roman" w:cs="Times New Roman"/>
          <w:kern w:val="0"/>
          <w:lang w:val="es-ES"/>
          <w14:ligatures w14:val="none"/>
        </w:rPr>
        <w:t xml:space="preserve"> deben comprender las identidades y sus efectos complejos e interseccionales en el derecho y la sociedad, por dos razones principales:</w:t>
      </w:r>
    </w:p>
    <w:p w14:paraId="4EE697FD" w14:textId="77777777" w:rsidR="00C57C4D" w:rsidRPr="009257E7" w:rsidRDefault="00C57C4D" w:rsidP="00C57C4D">
      <w:pPr>
        <w:spacing w:before="100" w:beforeAutospacing="1" w:after="100" w:afterAutospacing="1" w:line="240" w:lineRule="auto"/>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 Para avanzar hacia la justicia sistémica, les abogades navegan conflictos, disputas u otros obstáculos basados en identidades sociales, y ayudan a trazar un camino hacia la cohesión y la acción grupales a pesar de múltiples tipos de miedo, desafecto o diferencia.</w:t>
      </w:r>
    </w:p>
    <w:p w14:paraId="7F61B406" w14:textId="77777777" w:rsidR="00C57C4D" w:rsidRPr="009257E7" w:rsidRDefault="00C57C4D" w:rsidP="00C57C4D">
      <w:pPr>
        <w:spacing w:before="100" w:beforeAutospacing="1" w:after="100" w:afterAutospacing="1" w:line="240" w:lineRule="auto"/>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 Para movilizar la acción colectiva contra una lesión común basada en una identidad social compartida, les abogades usan las identidades sociales como activos para elevar la conciencia e impulsar la organización.</w:t>
      </w:r>
    </w:p>
    <w:p w14:paraId="624458B1" w14:textId="259022EF" w:rsidR="00C57C4D" w:rsidRPr="009257E7" w:rsidRDefault="00C57C4D" w:rsidP="00E233AF">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 xml:space="preserve">Les abogades sistémiques deben enfrentar las identidades sociales porque el orden social y el sistema jurídico siguen organizados </w:t>
      </w:r>
      <w:r w:rsidR="00E233AF" w:rsidRPr="009257E7">
        <w:rPr>
          <w:rFonts w:ascii="Times New Roman" w:eastAsia="Times New Roman" w:hAnsi="Times New Roman" w:cs="Times New Roman"/>
          <w:kern w:val="0"/>
          <w:lang w:val="es-ES"/>
          <w14:ligatures w14:val="none"/>
        </w:rPr>
        <w:t>en torno a</w:t>
      </w:r>
      <w:r w:rsidRPr="009257E7">
        <w:rPr>
          <w:rFonts w:ascii="Times New Roman" w:eastAsia="Times New Roman" w:hAnsi="Times New Roman" w:cs="Times New Roman"/>
          <w:kern w:val="0"/>
          <w:lang w:val="es-ES"/>
          <w14:ligatures w14:val="none"/>
        </w:rPr>
        <w:t xml:space="preserve"> ellas. Este proceso de desaprendizaje y reaprendizaje moviliza las historias y los hechos de agravios compartidos</w:t>
      </w:r>
      <w:r w:rsidR="00E233AF" w:rsidRPr="009257E7">
        <w:rPr>
          <w:rFonts w:ascii="Times New Roman" w:eastAsia="Times New Roman" w:hAnsi="Times New Roman" w:cs="Times New Roman"/>
          <w:kern w:val="0"/>
          <w:lang w:val="es-ES"/>
          <w14:ligatures w14:val="none"/>
        </w:rPr>
        <w:t>,</w:t>
      </w:r>
      <w:r w:rsidRPr="009257E7">
        <w:rPr>
          <w:rFonts w:ascii="Times New Roman" w:eastAsia="Times New Roman" w:hAnsi="Times New Roman" w:cs="Times New Roman"/>
          <w:kern w:val="0"/>
          <w:lang w:val="es-ES"/>
          <w14:ligatures w14:val="none"/>
        </w:rPr>
        <w:t xml:space="preserve"> para ayudar a organizar grupos que puedan luchar por la justicia de manera más efectiva. El objetivo es construir una conciencia crítica del privilegio y la subordinación sistémicos basados en identidades sociales, con el fin de cultivar un sentido </w:t>
      </w:r>
      <w:proofErr w:type="spellStart"/>
      <w:r w:rsidRPr="009257E7">
        <w:rPr>
          <w:rFonts w:ascii="Times New Roman" w:eastAsia="Times New Roman" w:hAnsi="Times New Roman" w:cs="Times New Roman"/>
          <w:kern w:val="0"/>
          <w:lang w:val="es-ES"/>
          <w14:ligatures w14:val="none"/>
        </w:rPr>
        <w:t>coalicional</w:t>
      </w:r>
      <w:proofErr w:type="spellEnd"/>
      <w:r w:rsidRPr="009257E7">
        <w:rPr>
          <w:rFonts w:ascii="Times New Roman" w:eastAsia="Times New Roman" w:hAnsi="Times New Roman" w:cs="Times New Roman"/>
          <w:kern w:val="0"/>
          <w:lang w:val="es-ES"/>
          <w14:ligatures w14:val="none"/>
        </w:rPr>
        <w:t xml:space="preserve"> de solidaridad </w:t>
      </w:r>
      <w:proofErr w:type="spellStart"/>
      <w:r w:rsidRPr="009257E7">
        <w:rPr>
          <w:rFonts w:ascii="Times New Roman" w:eastAsia="Times New Roman" w:hAnsi="Times New Roman" w:cs="Times New Roman"/>
          <w:kern w:val="0"/>
          <w:lang w:val="es-ES"/>
          <w14:ligatures w14:val="none"/>
        </w:rPr>
        <w:t>antisubordinación</w:t>
      </w:r>
      <w:proofErr w:type="spellEnd"/>
      <w:r w:rsidRPr="009257E7">
        <w:rPr>
          <w:rFonts w:ascii="Times New Roman" w:eastAsia="Times New Roman" w:hAnsi="Times New Roman" w:cs="Times New Roman"/>
          <w:kern w:val="0"/>
          <w:lang w:val="es-ES"/>
          <w14:ligatures w14:val="none"/>
        </w:rPr>
        <w:t xml:space="preserve"> a través de múltiples tipos de diferencia.</w:t>
      </w:r>
    </w:p>
    <w:p w14:paraId="730B6A92" w14:textId="244AEBBB" w:rsidR="00C57C4D" w:rsidRPr="009257E7" w:rsidRDefault="00C57C4D" w:rsidP="00761EA2">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 xml:space="preserve">En términos más generales, desaprender y reaprender constituyen un método fundamental de la abogacía sistémica para ayudar a les abogades a perforar disfraces, distracciones y negaciones sistémicas. Les abogades desaprenden y reaprenden para poder actuar de otra manera: de forma más estratégica, </w:t>
      </w:r>
      <w:proofErr w:type="gramStart"/>
      <w:r w:rsidRPr="009257E7">
        <w:rPr>
          <w:rFonts w:ascii="Times New Roman" w:eastAsia="Times New Roman" w:hAnsi="Times New Roman" w:cs="Times New Roman"/>
          <w:kern w:val="0"/>
          <w:lang w:val="es-ES"/>
          <w14:ligatures w14:val="none"/>
        </w:rPr>
        <w:t>más reflexiva y más efectiva</w:t>
      </w:r>
      <w:proofErr w:type="gramEnd"/>
      <w:r w:rsidRPr="009257E7">
        <w:rPr>
          <w:rFonts w:ascii="Times New Roman" w:eastAsia="Times New Roman" w:hAnsi="Times New Roman" w:cs="Times New Roman"/>
          <w:kern w:val="0"/>
          <w:lang w:val="es-ES"/>
          <w14:ligatures w14:val="none"/>
        </w:rPr>
        <w:t>. Desaprender y reaprender cómo funcionan las identidades social y jurídicamente es fundacional para la justicia igualitaria: “Lo primero que hacemos cuando nacemos es aprender. [...] Inmediatamente entablamos una conversación con nuestro entorno. [...] La educación es lo primero que hacemos”</w:t>
      </w:r>
      <w:r w:rsidR="00F76353" w:rsidRPr="009257E7">
        <w:rPr>
          <w:rStyle w:val="FootnoteReference"/>
          <w:rFonts w:ascii="Times New Roman" w:eastAsia="Times New Roman" w:hAnsi="Times New Roman" w:cs="Times New Roman"/>
          <w:kern w:val="0"/>
          <w:lang w:val="es-ES"/>
          <w14:ligatures w14:val="none"/>
        </w:rPr>
        <w:footnoteReference w:id="145"/>
      </w:r>
      <w:r w:rsidRPr="009257E7">
        <w:rPr>
          <w:rFonts w:ascii="Times New Roman" w:eastAsia="Times New Roman" w:hAnsi="Times New Roman" w:cs="Times New Roman"/>
          <w:kern w:val="0"/>
          <w:lang w:val="es-ES"/>
          <w14:ligatures w14:val="none"/>
        </w:rPr>
        <w:t xml:space="preserve">. Y luego, desaprender y reaprender es lo segundo —y </w:t>
      </w:r>
      <w:r w:rsidR="005E5B63" w:rsidRPr="009257E7">
        <w:rPr>
          <w:rFonts w:ascii="Times New Roman" w:eastAsia="Times New Roman" w:hAnsi="Times New Roman" w:cs="Times New Roman"/>
          <w:kern w:val="0"/>
          <w:lang w:val="es-ES"/>
          <w14:ligatures w14:val="none"/>
        </w:rPr>
        <w:t xml:space="preserve">lo </w:t>
      </w:r>
      <w:r w:rsidRPr="009257E7">
        <w:rPr>
          <w:rFonts w:ascii="Times New Roman" w:eastAsia="Times New Roman" w:hAnsi="Times New Roman" w:cs="Times New Roman"/>
          <w:kern w:val="0"/>
          <w:lang w:val="es-ES"/>
          <w14:ligatures w14:val="none"/>
        </w:rPr>
        <w:t xml:space="preserve">permanente— que hacemos. De lo contrario, la </w:t>
      </w:r>
      <w:r w:rsidRPr="009257E7">
        <w:rPr>
          <w:rFonts w:ascii="Times New Roman" w:eastAsia="Times New Roman" w:hAnsi="Times New Roman" w:cs="Times New Roman"/>
          <w:kern w:val="0"/>
          <w:lang w:val="es-ES"/>
          <w14:ligatures w14:val="none"/>
        </w:rPr>
        <w:lastRenderedPageBreak/>
        <w:t>justicia igualitaria es imposible, porque permanecemos perpetuamente</w:t>
      </w:r>
      <w:r w:rsidR="005E5B63" w:rsidRPr="009257E7">
        <w:rPr>
          <w:rFonts w:ascii="Times New Roman" w:eastAsia="Times New Roman" w:hAnsi="Times New Roman" w:cs="Times New Roman"/>
          <w:kern w:val="0"/>
          <w:lang w:val="es-ES"/>
          <w14:ligatures w14:val="none"/>
        </w:rPr>
        <w:t xml:space="preserve"> encerrados</w:t>
      </w:r>
      <w:r w:rsidRPr="009257E7">
        <w:rPr>
          <w:rFonts w:ascii="Times New Roman" w:eastAsia="Times New Roman" w:hAnsi="Times New Roman" w:cs="Times New Roman"/>
          <w:kern w:val="0"/>
          <w:lang w:val="es-ES"/>
          <w14:ligatures w14:val="none"/>
        </w:rPr>
        <w:t xml:space="preserve"> </w:t>
      </w:r>
      <w:r w:rsidR="005E5B63" w:rsidRPr="009257E7">
        <w:rPr>
          <w:rFonts w:ascii="Times New Roman" w:eastAsia="Times New Roman" w:hAnsi="Times New Roman" w:cs="Times New Roman"/>
          <w:kern w:val="0"/>
          <w:lang w:val="es-ES"/>
          <w14:ligatures w14:val="none"/>
        </w:rPr>
        <w:t>en</w:t>
      </w:r>
      <w:r w:rsidRPr="009257E7">
        <w:rPr>
          <w:rFonts w:ascii="Times New Roman" w:eastAsia="Times New Roman" w:hAnsi="Times New Roman" w:cs="Times New Roman"/>
          <w:kern w:val="0"/>
          <w:lang w:val="es-ES"/>
          <w14:ligatures w14:val="none"/>
        </w:rPr>
        <w:t xml:space="preserve"> los legados del pasado.</w:t>
      </w:r>
    </w:p>
    <w:p w14:paraId="0216E768" w14:textId="59C60BC3" w:rsidR="00C57C4D" w:rsidRPr="009257E7" w:rsidRDefault="00C57C4D" w:rsidP="00F76353">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Este proceso vitalicio de cuestionar todos los saberes recibidos es personal y profesional, práctico y conceptual, individual y colectivo, crítico y autocrítico. Desaprender y reaprender ayuda a les abogades a pensar y actuar fuera de las cajas sistémicas, así como dentro de ellas. Desaprender y reaprender como método crítico ayuda a les abogades a ver cómo el derecho distribuye privilegio y subordinación tanto en niveles micro como macro.</w:t>
      </w:r>
      <w:r w:rsidR="00F76353" w:rsidRPr="009257E7">
        <w:rPr>
          <w:rFonts w:ascii="Times New Roman" w:eastAsia="Times New Roman" w:hAnsi="Times New Roman" w:cs="Times New Roman"/>
          <w:kern w:val="0"/>
          <w:lang w:val="es-ES"/>
          <w14:ligatures w14:val="none"/>
        </w:rPr>
        <w:t xml:space="preserve"> </w:t>
      </w:r>
    </w:p>
    <w:p w14:paraId="070CB3EE" w14:textId="77777777" w:rsidR="00C82B90" w:rsidRPr="009257E7" w:rsidRDefault="008F5B70" w:rsidP="008F5B70">
      <w:pPr>
        <w:spacing w:before="100" w:beforeAutospacing="1" w:after="100" w:afterAutospacing="1" w:line="240" w:lineRule="auto"/>
        <w:rPr>
          <w:rFonts w:ascii="Times New Roman" w:eastAsia="Times New Roman" w:hAnsi="Times New Roman" w:cs="Times New Roman"/>
          <w:b/>
          <w:bCs/>
          <w:kern w:val="0"/>
          <w:lang w:val="es-ES"/>
          <w14:ligatures w14:val="none"/>
        </w:rPr>
      </w:pPr>
      <w:r w:rsidRPr="009257E7">
        <w:rPr>
          <w:rFonts w:ascii="Times New Roman" w:eastAsia="Times New Roman" w:hAnsi="Times New Roman" w:cs="Times New Roman"/>
          <w:b/>
          <w:bCs/>
          <w:kern w:val="0"/>
          <w:lang w:val="es-ES"/>
          <w14:ligatures w14:val="none"/>
        </w:rPr>
        <w:t>4.1 El derecho distribuye y normaliza el privilegio y la subordinación privado-públicos</w:t>
      </w:r>
    </w:p>
    <w:p w14:paraId="320F465F" w14:textId="33080957" w:rsidR="00C82B90" w:rsidRPr="009257E7" w:rsidRDefault="00C82B90" w:rsidP="00062DD2">
      <w:pPr>
        <w:pStyle w:val="NormalWeb"/>
        <w:ind w:firstLine="720"/>
        <w:rPr>
          <w:lang w:val="es-ES"/>
        </w:rPr>
      </w:pPr>
      <w:r w:rsidRPr="009257E7">
        <w:rPr>
          <w:lang w:val="es-ES"/>
        </w:rPr>
        <w:t>Las identidades importan para el derecho y la injusticia</w:t>
      </w:r>
      <w:r w:rsidR="00062DD2" w:rsidRPr="009257E7">
        <w:rPr>
          <w:lang w:val="es-ES"/>
        </w:rPr>
        <w:t>,</w:t>
      </w:r>
      <w:r w:rsidRPr="009257E7">
        <w:rPr>
          <w:lang w:val="es-ES"/>
        </w:rPr>
        <w:t xml:space="preserve"> específicamente porque los sistemas dominantes las usan para canalizar</w:t>
      </w:r>
      <w:r w:rsidR="00062DD2" w:rsidRPr="009257E7">
        <w:rPr>
          <w:lang w:val="es-ES"/>
        </w:rPr>
        <w:t>, simultáneamente,</w:t>
      </w:r>
      <w:r w:rsidRPr="009257E7">
        <w:rPr>
          <w:lang w:val="es-ES"/>
        </w:rPr>
        <w:t xml:space="preserve"> tanto </w:t>
      </w:r>
      <w:r w:rsidR="00062DD2" w:rsidRPr="009257E7">
        <w:rPr>
          <w:lang w:val="es-ES"/>
        </w:rPr>
        <w:t xml:space="preserve">el </w:t>
      </w:r>
      <w:r w:rsidRPr="009257E7">
        <w:rPr>
          <w:lang w:val="es-ES"/>
        </w:rPr>
        <w:t>privilegio como</w:t>
      </w:r>
      <w:r w:rsidR="00062DD2" w:rsidRPr="009257E7">
        <w:rPr>
          <w:lang w:val="es-ES"/>
        </w:rPr>
        <w:t xml:space="preserve"> la</w:t>
      </w:r>
      <w:r w:rsidRPr="009257E7">
        <w:rPr>
          <w:lang w:val="es-ES"/>
        </w:rPr>
        <w:t xml:space="preserve"> subordinación hacia individuos y grupos. Los sistemas usan indebidamente las identidades sociales para crear y preservar beneficios colectivizados —privilegio</w:t>
      </w:r>
      <w:r w:rsidR="00062DD2" w:rsidRPr="009257E7">
        <w:rPr>
          <w:lang w:val="es-ES"/>
        </w:rPr>
        <w:t>s</w:t>
      </w:r>
      <w:r w:rsidRPr="009257E7">
        <w:rPr>
          <w:lang w:val="es-ES"/>
        </w:rPr>
        <w:t xml:space="preserve">— </w:t>
      </w:r>
      <w:r w:rsidR="00062DD2" w:rsidRPr="009257E7">
        <w:rPr>
          <w:lang w:val="es-ES"/>
        </w:rPr>
        <w:t>que se otorgan</w:t>
      </w:r>
      <w:r w:rsidRPr="009257E7">
        <w:rPr>
          <w:lang w:val="es-ES"/>
        </w:rPr>
        <w:t xml:space="preserve"> individualmente con base en identidades grupales. Al mismo tiempo, los sistemas abusan de las identidades sociales para crear y preservar cargas colectivizadas —subordinación— impuestas individualmente, también con base en identidades grupales. Esta elevación sistémica y simultánea de algunes y el empuje hacia abajo de otres crea</w:t>
      </w:r>
      <w:r w:rsidR="003D3709" w:rsidRPr="009257E7">
        <w:rPr>
          <w:lang w:val="es-ES"/>
        </w:rPr>
        <w:t>n</w:t>
      </w:r>
      <w:r w:rsidRPr="009257E7">
        <w:rPr>
          <w:lang w:val="es-ES"/>
        </w:rPr>
        <w:t xml:space="preserve"> las jerarquías del sistema de castas resultante. Con el tiempo, las oportunidades, </w:t>
      </w:r>
      <w:r w:rsidR="003D3709" w:rsidRPr="009257E7">
        <w:rPr>
          <w:lang w:val="es-ES"/>
        </w:rPr>
        <w:t xml:space="preserve">las </w:t>
      </w:r>
      <w:r w:rsidRPr="009257E7">
        <w:rPr>
          <w:lang w:val="es-ES"/>
        </w:rPr>
        <w:t xml:space="preserve">trayectorias y </w:t>
      </w:r>
      <w:r w:rsidR="003D3709" w:rsidRPr="009257E7">
        <w:rPr>
          <w:lang w:val="es-ES"/>
        </w:rPr>
        <w:t xml:space="preserve">los </w:t>
      </w:r>
      <w:r w:rsidRPr="009257E7">
        <w:rPr>
          <w:lang w:val="es-ES"/>
        </w:rPr>
        <w:t>destinos de personas “diferentes” son moldeados —tanto personal</w:t>
      </w:r>
      <w:r w:rsidR="003D3709" w:rsidRPr="009257E7">
        <w:rPr>
          <w:lang w:val="es-ES"/>
        </w:rPr>
        <w:t>mente</w:t>
      </w:r>
      <w:r w:rsidRPr="009257E7">
        <w:rPr>
          <w:lang w:val="es-ES"/>
        </w:rPr>
        <w:t xml:space="preserve"> como colectivamente— por el arraigo de esta inclinación constante de las balanzas sistémicas basada</w:t>
      </w:r>
      <w:r w:rsidR="003D3709" w:rsidRPr="009257E7">
        <w:rPr>
          <w:lang w:val="es-ES"/>
        </w:rPr>
        <w:t>s</w:t>
      </w:r>
      <w:r w:rsidRPr="009257E7">
        <w:rPr>
          <w:lang w:val="es-ES"/>
        </w:rPr>
        <w:t xml:space="preserve"> en identidades sociales.</w:t>
      </w:r>
    </w:p>
    <w:p w14:paraId="0F0B79CA" w14:textId="1064DACA" w:rsidR="00C82B90" w:rsidRPr="009257E7" w:rsidRDefault="00C82B90" w:rsidP="007E3813">
      <w:pPr>
        <w:pStyle w:val="NormalWeb"/>
        <w:ind w:firstLine="720"/>
        <w:rPr>
          <w:lang w:val="es-ES"/>
        </w:rPr>
      </w:pPr>
      <w:r w:rsidRPr="009257E7">
        <w:rPr>
          <w:lang w:val="es-ES"/>
        </w:rPr>
        <w:t>En términos generales, el privilegio sistémico se refiere a ventajas, recompensas u oportunidades no ganadas, reservadas para identidades favorecidas que se benefician del statu quo. La subordinación sistémica se refiere a cargas, exclusiones y degradaciones no merecidas impuestas a identidades desfavorecidas</w:t>
      </w:r>
      <w:r w:rsidR="004E4258" w:rsidRPr="009257E7">
        <w:rPr>
          <w:lang w:val="es-ES"/>
        </w:rPr>
        <w:t>,</w:t>
      </w:r>
      <w:r w:rsidRPr="009257E7">
        <w:rPr>
          <w:lang w:val="es-ES"/>
        </w:rPr>
        <w:t xml:space="preserve"> que cargan con el peso de la injusticia o</w:t>
      </w:r>
      <w:r w:rsidR="004E4258" w:rsidRPr="009257E7">
        <w:rPr>
          <w:lang w:val="es-ES"/>
        </w:rPr>
        <w:t xml:space="preserve"> de la</w:t>
      </w:r>
      <w:r w:rsidRPr="009257E7">
        <w:rPr>
          <w:lang w:val="es-ES"/>
        </w:rPr>
        <w:t xml:space="preserve"> violencia sistémica. El privilegio y la subordinación aparecen en formas tangibles e intangibles, como prestigio y riqueza para algunes, y devaluación y pobreza para otres. El privilegio y la subordinación —tanto simbólicos como materiales— están atados a identidades sociales grupales para servir a intereses dominantes o elitistas.</w:t>
      </w:r>
    </w:p>
    <w:p w14:paraId="464BF49A" w14:textId="29036B10" w:rsidR="00C82B90" w:rsidRPr="009257E7" w:rsidRDefault="00C82B90" w:rsidP="00B72811">
      <w:pPr>
        <w:pStyle w:val="NormalWeb"/>
        <w:ind w:firstLine="720"/>
        <w:rPr>
          <w:lang w:val="es-ES"/>
        </w:rPr>
      </w:pPr>
      <w:r w:rsidRPr="009257E7">
        <w:rPr>
          <w:lang w:val="es-ES"/>
        </w:rPr>
        <w:t xml:space="preserve">En consecuencia, examinar ambos lados de la moneda de la desigualdad —la subordinación y también el privilegio— es esencial para una comprensión funcional de cualquier sistema de castas. Para quienes poseen </w:t>
      </w:r>
      <w:r w:rsidR="00B72811" w:rsidRPr="009257E7">
        <w:rPr>
          <w:lang w:val="es-ES"/>
        </w:rPr>
        <w:t xml:space="preserve">un </w:t>
      </w:r>
      <w:r w:rsidRPr="009257E7">
        <w:rPr>
          <w:lang w:val="es-ES"/>
        </w:rPr>
        <w:t>privilegio sustancial, examinar</w:t>
      </w:r>
      <w:r w:rsidR="00B72811" w:rsidRPr="009257E7">
        <w:rPr>
          <w:lang w:val="es-ES"/>
        </w:rPr>
        <w:t>l</w:t>
      </w:r>
      <w:r w:rsidRPr="009257E7">
        <w:rPr>
          <w:lang w:val="es-ES"/>
        </w:rPr>
        <w:t>o suele ser más difícil que notar la subordinación, como “desempacar la mochila invisible” de beneficios no ganados</w:t>
      </w:r>
      <w:r w:rsidR="00CD65C3" w:rsidRPr="009257E7">
        <w:rPr>
          <w:rStyle w:val="FootnoteReference"/>
          <w:lang w:val="es-ES"/>
        </w:rPr>
        <w:footnoteReference w:id="146"/>
      </w:r>
      <w:r w:rsidRPr="009257E7">
        <w:rPr>
          <w:lang w:val="es-ES"/>
        </w:rPr>
        <w:t xml:space="preserve">. Barbara Flagg, académica feminista del derecho </w:t>
      </w:r>
      <w:r w:rsidR="00CD65C3" w:rsidRPr="009257E7">
        <w:rPr>
          <w:lang w:val="es-ES"/>
        </w:rPr>
        <w:t>(</w:t>
      </w:r>
      <w:r w:rsidRPr="009257E7">
        <w:rPr>
          <w:lang w:val="es-ES"/>
        </w:rPr>
        <w:t>quien es blanca</w:t>
      </w:r>
      <w:r w:rsidR="00CD65C3" w:rsidRPr="009257E7">
        <w:rPr>
          <w:lang w:val="es-ES"/>
        </w:rPr>
        <w:t>)</w:t>
      </w:r>
      <w:r w:rsidRPr="009257E7">
        <w:rPr>
          <w:lang w:val="es-ES"/>
        </w:rPr>
        <w:t>, llama a esta inconsciencia de la parte superior sobre el privilegio racial el fenómeno de la “transparencia”: la invisibilidad de la blanquitud —y sus privilegios estructurales— para muchas, o quizá la mayoría, de las personas blancas</w:t>
      </w:r>
      <w:r w:rsidR="00847274" w:rsidRPr="009257E7">
        <w:rPr>
          <w:rStyle w:val="FootnoteReference"/>
          <w:lang w:val="es-ES"/>
        </w:rPr>
        <w:footnoteReference w:id="147"/>
      </w:r>
      <w:r w:rsidRPr="009257E7">
        <w:rPr>
          <w:lang w:val="es-ES"/>
        </w:rPr>
        <w:t>. Como muestra Flagg, las élites y los sistemas no son “ciegos” a la raza, sino al privilegio blanco.</w:t>
      </w:r>
    </w:p>
    <w:p w14:paraId="6AF396F4" w14:textId="77777777" w:rsidR="00C82B90" w:rsidRPr="009257E7" w:rsidRDefault="00C82B90" w:rsidP="00847274">
      <w:pPr>
        <w:pStyle w:val="NormalWeb"/>
        <w:ind w:firstLine="720"/>
        <w:rPr>
          <w:lang w:val="es-ES"/>
        </w:rPr>
      </w:pPr>
      <w:r w:rsidRPr="009257E7">
        <w:rPr>
          <w:lang w:val="es-ES"/>
        </w:rPr>
        <w:lastRenderedPageBreak/>
        <w:t xml:space="preserve">Al desarrollar esta idea, Peggy McIntosh, académica y activista en </w:t>
      </w:r>
      <w:proofErr w:type="spellStart"/>
      <w:r w:rsidRPr="009257E7">
        <w:rPr>
          <w:lang w:val="es-ES"/>
        </w:rPr>
        <w:t>Women’s</w:t>
      </w:r>
      <w:proofErr w:type="spellEnd"/>
      <w:r w:rsidRPr="009257E7">
        <w:rPr>
          <w:lang w:val="es-ES"/>
        </w:rPr>
        <w:t xml:space="preserve"> </w:t>
      </w:r>
      <w:proofErr w:type="spellStart"/>
      <w:r w:rsidRPr="009257E7">
        <w:rPr>
          <w:lang w:val="es-ES"/>
        </w:rPr>
        <w:t>Studies</w:t>
      </w:r>
      <w:proofErr w:type="spellEnd"/>
      <w:r w:rsidRPr="009257E7">
        <w:rPr>
          <w:lang w:val="es-ES"/>
        </w:rPr>
        <w:t>, examinó de manera similar el privilegio y la subordinación basados en la identidad, tanto en relación con la raza como con el género. Al describir cómo a los individuos de grupos privilegiados se les enseña a reconocer la subordinación de otres mientras niegan su propio privilegio, así como la relación simbiótica entre ambos, McIntosh explica:</w:t>
      </w:r>
    </w:p>
    <w:p w14:paraId="1DF2F4C5" w14:textId="71361528" w:rsidR="00C82B90" w:rsidRPr="009257E7" w:rsidRDefault="00C82B90" w:rsidP="00847274">
      <w:pPr>
        <w:pStyle w:val="NormalWeb"/>
        <w:ind w:left="720"/>
        <w:rPr>
          <w:lang w:val="es-ES"/>
        </w:rPr>
      </w:pPr>
      <w:r w:rsidRPr="009257E7">
        <w:rPr>
          <w:lang w:val="es-ES"/>
        </w:rPr>
        <w:t xml:space="preserve">A través del trabajo para </w:t>
      </w:r>
      <w:r w:rsidR="00847274" w:rsidRPr="009257E7">
        <w:rPr>
          <w:lang w:val="es-ES"/>
        </w:rPr>
        <w:t>integr</w:t>
      </w:r>
      <w:r w:rsidRPr="009257E7">
        <w:rPr>
          <w:lang w:val="es-ES"/>
        </w:rPr>
        <w:t xml:space="preserve">ar materiales de </w:t>
      </w:r>
      <w:proofErr w:type="spellStart"/>
      <w:r w:rsidRPr="009257E7">
        <w:rPr>
          <w:lang w:val="es-ES"/>
        </w:rPr>
        <w:t>Women’s</w:t>
      </w:r>
      <w:proofErr w:type="spellEnd"/>
      <w:r w:rsidRPr="009257E7">
        <w:rPr>
          <w:lang w:val="es-ES"/>
        </w:rPr>
        <w:t xml:space="preserve"> </w:t>
      </w:r>
      <w:proofErr w:type="spellStart"/>
      <w:r w:rsidRPr="009257E7">
        <w:rPr>
          <w:lang w:val="es-ES"/>
        </w:rPr>
        <w:t>Studies</w:t>
      </w:r>
      <w:proofErr w:type="spellEnd"/>
      <w:r w:rsidRPr="009257E7">
        <w:rPr>
          <w:lang w:val="es-ES"/>
        </w:rPr>
        <w:t xml:space="preserve"> </w:t>
      </w:r>
      <w:r w:rsidR="00847274" w:rsidRPr="009257E7">
        <w:rPr>
          <w:lang w:val="es-ES"/>
        </w:rPr>
        <w:t>en e</w:t>
      </w:r>
      <w:r w:rsidRPr="009257E7">
        <w:rPr>
          <w:lang w:val="es-ES"/>
        </w:rPr>
        <w:t xml:space="preserve">l resto del currículo, he notado con frecuencia la falta de disposición de los hombres a admitir que están </w:t>
      </w:r>
      <w:proofErr w:type="spellStart"/>
      <w:r w:rsidRPr="009257E7">
        <w:rPr>
          <w:lang w:val="es-ES"/>
        </w:rPr>
        <w:t>sobreprivilegiados</w:t>
      </w:r>
      <w:proofErr w:type="spellEnd"/>
      <w:r w:rsidRPr="009257E7">
        <w:rPr>
          <w:lang w:val="es-ES"/>
        </w:rPr>
        <w:t xml:space="preserve">, aunque puedan admitir que las mujeres están en desventaja. Pueden decir que trabajarán para mejorar el estatus de las mujeres en la sociedad, </w:t>
      </w:r>
      <w:r w:rsidR="00847274" w:rsidRPr="009257E7">
        <w:rPr>
          <w:lang w:val="es-ES"/>
        </w:rPr>
        <w:t xml:space="preserve">en </w:t>
      </w:r>
      <w:r w:rsidRPr="009257E7">
        <w:rPr>
          <w:lang w:val="es-ES"/>
        </w:rPr>
        <w:t>la universidad o</w:t>
      </w:r>
      <w:r w:rsidR="00847274" w:rsidRPr="009257E7">
        <w:rPr>
          <w:lang w:val="es-ES"/>
        </w:rPr>
        <w:t xml:space="preserve"> en</w:t>
      </w:r>
      <w:r w:rsidRPr="009257E7">
        <w:rPr>
          <w:lang w:val="es-ES"/>
        </w:rPr>
        <w:t xml:space="preserve"> el currículo, pero no pueden </w:t>
      </w:r>
      <w:r w:rsidR="00847274" w:rsidRPr="009257E7">
        <w:rPr>
          <w:lang w:val="es-ES"/>
        </w:rPr>
        <w:t>ni</w:t>
      </w:r>
      <w:r w:rsidRPr="009257E7">
        <w:rPr>
          <w:lang w:val="es-ES"/>
        </w:rPr>
        <w:t xml:space="preserve"> quieren apoyar la idea de reducir el de los hombres. [...]</w:t>
      </w:r>
    </w:p>
    <w:p w14:paraId="0CA4F339" w14:textId="5F9D1210" w:rsidR="00C82B90" w:rsidRPr="009257E7" w:rsidRDefault="00C82B90" w:rsidP="004908F0">
      <w:pPr>
        <w:pStyle w:val="NormalWeb"/>
        <w:ind w:left="720"/>
        <w:rPr>
          <w:lang w:val="es-ES"/>
        </w:rPr>
      </w:pPr>
      <w:r w:rsidRPr="009257E7">
        <w:rPr>
          <w:lang w:val="es-ES"/>
        </w:rPr>
        <w:t>[Me di cuenta de que] probablemente existía un fenómeno de privilegio blanco que era negado y protegido de manera similar. Como persona blanca, me di cuenta de que se me había enseñado sobre el racismo como algo que pone a otr</w:t>
      </w:r>
      <w:r w:rsidR="004908F0" w:rsidRPr="009257E7">
        <w:rPr>
          <w:lang w:val="es-ES"/>
        </w:rPr>
        <w:t>o</w:t>
      </w:r>
      <w:r w:rsidRPr="009257E7">
        <w:rPr>
          <w:lang w:val="es-ES"/>
        </w:rPr>
        <w:t xml:space="preserve">s en desventaja, pero </w:t>
      </w:r>
      <w:r w:rsidR="004908F0" w:rsidRPr="009257E7">
        <w:rPr>
          <w:lang w:val="es-ES"/>
        </w:rPr>
        <w:t xml:space="preserve">no </w:t>
      </w:r>
      <w:r w:rsidRPr="009257E7">
        <w:rPr>
          <w:lang w:val="es-ES"/>
        </w:rPr>
        <w:t>se me había enseñado a no ver uno de sus aspectos correlativos: el privilegio blanco, que me coloca en ventaja.</w:t>
      </w:r>
    </w:p>
    <w:p w14:paraId="2F139A64" w14:textId="729A4464" w:rsidR="00C82B90" w:rsidRPr="009257E7" w:rsidRDefault="00C82B90" w:rsidP="00E20FC8">
      <w:pPr>
        <w:pStyle w:val="NormalWeb"/>
        <w:ind w:left="720"/>
        <w:rPr>
          <w:lang w:val="es-ES"/>
        </w:rPr>
      </w:pPr>
      <w:r w:rsidRPr="009257E7">
        <w:rPr>
          <w:lang w:val="es-ES"/>
        </w:rPr>
        <w:t>[...] He llegado a ver el privilegio blanco como un paquete invisible de activos no ganados con los que puedo contar cada día, pero sobre los cuales se “suponía” que debía permanecer inconsciente. El privilegio blanco es como una mochila invisible y sin peso llena de provisiones especiales, mapas, pasaportes, libros de códigos, visas, ropa, herramientas y cheques en blanco</w:t>
      </w:r>
      <w:r w:rsidR="00E07CD9" w:rsidRPr="009257E7">
        <w:rPr>
          <w:rStyle w:val="FootnoteReference"/>
          <w:lang w:val="es-ES"/>
        </w:rPr>
        <w:footnoteReference w:id="148"/>
      </w:r>
      <w:r w:rsidRPr="009257E7">
        <w:rPr>
          <w:lang w:val="es-ES"/>
        </w:rPr>
        <w:t>.</w:t>
      </w:r>
    </w:p>
    <w:p w14:paraId="1E16A926" w14:textId="73489C01" w:rsidR="00C82B90" w:rsidRPr="009257E7" w:rsidRDefault="00C82B90" w:rsidP="00BB79A6">
      <w:pPr>
        <w:pStyle w:val="NormalWeb"/>
        <w:ind w:firstLine="720"/>
        <w:rPr>
          <w:lang w:val="es-ES"/>
        </w:rPr>
      </w:pPr>
      <w:r w:rsidRPr="009257E7">
        <w:rPr>
          <w:lang w:val="es-ES"/>
        </w:rPr>
        <w:t xml:space="preserve">Algunas personas y grupos claramente se benefician del mantenimiento de jerarquías basadas en la identidad, y otres claramente sufren por ello. Sin embargo, todos los individuos comparten la responsabilidad de contrarrestarlas, ya sea desde posiciones de privilegio relativo o de subordinación relativa. De hecho, para la mayoría de los individuos —aunque no para todes—, las combinaciones relativas de ambos pueden depender </w:t>
      </w:r>
      <w:r w:rsidR="00BB79A6" w:rsidRPr="009257E7">
        <w:rPr>
          <w:lang w:val="es-ES"/>
        </w:rPr>
        <w:t>en gran medida</w:t>
      </w:r>
      <w:r w:rsidRPr="009257E7">
        <w:rPr>
          <w:lang w:val="es-ES"/>
        </w:rPr>
        <w:t xml:space="preserve"> de la situación.</w:t>
      </w:r>
    </w:p>
    <w:p w14:paraId="6663E0D5" w14:textId="0093A119" w:rsidR="00C82B90" w:rsidRPr="009257E7" w:rsidRDefault="00C82B90" w:rsidP="00E12FF9">
      <w:pPr>
        <w:pStyle w:val="NormalWeb"/>
        <w:rPr>
          <w:lang w:val="es-ES"/>
        </w:rPr>
      </w:pPr>
      <w:r w:rsidRPr="009257E7">
        <w:rPr>
          <w:lang w:val="es-ES"/>
        </w:rPr>
        <w:t xml:space="preserve">Ampliar la conciencia sobre el privilegio y la subordinación —en situaciones relativas y cambiantes— puede </w:t>
      </w:r>
      <w:r w:rsidR="00E12FF9" w:rsidRPr="009257E7">
        <w:rPr>
          <w:lang w:val="es-ES"/>
        </w:rPr>
        <w:t>resulta</w:t>
      </w:r>
      <w:r w:rsidRPr="009257E7">
        <w:rPr>
          <w:lang w:val="es-ES"/>
        </w:rPr>
        <w:t xml:space="preserve">r difícil en </w:t>
      </w:r>
      <w:r w:rsidR="00E12FF9" w:rsidRPr="009257E7">
        <w:rPr>
          <w:lang w:val="es-ES"/>
        </w:rPr>
        <w:t>l</w:t>
      </w:r>
      <w:r w:rsidRPr="009257E7">
        <w:rPr>
          <w:lang w:val="es-ES"/>
        </w:rPr>
        <w:t xml:space="preserve">os </w:t>
      </w:r>
      <w:r w:rsidR="00E12FF9" w:rsidRPr="009257E7">
        <w:rPr>
          <w:lang w:val="es-ES"/>
        </w:rPr>
        <w:t>planos emocional</w:t>
      </w:r>
      <w:r w:rsidR="00E12FF9" w:rsidRPr="009257E7">
        <w:rPr>
          <w:lang w:val="es-ES"/>
        </w:rPr>
        <w:tab/>
      </w:r>
      <w:r w:rsidRPr="009257E7">
        <w:rPr>
          <w:lang w:val="es-ES"/>
        </w:rPr>
        <w:t xml:space="preserve"> e intelectual. La periodista Sian Ferguson reflexiona sobre el proyecto vitalicio de comprender el privilegio y la subordinación:</w:t>
      </w:r>
    </w:p>
    <w:p w14:paraId="20B536E7" w14:textId="77777777" w:rsidR="00C82B90" w:rsidRPr="009257E7" w:rsidRDefault="00C82B90" w:rsidP="00E12FF9">
      <w:pPr>
        <w:pStyle w:val="NormalWeb"/>
        <w:ind w:left="720"/>
        <w:rPr>
          <w:lang w:val="es-ES"/>
        </w:rPr>
      </w:pPr>
      <w:r w:rsidRPr="009257E7">
        <w:rPr>
          <w:lang w:val="es-ES"/>
        </w:rPr>
        <w:t>Piense en el privilegio no como una lección única, sino como un campo de estudio. Para comprender verdaderamente el privilegio, debemos seguir leyendo, aprendiendo y pensando críticamente. [...]</w:t>
      </w:r>
    </w:p>
    <w:p w14:paraId="6308087E" w14:textId="1FD77CBA" w:rsidR="00C82B90" w:rsidRPr="009257E7" w:rsidRDefault="00C82B90" w:rsidP="00A52724">
      <w:pPr>
        <w:pStyle w:val="NormalWeb"/>
        <w:ind w:left="720"/>
        <w:rPr>
          <w:lang w:val="es-ES"/>
        </w:rPr>
      </w:pPr>
      <w:r w:rsidRPr="009257E7">
        <w:rPr>
          <w:lang w:val="es-ES"/>
        </w:rPr>
        <w:t xml:space="preserve">La culpa es un sentimiento poco útil: nos hace sentir vergüenza, lo </w:t>
      </w:r>
      <w:r w:rsidR="00A52724" w:rsidRPr="009257E7">
        <w:rPr>
          <w:lang w:val="es-ES"/>
        </w:rPr>
        <w:t>que</w:t>
      </w:r>
      <w:r w:rsidRPr="009257E7">
        <w:rPr>
          <w:lang w:val="es-ES"/>
        </w:rPr>
        <w:t xml:space="preserve"> nos impide hablar y generar cambio. [...]</w:t>
      </w:r>
    </w:p>
    <w:p w14:paraId="463ABC0A" w14:textId="23013B40" w:rsidR="00C82B90" w:rsidRPr="009257E7" w:rsidRDefault="00C82B90" w:rsidP="00A52724">
      <w:pPr>
        <w:pStyle w:val="NormalWeb"/>
        <w:ind w:left="720"/>
        <w:rPr>
          <w:lang w:val="es-ES"/>
        </w:rPr>
      </w:pPr>
      <w:r w:rsidRPr="009257E7">
        <w:rPr>
          <w:lang w:val="es-ES"/>
        </w:rPr>
        <w:lastRenderedPageBreak/>
        <w:t xml:space="preserve">No necesita sentirse culpable por tener privilegio, porque tener privilegio no es su culpa. No es algo que usted </w:t>
      </w:r>
      <w:r w:rsidR="00A52724" w:rsidRPr="009257E7">
        <w:rPr>
          <w:lang w:val="es-ES"/>
        </w:rPr>
        <w:t>haya elegido</w:t>
      </w:r>
      <w:r w:rsidRPr="009257E7">
        <w:rPr>
          <w:lang w:val="es-ES"/>
        </w:rPr>
        <w:t>. Pero lo que sí puede elegir es resistir su privilegio y usarlo de manera que desafíe los sistemas opresivos en lugar de perpetuarlos. [...]</w:t>
      </w:r>
    </w:p>
    <w:p w14:paraId="564CA58C" w14:textId="6DB7D13F" w:rsidR="00C82B90" w:rsidRPr="009257E7" w:rsidRDefault="00C82B90" w:rsidP="00A52724">
      <w:pPr>
        <w:pStyle w:val="NormalWeb"/>
        <w:ind w:left="720"/>
        <w:rPr>
          <w:lang w:val="es-ES"/>
        </w:rPr>
      </w:pPr>
      <w:r w:rsidRPr="009257E7">
        <w:rPr>
          <w:lang w:val="es-ES"/>
        </w:rPr>
        <w:t xml:space="preserve">Pero comprender el privilegio no </w:t>
      </w:r>
      <w:r w:rsidR="00A52724" w:rsidRPr="009257E7">
        <w:rPr>
          <w:lang w:val="es-ES"/>
        </w:rPr>
        <w:t>basta</w:t>
      </w:r>
      <w:r w:rsidRPr="009257E7">
        <w:rPr>
          <w:lang w:val="es-ES"/>
        </w:rPr>
        <w:t xml:space="preserve">. Necesitamos actuar. Escuche a las personas que experimentan opresión. Aprenda cómo puede trabajar en solidaridad con </w:t>
      </w:r>
      <w:r w:rsidR="00A52724" w:rsidRPr="009257E7">
        <w:rPr>
          <w:lang w:val="es-ES"/>
        </w:rPr>
        <w:t xml:space="preserve">los </w:t>
      </w:r>
      <w:r w:rsidRPr="009257E7">
        <w:rPr>
          <w:lang w:val="es-ES"/>
        </w:rPr>
        <w:t>grupos oprimidos.</w:t>
      </w:r>
      <w:r w:rsidR="00116DCF" w:rsidRPr="009257E7">
        <w:rPr>
          <w:rStyle w:val="FootnoteReference"/>
          <w:lang w:val="es-ES"/>
        </w:rPr>
        <w:footnoteReference w:id="149"/>
      </w:r>
    </w:p>
    <w:p w14:paraId="5577C480" w14:textId="540B3F25" w:rsidR="00C82B90" w:rsidRPr="009257E7" w:rsidRDefault="00C82B90" w:rsidP="00116DCF">
      <w:pPr>
        <w:pStyle w:val="NormalWeb"/>
        <w:ind w:firstLine="720"/>
        <w:rPr>
          <w:lang w:val="es-ES"/>
        </w:rPr>
      </w:pPr>
      <w:r w:rsidRPr="009257E7">
        <w:rPr>
          <w:lang w:val="es-ES"/>
        </w:rPr>
        <w:t xml:space="preserve">Las distribuciones desiguales de privilegio y subordinación están tan incrustadas en la vida cotidiana que la injusticia puede haberse normalizado. Las rutinas arraigadas de injusticia institucionalizada no siempre son fáciles de identificar. Sin embargo, los individuos se reconocen a sí mismos y a otres como integrantes de grupos sociales, cada uno con un lugar en el sistema de castas. Como señala </w:t>
      </w:r>
      <w:r w:rsidRPr="009257E7">
        <w:rPr>
          <w:rStyle w:val="Emphasis"/>
          <w:lang w:val="es-ES"/>
        </w:rPr>
        <w:t xml:space="preserve">The Blackwell </w:t>
      </w:r>
      <w:proofErr w:type="spellStart"/>
      <w:r w:rsidRPr="009257E7">
        <w:rPr>
          <w:rStyle w:val="Emphasis"/>
          <w:lang w:val="es-ES"/>
        </w:rPr>
        <w:t>Dictionary</w:t>
      </w:r>
      <w:proofErr w:type="spellEnd"/>
      <w:r w:rsidRPr="009257E7">
        <w:rPr>
          <w:rStyle w:val="Emphasis"/>
          <w:lang w:val="es-ES"/>
        </w:rPr>
        <w:t xml:space="preserve"> </w:t>
      </w:r>
      <w:proofErr w:type="spellStart"/>
      <w:r w:rsidRPr="009257E7">
        <w:rPr>
          <w:rStyle w:val="Emphasis"/>
          <w:lang w:val="es-ES"/>
        </w:rPr>
        <w:t>of</w:t>
      </w:r>
      <w:proofErr w:type="spellEnd"/>
      <w:r w:rsidRPr="009257E7">
        <w:rPr>
          <w:rStyle w:val="Emphasis"/>
          <w:lang w:val="es-ES"/>
        </w:rPr>
        <w:t xml:space="preserve"> </w:t>
      </w:r>
      <w:proofErr w:type="spellStart"/>
      <w:r w:rsidRPr="009257E7">
        <w:rPr>
          <w:rStyle w:val="Emphasis"/>
          <w:lang w:val="es-ES"/>
        </w:rPr>
        <w:t>Sociology</w:t>
      </w:r>
      <w:proofErr w:type="spellEnd"/>
      <w:r w:rsidRPr="009257E7">
        <w:rPr>
          <w:lang w:val="es-ES"/>
        </w:rPr>
        <w:t>:</w:t>
      </w:r>
      <w:r w:rsidR="00B93EB8" w:rsidRPr="009257E7">
        <w:rPr>
          <w:lang w:val="es-ES"/>
        </w:rPr>
        <w:t xml:space="preserve"> </w:t>
      </w:r>
    </w:p>
    <w:p w14:paraId="6EBA37C4" w14:textId="0ECEDAEE" w:rsidR="00C82B90" w:rsidRPr="009257E7" w:rsidRDefault="00C82B90" w:rsidP="00946CBC">
      <w:pPr>
        <w:pStyle w:val="NormalWeb"/>
        <w:ind w:left="720"/>
        <w:rPr>
          <w:lang w:val="es-ES"/>
        </w:rPr>
      </w:pPr>
      <w:r w:rsidRPr="009257E7">
        <w:rPr>
          <w:lang w:val="es-ES"/>
        </w:rPr>
        <w:t>Un hombre blanco puede no participar activamente en conductas opresivas dirigidas contra personas negras o mujeres, por ejemplo, pero aun así se beneficia de la opresión general de personas negras y mujeres simplemente porque es un hombre blanco. En este sentido, tod</w:t>
      </w:r>
      <w:r w:rsidR="00946CBC" w:rsidRPr="009257E7">
        <w:rPr>
          <w:lang w:val="es-ES"/>
        </w:rPr>
        <w:t>o</w:t>
      </w:r>
      <w:r w:rsidRPr="009257E7">
        <w:rPr>
          <w:lang w:val="es-ES"/>
        </w:rPr>
        <w:t>s l</w:t>
      </w:r>
      <w:r w:rsidR="00946CBC" w:rsidRPr="009257E7">
        <w:rPr>
          <w:lang w:val="es-ES"/>
        </w:rPr>
        <w:t>o</w:t>
      </w:r>
      <w:r w:rsidRPr="009257E7">
        <w:rPr>
          <w:lang w:val="es-ES"/>
        </w:rPr>
        <w:t xml:space="preserve">s integrantes de </w:t>
      </w:r>
      <w:r w:rsidR="00946CBC" w:rsidRPr="009257E7">
        <w:rPr>
          <w:lang w:val="es-ES"/>
        </w:rPr>
        <w:t xml:space="preserve">las </w:t>
      </w:r>
      <w:r w:rsidR="00946CBC" w:rsidRPr="009257E7">
        <w:rPr>
          <w:lang w:val="es-ES"/>
        </w:rPr>
        <w:tab/>
      </w:r>
      <w:r w:rsidRPr="009257E7">
        <w:rPr>
          <w:lang w:val="es-ES"/>
        </w:rPr>
        <w:t>categorías dominantes y subordinadas participan en la opresión social, independientemente de sus actitudes o conductas individuales.</w:t>
      </w:r>
    </w:p>
    <w:p w14:paraId="78FA4F2A" w14:textId="623AB9F1" w:rsidR="00C82B90" w:rsidRPr="009257E7" w:rsidRDefault="00C82B90" w:rsidP="00946CBC">
      <w:pPr>
        <w:pStyle w:val="NormalWeb"/>
        <w:ind w:left="720"/>
        <w:rPr>
          <w:lang w:val="es-ES"/>
        </w:rPr>
      </w:pPr>
      <w:r w:rsidRPr="009257E7">
        <w:rPr>
          <w:lang w:val="es-ES"/>
        </w:rPr>
        <w:t>La opresión social se institucionaliza cuando su imposición está tan incrustada en el funcionamiento cotidiano de la vida social que no se identifica fácilmente como opresión y no requiere prejuicio consciente ni actos abiertos de discriminación.</w:t>
      </w:r>
      <w:r w:rsidR="009218CA" w:rsidRPr="009257E7">
        <w:rPr>
          <w:rStyle w:val="FootnoteReference"/>
          <w:lang w:val="es-ES"/>
        </w:rPr>
        <w:footnoteReference w:id="150"/>
      </w:r>
    </w:p>
    <w:p w14:paraId="63CC2B71" w14:textId="4BBC057D" w:rsidR="00B440B3" w:rsidRPr="009257E7" w:rsidRDefault="00C82B90" w:rsidP="00B440B3">
      <w:pPr>
        <w:pStyle w:val="NormalWeb"/>
        <w:ind w:firstLine="720"/>
        <w:rPr>
          <w:b/>
          <w:bCs/>
          <w:lang w:val="es-ES"/>
        </w:rPr>
      </w:pPr>
      <w:r w:rsidRPr="009257E7">
        <w:rPr>
          <w:lang w:val="es-ES"/>
        </w:rPr>
        <w:t>Les abogades sistémiques “</w:t>
      </w:r>
      <w:r w:rsidR="00FC4F9D" w:rsidRPr="009257E7">
        <w:rPr>
          <w:lang w:val="es-ES"/>
        </w:rPr>
        <w:t>cartografían</w:t>
      </w:r>
      <w:r w:rsidRPr="009257E7">
        <w:rPr>
          <w:lang w:val="es-ES"/>
        </w:rPr>
        <w:t xml:space="preserve">” beneficios y cargas no ganados de identidades “diferentes” en términos simbólicos y materiales. Comprenden que las identidades canalizan tanto </w:t>
      </w:r>
      <w:r w:rsidR="00FC4F9D" w:rsidRPr="009257E7">
        <w:rPr>
          <w:lang w:val="es-ES"/>
        </w:rPr>
        <w:t xml:space="preserve">el </w:t>
      </w:r>
      <w:r w:rsidRPr="009257E7">
        <w:rPr>
          <w:lang w:val="es-ES"/>
        </w:rPr>
        <w:t>privilegio como</w:t>
      </w:r>
      <w:r w:rsidR="00FC4F9D" w:rsidRPr="009257E7">
        <w:rPr>
          <w:lang w:val="es-ES"/>
        </w:rPr>
        <w:t xml:space="preserve"> la</w:t>
      </w:r>
      <w:r w:rsidRPr="009257E7">
        <w:rPr>
          <w:lang w:val="es-ES"/>
        </w:rPr>
        <w:t xml:space="preserve"> subordinación y organizan el sentido resultante de intereses grupales colectivizados </w:t>
      </w:r>
      <w:r w:rsidR="00FC4F9D" w:rsidRPr="009257E7">
        <w:rPr>
          <w:lang w:val="es-ES"/>
        </w:rPr>
        <w:t>a</w:t>
      </w:r>
      <w:r w:rsidRPr="009257E7">
        <w:rPr>
          <w:lang w:val="es-ES"/>
        </w:rPr>
        <w:t xml:space="preserve"> </w:t>
      </w:r>
      <w:r w:rsidR="00FC4F9D" w:rsidRPr="009257E7">
        <w:rPr>
          <w:lang w:val="es-ES"/>
        </w:rPr>
        <w:t>partir</w:t>
      </w:r>
      <w:r w:rsidRPr="009257E7">
        <w:rPr>
          <w:lang w:val="es-ES"/>
        </w:rPr>
        <w:t xml:space="preserve"> </w:t>
      </w:r>
      <w:r w:rsidR="00FC4F9D" w:rsidRPr="009257E7">
        <w:rPr>
          <w:lang w:val="es-ES"/>
        </w:rPr>
        <w:t>de</w:t>
      </w:r>
      <w:r w:rsidRPr="009257E7">
        <w:rPr>
          <w:lang w:val="es-ES"/>
        </w:rPr>
        <w:t xml:space="preserve"> </w:t>
      </w:r>
      <w:r w:rsidR="00FC4F9D" w:rsidRPr="009257E7">
        <w:rPr>
          <w:lang w:val="es-ES"/>
        </w:rPr>
        <w:t>l</w:t>
      </w:r>
      <w:r w:rsidRPr="009257E7">
        <w:rPr>
          <w:lang w:val="es-ES"/>
        </w:rPr>
        <w:t xml:space="preserve">a vinculación entre identidades y castas. Para este fin, las identidades son construcciones sociales: invenciones de culturas particulares. Por lo tanto, las identidades sociales no </w:t>
      </w:r>
      <w:r w:rsidR="00FC4F9D" w:rsidRPr="009257E7">
        <w:rPr>
          <w:lang w:val="es-ES"/>
        </w:rPr>
        <w:t>se refieren a</w:t>
      </w:r>
      <w:r w:rsidRPr="009257E7">
        <w:rPr>
          <w:lang w:val="es-ES"/>
        </w:rPr>
        <w:t xml:space="preserve"> rasgos naturales o universales independientes del contexto. El significado de “mujer” y “hombre”, o de “negro” y “blanco”, puede cambiar según la circunstancia, el tiempo y la cultura. Las identidades sociales son complejas y contextuales, no fijas ni esenciales, y se combinan o </w:t>
      </w:r>
      <w:r w:rsidR="009512B0" w:rsidRPr="009257E7">
        <w:rPr>
          <w:lang w:val="es-ES"/>
        </w:rPr>
        <w:t>se entrecruz</w:t>
      </w:r>
      <w:r w:rsidRPr="009257E7">
        <w:rPr>
          <w:lang w:val="es-ES"/>
        </w:rPr>
        <w:t>an en m</w:t>
      </w:r>
      <w:r w:rsidR="009512B0" w:rsidRPr="009257E7">
        <w:rPr>
          <w:lang w:val="es-ES"/>
        </w:rPr>
        <w:t>últiple</w:t>
      </w:r>
      <w:r w:rsidRPr="009257E7">
        <w:rPr>
          <w:lang w:val="es-ES"/>
        </w:rPr>
        <w:t xml:space="preserve">s variaciones. Estas complejidades crean cúspides y grupos </w:t>
      </w:r>
      <w:r w:rsidR="009512B0" w:rsidRPr="009257E7">
        <w:rPr>
          <w:lang w:val="es-ES"/>
        </w:rPr>
        <w:t xml:space="preserve">cambiantes </w:t>
      </w:r>
      <w:r w:rsidRPr="009257E7">
        <w:rPr>
          <w:lang w:val="es-ES"/>
        </w:rPr>
        <w:t>desde abajo —ajustes en la asignación de privilegio</w:t>
      </w:r>
      <w:r w:rsidR="009512B0" w:rsidRPr="009257E7">
        <w:rPr>
          <w:lang w:val="es-ES"/>
        </w:rPr>
        <w:t>s</w:t>
      </w:r>
      <w:r w:rsidRPr="009257E7">
        <w:rPr>
          <w:lang w:val="es-ES"/>
        </w:rPr>
        <w:t xml:space="preserve"> y </w:t>
      </w:r>
      <w:r w:rsidR="009512B0" w:rsidRPr="009257E7">
        <w:rPr>
          <w:lang w:val="es-ES"/>
        </w:rPr>
        <w:t xml:space="preserve">de </w:t>
      </w:r>
      <w:r w:rsidRPr="009257E7">
        <w:rPr>
          <w:lang w:val="es-ES"/>
        </w:rPr>
        <w:t>subordinación— que requieren información, comprensión y análisis contextuales.</w:t>
      </w:r>
      <w:r w:rsidR="00B440B3" w:rsidRPr="009257E7">
        <w:rPr>
          <w:lang w:val="es-ES"/>
        </w:rPr>
        <w:br/>
      </w:r>
      <w:r w:rsidR="008F5B70" w:rsidRPr="009257E7">
        <w:rPr>
          <w:b/>
          <w:bCs/>
          <w:lang w:val="es-ES"/>
        </w:rPr>
        <w:br/>
        <w:t xml:space="preserve">4.2 Las identidades sociales </w:t>
      </w:r>
      <w:r w:rsidR="00704C6C" w:rsidRPr="009257E7">
        <w:rPr>
          <w:b/>
          <w:bCs/>
          <w:lang w:val="es-ES"/>
        </w:rPr>
        <w:t>(</w:t>
      </w:r>
      <w:r w:rsidR="008F5B70" w:rsidRPr="009257E7">
        <w:rPr>
          <w:b/>
          <w:bCs/>
          <w:lang w:val="es-ES"/>
        </w:rPr>
        <w:t>todavía</w:t>
      </w:r>
      <w:r w:rsidR="00704C6C" w:rsidRPr="009257E7">
        <w:rPr>
          <w:b/>
          <w:bCs/>
          <w:lang w:val="es-ES"/>
        </w:rPr>
        <w:t>)</w:t>
      </w:r>
      <w:r w:rsidR="008F5B70" w:rsidRPr="009257E7">
        <w:rPr>
          <w:b/>
          <w:bCs/>
          <w:lang w:val="es-ES"/>
        </w:rPr>
        <w:t xml:space="preserve"> importan en la toma de decisiones jurídicas</w:t>
      </w:r>
    </w:p>
    <w:p w14:paraId="290541CB" w14:textId="67B77E29" w:rsidR="00B440B3" w:rsidRPr="009257E7" w:rsidRDefault="005165CE" w:rsidP="00704C6C">
      <w:pPr>
        <w:pStyle w:val="NormalWeb"/>
        <w:ind w:firstLine="720"/>
        <w:rPr>
          <w:lang w:val="es-ES"/>
        </w:rPr>
      </w:pPr>
      <w:r w:rsidRPr="009257E7">
        <w:rPr>
          <w:lang w:val="es-ES"/>
        </w:rPr>
        <w:t>La historia crítica demuestra que las identidades sociales y las ideologías han sido importantes</w:t>
      </w:r>
      <w:r w:rsidR="005175C4" w:rsidRPr="009257E7">
        <w:rPr>
          <w:lang w:val="es-ES"/>
        </w:rPr>
        <w:t>,</w:t>
      </w:r>
      <w:r w:rsidRPr="009257E7">
        <w:rPr>
          <w:lang w:val="es-ES"/>
        </w:rPr>
        <w:t xml:space="preserve"> para el derecho</w:t>
      </w:r>
      <w:r w:rsidR="005175C4" w:rsidRPr="009257E7">
        <w:rPr>
          <w:lang w:val="es-ES"/>
        </w:rPr>
        <w:t>,</w:t>
      </w:r>
      <w:r w:rsidRPr="009257E7">
        <w:rPr>
          <w:lang w:val="es-ES"/>
        </w:rPr>
        <w:t xml:space="preserve"> como sistema desde sus inicios. </w:t>
      </w:r>
      <w:r w:rsidR="00B440B3" w:rsidRPr="009257E7">
        <w:rPr>
          <w:lang w:val="es-ES"/>
        </w:rPr>
        <w:t xml:space="preserve">Aunque la supremacía blanca puede servir como ejemplo adecuado, los grupos identitarios y las ideologías supremacistas </w:t>
      </w:r>
      <w:r w:rsidR="00B440B3" w:rsidRPr="009257E7">
        <w:rPr>
          <w:lang w:val="es-ES"/>
        </w:rPr>
        <w:lastRenderedPageBreak/>
        <w:t xml:space="preserve">difieren o </w:t>
      </w:r>
      <w:r w:rsidR="005437BC" w:rsidRPr="009257E7">
        <w:rPr>
          <w:lang w:val="es-ES"/>
        </w:rPr>
        <w:t>evolucion</w:t>
      </w:r>
      <w:r w:rsidR="00B440B3" w:rsidRPr="009257E7">
        <w:rPr>
          <w:lang w:val="es-ES"/>
        </w:rPr>
        <w:t xml:space="preserve">an </w:t>
      </w:r>
      <w:r w:rsidR="00FB3102" w:rsidRPr="009257E7">
        <w:rPr>
          <w:lang w:val="es-ES"/>
        </w:rPr>
        <w:t>segú</w:t>
      </w:r>
      <w:r w:rsidR="00B440B3" w:rsidRPr="009257E7">
        <w:rPr>
          <w:lang w:val="es-ES"/>
        </w:rPr>
        <w:t xml:space="preserve">n </w:t>
      </w:r>
      <w:r w:rsidR="00FB3102" w:rsidRPr="009257E7">
        <w:rPr>
          <w:lang w:val="es-ES"/>
        </w:rPr>
        <w:t>el</w:t>
      </w:r>
      <w:r w:rsidR="00B440B3" w:rsidRPr="009257E7">
        <w:rPr>
          <w:lang w:val="es-ES"/>
        </w:rPr>
        <w:t xml:space="preserve"> lugar y </w:t>
      </w:r>
      <w:r w:rsidR="00FB3102" w:rsidRPr="009257E7">
        <w:rPr>
          <w:lang w:val="es-ES"/>
        </w:rPr>
        <w:t>el tiempo</w:t>
      </w:r>
      <w:r w:rsidR="00B440B3" w:rsidRPr="009257E7">
        <w:rPr>
          <w:lang w:val="es-ES"/>
        </w:rPr>
        <w:t>. Pero las castas identitarias siguen importando en el derecho y en toda la sociedad.</w:t>
      </w:r>
      <w:r w:rsidR="00704C6C" w:rsidRPr="009257E7">
        <w:rPr>
          <w:lang w:val="es-ES"/>
        </w:rPr>
        <w:t xml:space="preserve"> </w:t>
      </w:r>
    </w:p>
    <w:p w14:paraId="49B9D34D" w14:textId="355F2D66" w:rsidR="00B440B3" w:rsidRPr="009257E7" w:rsidRDefault="00B440B3" w:rsidP="005437BC">
      <w:pPr>
        <w:pStyle w:val="NormalWeb"/>
        <w:ind w:firstLine="720"/>
        <w:rPr>
          <w:lang w:val="es-ES"/>
        </w:rPr>
      </w:pPr>
      <w:r w:rsidRPr="009257E7">
        <w:rPr>
          <w:lang w:val="es-ES"/>
        </w:rPr>
        <w:t>El derecho</w:t>
      </w:r>
      <w:r w:rsidR="005437BC" w:rsidRPr="009257E7">
        <w:rPr>
          <w:lang w:val="es-ES"/>
        </w:rPr>
        <w:t>,</w:t>
      </w:r>
      <w:r w:rsidRPr="009257E7">
        <w:rPr>
          <w:lang w:val="es-ES"/>
        </w:rPr>
        <w:t xml:space="preserve"> como sistema</w:t>
      </w:r>
      <w:r w:rsidR="005437BC" w:rsidRPr="009257E7">
        <w:rPr>
          <w:lang w:val="es-ES"/>
        </w:rPr>
        <w:t>,</w:t>
      </w:r>
      <w:r w:rsidRPr="009257E7">
        <w:rPr>
          <w:lang w:val="es-ES"/>
        </w:rPr>
        <w:t xml:space="preserve"> incorporó las identidades sociales en su propia trama: en sus textos definitorios y en las “reglas del juego”</w:t>
      </w:r>
      <w:r w:rsidR="005437BC" w:rsidRPr="009257E7">
        <w:rPr>
          <w:lang w:val="es-ES"/>
        </w:rPr>
        <w:t>,</w:t>
      </w:r>
      <w:r w:rsidRPr="009257E7">
        <w:rPr>
          <w:lang w:val="es-ES"/>
        </w:rPr>
        <w:t xml:space="preserve"> tanto para la democracia como para la adjudicación. Las identidades sociales se u</w:t>
      </w:r>
      <w:r w:rsidR="005437BC" w:rsidRPr="009257E7">
        <w:rPr>
          <w:lang w:val="es-ES"/>
        </w:rPr>
        <w:t>tiliz</w:t>
      </w:r>
      <w:r w:rsidRPr="009257E7">
        <w:rPr>
          <w:lang w:val="es-ES"/>
        </w:rPr>
        <w:t xml:space="preserve">aron para asignar grupos a posiciones de ganadores y </w:t>
      </w:r>
      <w:r w:rsidR="005437BC" w:rsidRPr="009257E7">
        <w:rPr>
          <w:lang w:val="es-ES"/>
        </w:rPr>
        <w:t>de perdedores, tanto</w:t>
      </w:r>
      <w:r w:rsidRPr="009257E7">
        <w:rPr>
          <w:lang w:val="es-ES"/>
        </w:rPr>
        <w:t xml:space="preserve"> individuales </w:t>
      </w:r>
      <w:r w:rsidR="005437BC" w:rsidRPr="009257E7">
        <w:rPr>
          <w:lang w:val="es-ES"/>
        </w:rPr>
        <w:t>como</w:t>
      </w:r>
      <w:r w:rsidRPr="009257E7">
        <w:rPr>
          <w:lang w:val="es-ES"/>
        </w:rPr>
        <w:t xml:space="preserve"> colectivos. En los siguientes fragmentos de casos conocidos y nuevos de la Corte Suprema de </w:t>
      </w:r>
      <w:r w:rsidR="00DC0EDF" w:rsidRPr="009257E7">
        <w:rPr>
          <w:lang w:val="es-ES"/>
        </w:rPr>
        <w:t xml:space="preserve">los </w:t>
      </w:r>
      <w:r w:rsidRPr="009257E7">
        <w:rPr>
          <w:lang w:val="es-ES"/>
        </w:rPr>
        <w:t>Estados Unidos, vemos cómo los grupos sociales basados en la identidad han estado en el centro de la toma de decisiones jurídicas desde los tiempos coloniales hasta el presente. No nos enfocamos aquí en cómo se construyen los grupos identitarios —eso sigue más adelante—, sino simplemente en señalar que los grupos, definidos en términos de identidades di</w:t>
      </w:r>
      <w:r w:rsidR="00DC0EDF" w:rsidRPr="009257E7">
        <w:rPr>
          <w:lang w:val="es-ES"/>
        </w:rPr>
        <w:t>stinta</w:t>
      </w:r>
      <w:r w:rsidRPr="009257E7">
        <w:rPr>
          <w:lang w:val="es-ES"/>
        </w:rPr>
        <w:t xml:space="preserve">s, aparecen repetidamente en el núcleo de la toma de decisiones jurídicas. Los grupos basados en la identidad son blancos de subordinación y dominación en la sociedad y en el derecho. Cada caso a continuación muestra el derecho como </w:t>
      </w:r>
      <w:r w:rsidR="00DC0EDF" w:rsidRPr="009257E7">
        <w:rPr>
          <w:lang w:val="es-ES"/>
        </w:rPr>
        <w:t xml:space="preserve">un </w:t>
      </w:r>
      <w:r w:rsidRPr="009257E7">
        <w:rPr>
          <w:lang w:val="es-ES"/>
        </w:rPr>
        <w:t xml:space="preserve">sistema en acción y </w:t>
      </w:r>
      <w:r w:rsidR="00DC0EDF" w:rsidRPr="009257E7">
        <w:rPr>
          <w:lang w:val="es-ES"/>
        </w:rPr>
        <w:t>sirve</w:t>
      </w:r>
      <w:r w:rsidRPr="009257E7">
        <w:rPr>
          <w:lang w:val="es-ES"/>
        </w:rPr>
        <w:t xml:space="preserve"> como indicador de las prioridades y </w:t>
      </w:r>
      <w:r w:rsidR="00DC0EDF" w:rsidRPr="009257E7">
        <w:rPr>
          <w:lang w:val="es-ES"/>
        </w:rPr>
        <w:t xml:space="preserve">los </w:t>
      </w:r>
      <w:r w:rsidRPr="009257E7">
        <w:rPr>
          <w:lang w:val="es-ES"/>
        </w:rPr>
        <w:t>propósitos del sistema jurídico.</w:t>
      </w:r>
    </w:p>
    <w:p w14:paraId="78EC008B" w14:textId="11D27A6B" w:rsidR="00B440B3" w:rsidRPr="009257E7" w:rsidRDefault="00B440B3" w:rsidP="00DC0EDF">
      <w:pPr>
        <w:pStyle w:val="NormalWeb"/>
        <w:ind w:firstLine="720"/>
        <w:rPr>
          <w:lang w:val="es-ES"/>
        </w:rPr>
      </w:pPr>
      <w:r w:rsidRPr="009257E7">
        <w:rPr>
          <w:lang w:val="es-ES"/>
        </w:rPr>
        <w:t xml:space="preserve">Estos casos registran </w:t>
      </w:r>
      <w:r w:rsidR="00DC0EDF" w:rsidRPr="009257E7">
        <w:rPr>
          <w:lang w:val="es-ES"/>
        </w:rPr>
        <w:t>simultáneamente</w:t>
      </w:r>
      <w:r w:rsidRPr="009257E7">
        <w:rPr>
          <w:lang w:val="es-ES"/>
        </w:rPr>
        <w:t xml:space="preserve"> la imposición de </w:t>
      </w:r>
      <w:r w:rsidR="00DC0EDF" w:rsidRPr="009257E7">
        <w:rPr>
          <w:lang w:val="es-ES"/>
        </w:rPr>
        <w:t xml:space="preserve">una </w:t>
      </w:r>
      <w:r w:rsidRPr="009257E7">
        <w:rPr>
          <w:lang w:val="es-ES"/>
        </w:rPr>
        <w:t xml:space="preserve">injusticia sistémica basada en la identidad y la resistencia frente a ella. Cada caso apunta a luchas grupales más amplias para cambiar las leyes mediante la formulación de políticas y </w:t>
      </w:r>
      <w:r w:rsidR="001B0880" w:rsidRPr="009257E7">
        <w:rPr>
          <w:lang w:val="es-ES"/>
        </w:rPr>
        <w:t>la</w:t>
      </w:r>
      <w:r w:rsidRPr="009257E7">
        <w:rPr>
          <w:lang w:val="es-ES"/>
        </w:rPr>
        <w:t xml:space="preserve"> </w:t>
      </w:r>
      <w:r w:rsidR="001B0880" w:rsidRPr="009257E7">
        <w:rPr>
          <w:lang w:val="es-ES"/>
        </w:rPr>
        <w:t>modificación directa d</w:t>
      </w:r>
      <w:r w:rsidRPr="009257E7">
        <w:rPr>
          <w:lang w:val="es-ES"/>
        </w:rPr>
        <w:t xml:space="preserve">e los resultados sociales. A menudo, estas luchas grupales no se consideran relevantes para la toma de decisiones jurídicas y, por tanto, no se </w:t>
      </w:r>
      <w:r w:rsidR="001B0880" w:rsidRPr="009257E7">
        <w:rPr>
          <w:lang w:val="es-ES"/>
        </w:rPr>
        <w:t>aborda</w:t>
      </w:r>
      <w:r w:rsidRPr="009257E7">
        <w:rPr>
          <w:lang w:val="es-ES"/>
        </w:rPr>
        <w:t xml:space="preserve">n explícitamente en las opiniones judiciales. Pero estos casos ilustran, en múltiples contextos, que el derecho es </w:t>
      </w:r>
      <w:r w:rsidR="001B0880" w:rsidRPr="009257E7">
        <w:rPr>
          <w:lang w:val="es-ES"/>
        </w:rPr>
        <w:t xml:space="preserve">un </w:t>
      </w:r>
      <w:r w:rsidRPr="009257E7">
        <w:rPr>
          <w:lang w:val="es-ES"/>
        </w:rPr>
        <w:t>instrumento de opresión y de lucha, ambas cosas a la vez. Y las identidades, los grupos, los intereses y el poder pueden verse</w:t>
      </w:r>
      <w:r w:rsidR="001B0880" w:rsidRPr="009257E7">
        <w:rPr>
          <w:lang w:val="es-ES"/>
        </w:rPr>
        <w:t>,</w:t>
      </w:r>
      <w:r w:rsidRPr="009257E7">
        <w:rPr>
          <w:lang w:val="es-ES"/>
        </w:rPr>
        <w:t xml:space="preserve"> en cada caso</w:t>
      </w:r>
      <w:r w:rsidR="001B0880" w:rsidRPr="009257E7">
        <w:rPr>
          <w:lang w:val="es-ES"/>
        </w:rPr>
        <w:t>,</w:t>
      </w:r>
      <w:r w:rsidRPr="009257E7">
        <w:rPr>
          <w:lang w:val="es-ES"/>
        </w:rPr>
        <w:t xml:space="preserve"> como elementos centrales del sistema y de los reclamos de justicia.</w:t>
      </w:r>
    </w:p>
    <w:p w14:paraId="448B1C1A" w14:textId="77777777" w:rsidR="00EE70DE" w:rsidRPr="009257E7" w:rsidRDefault="00B440B3" w:rsidP="00EE70DE">
      <w:pPr>
        <w:pStyle w:val="NormalWeb"/>
        <w:ind w:firstLine="720"/>
        <w:rPr>
          <w:lang w:val="es-ES"/>
        </w:rPr>
      </w:pPr>
      <w:r w:rsidRPr="009257E7">
        <w:rPr>
          <w:lang w:val="es-ES"/>
        </w:rPr>
        <w:t xml:space="preserve">En el primer fragmento, de </w:t>
      </w:r>
      <w:r w:rsidRPr="009257E7">
        <w:rPr>
          <w:rStyle w:val="Emphasis"/>
          <w:lang w:val="es-ES"/>
        </w:rPr>
        <w:t xml:space="preserve">Johnson v. </w:t>
      </w:r>
      <w:proofErr w:type="spellStart"/>
      <w:r w:rsidRPr="009257E7">
        <w:rPr>
          <w:rStyle w:val="Emphasis"/>
          <w:lang w:val="es-ES"/>
        </w:rPr>
        <w:t>M’Intosh</w:t>
      </w:r>
      <w:proofErr w:type="spellEnd"/>
      <w:r w:rsidRPr="009257E7">
        <w:rPr>
          <w:lang w:val="es-ES"/>
        </w:rPr>
        <w:t xml:space="preserve">, la Corte Suprema justificó la apropiación estadounidense de tierras indígenas por la fuerza como título legal </w:t>
      </w:r>
      <w:r w:rsidR="001B0880" w:rsidRPr="009257E7">
        <w:rPr>
          <w:lang w:val="es-ES"/>
        </w:rPr>
        <w:t>de</w:t>
      </w:r>
      <w:r w:rsidRPr="009257E7">
        <w:rPr>
          <w:lang w:val="es-ES"/>
        </w:rPr>
        <w:t xml:space="preserve"> conquista. </w:t>
      </w:r>
      <w:r w:rsidR="002B78F0" w:rsidRPr="009257E7">
        <w:rPr>
          <w:lang w:val="es-ES"/>
        </w:rPr>
        <w:t xml:space="preserve">Con el respaldo del poder judicial, el gobierno federal acabó cediendo tierras indígenas de gran valor a “colonos” blancos, estableciendo así un control basado en la identidad sobre </w:t>
      </w:r>
      <w:r w:rsidR="00F54E31" w:rsidRPr="009257E7">
        <w:rPr>
          <w:lang w:val="es-ES"/>
        </w:rPr>
        <w:t>dich</w:t>
      </w:r>
      <w:r w:rsidR="002B78F0" w:rsidRPr="009257E7">
        <w:rPr>
          <w:lang w:val="es-ES"/>
        </w:rPr>
        <w:t>as tierras que sigue vigente hasta el día de hoy.</w:t>
      </w:r>
    </w:p>
    <w:p w14:paraId="28A5EF3E" w14:textId="79797BB1" w:rsidR="00B440B3" w:rsidRPr="009257E7" w:rsidRDefault="00B440B3" w:rsidP="00654960">
      <w:pPr>
        <w:pStyle w:val="NormalWeb"/>
        <w:jc w:val="center"/>
        <w:rPr>
          <w:lang w:val="en-US"/>
        </w:rPr>
      </w:pPr>
      <w:r w:rsidRPr="009257E7">
        <w:rPr>
          <w:rStyle w:val="Strong"/>
          <w:lang w:val="en-US"/>
        </w:rPr>
        <w:t>JOHNSON AND GRAHAM’S LESSEE V. M’INTOSH</w:t>
      </w:r>
      <w:r w:rsidRPr="009257E7">
        <w:rPr>
          <w:lang w:val="en-US"/>
        </w:rPr>
        <w:br/>
      </w:r>
      <w:r w:rsidRPr="009257E7">
        <w:rPr>
          <w:rStyle w:val="Strong"/>
          <w:lang w:val="en-US"/>
        </w:rPr>
        <w:t>21 U.S. 543 (1823)</w:t>
      </w:r>
    </w:p>
    <w:p w14:paraId="00D7E5C2" w14:textId="0AAB4035" w:rsidR="00B440B3" w:rsidRPr="009257E7" w:rsidRDefault="00B440B3" w:rsidP="00EE70DE">
      <w:pPr>
        <w:pStyle w:val="NormalWeb"/>
        <w:ind w:left="720"/>
        <w:rPr>
          <w:lang w:val="es-ES"/>
        </w:rPr>
      </w:pPr>
      <w:r w:rsidRPr="009257E7">
        <w:rPr>
          <w:lang w:val="es-ES"/>
        </w:rPr>
        <w:t xml:space="preserve">[...] Estados Unidos, entonces, ha accedido de manera inequívoca a esa regla grande y amplia mediante la cual sus habitantes civilizados poseen ahora este país. [...] Sostienen [...] que el descubrimiento otorgó un derecho exclusivo </w:t>
      </w:r>
      <w:r w:rsidR="00654960" w:rsidRPr="009257E7">
        <w:rPr>
          <w:lang w:val="es-ES"/>
        </w:rPr>
        <w:t>par</w:t>
      </w:r>
      <w:r w:rsidRPr="009257E7">
        <w:rPr>
          <w:lang w:val="es-ES"/>
        </w:rPr>
        <w:t>a extinguir el título indígena de ocupación, ya fuera mediante compra o conquista. [...]</w:t>
      </w:r>
    </w:p>
    <w:p w14:paraId="7595FAD8" w14:textId="77777777" w:rsidR="00B440B3" w:rsidRPr="009257E7" w:rsidRDefault="00B440B3" w:rsidP="00EE70DE">
      <w:pPr>
        <w:pStyle w:val="NormalWeb"/>
        <w:ind w:left="720"/>
        <w:rPr>
          <w:lang w:val="es-ES"/>
        </w:rPr>
      </w:pPr>
      <w:r w:rsidRPr="009257E7">
        <w:rPr>
          <w:lang w:val="es-ES"/>
        </w:rPr>
        <w:t>[...] El título por conquista se adquiere y se mantiene por la fuerza. El conquistador prescribe sus límites. [...]</w:t>
      </w:r>
    </w:p>
    <w:p w14:paraId="15C53997" w14:textId="77777777" w:rsidR="00B440B3" w:rsidRPr="009257E7" w:rsidRDefault="00B440B3" w:rsidP="00EE70DE">
      <w:pPr>
        <w:pStyle w:val="NormalWeb"/>
        <w:ind w:left="720"/>
        <w:rPr>
          <w:lang w:val="es-ES"/>
        </w:rPr>
      </w:pPr>
      <w:r w:rsidRPr="009257E7">
        <w:rPr>
          <w:lang w:val="es-ES"/>
        </w:rPr>
        <w:t xml:space="preserve">[...] [L]as tribus de indígenas que habitaban este país eran salvajes feroces, cuya ocupación era la guerra y cuya subsistencia provenía principalmente del bosque. Dejarlas en posesión de su país era dejar el país como tierra salvaje; gobernarlas como pueblo </w:t>
      </w:r>
      <w:r w:rsidRPr="009257E7">
        <w:rPr>
          <w:lang w:val="es-ES"/>
        </w:rPr>
        <w:lastRenderedPageBreak/>
        <w:t>distinto era imposible, porque eran tan valientes y de espíritu tan elevado como feroces, y estaban listas para repeler con armas cualquier intento contra su independencia.</w:t>
      </w:r>
    </w:p>
    <w:p w14:paraId="4A3F244E" w14:textId="77777777" w:rsidR="00B440B3" w:rsidRPr="009257E7" w:rsidRDefault="00B440B3" w:rsidP="00EE70DE">
      <w:pPr>
        <w:pStyle w:val="NormalWeb"/>
        <w:ind w:left="720"/>
        <w:rPr>
          <w:lang w:val="es-ES"/>
        </w:rPr>
      </w:pPr>
      <w:r w:rsidRPr="009257E7">
        <w:rPr>
          <w:lang w:val="es-ES"/>
        </w:rPr>
        <w:t>¿Cuál fue la consecuencia inevitable de este estado de cosas? Los europeos estaban ante la necesidad de abandonar el país y renunciar a sus reclamos pomposos sobre él, o de imponer esos reclamos por la espada y mediante la adopción de principios adaptados a la condición de un pueblo con el cual era imposible mezclarse, y que no podía ser gobernado como sociedad distinta, o de permanecer en su vecindad y exponerse a sí mismos y a sus familias al peligro perpetuo de ser masacrados.</w:t>
      </w:r>
    </w:p>
    <w:p w14:paraId="7360A4FE" w14:textId="4202F2C4" w:rsidR="00B440B3" w:rsidRPr="009257E7" w:rsidRDefault="00B440B3" w:rsidP="00EE70DE">
      <w:pPr>
        <w:pStyle w:val="NormalWeb"/>
        <w:ind w:left="720"/>
        <w:rPr>
          <w:lang w:val="es-ES"/>
        </w:rPr>
      </w:pPr>
      <w:r w:rsidRPr="009257E7">
        <w:rPr>
          <w:lang w:val="es-ES"/>
        </w:rPr>
        <w:t xml:space="preserve">Guerras frecuentes y sangrientas, en las que los blancos no siempre fueron los agresores, </w:t>
      </w:r>
      <w:r w:rsidR="00A038FF" w:rsidRPr="009257E7">
        <w:rPr>
          <w:lang w:val="es-ES"/>
        </w:rPr>
        <w:t>resulta</w:t>
      </w:r>
      <w:r w:rsidRPr="009257E7">
        <w:rPr>
          <w:lang w:val="es-ES"/>
        </w:rPr>
        <w:t xml:space="preserve">ron </w:t>
      </w:r>
      <w:r w:rsidR="00EE670D" w:rsidRPr="009257E7">
        <w:rPr>
          <w:lang w:val="es-ES"/>
        </w:rPr>
        <w:t>inevitables</w:t>
      </w:r>
      <w:r w:rsidRPr="009257E7">
        <w:rPr>
          <w:lang w:val="es-ES"/>
        </w:rPr>
        <w:t>. La política, los números y la destreza europeas prevalecieron.</w:t>
      </w:r>
    </w:p>
    <w:p w14:paraId="5DA68A40" w14:textId="72AC6CB7" w:rsidR="00B440B3" w:rsidRPr="009257E7" w:rsidRDefault="00B440B3" w:rsidP="00F37BC8">
      <w:pPr>
        <w:pStyle w:val="NormalWeb"/>
        <w:ind w:firstLine="720"/>
        <w:rPr>
          <w:lang w:val="es-ES"/>
        </w:rPr>
      </w:pPr>
      <w:r w:rsidRPr="009257E7">
        <w:rPr>
          <w:lang w:val="es-ES"/>
        </w:rPr>
        <w:t xml:space="preserve">Ahora considérese el notorio caso de 1857, </w:t>
      </w:r>
      <w:proofErr w:type="spellStart"/>
      <w:r w:rsidRPr="009257E7">
        <w:rPr>
          <w:rStyle w:val="Emphasis"/>
          <w:lang w:val="es-ES"/>
        </w:rPr>
        <w:t>Dred</w:t>
      </w:r>
      <w:proofErr w:type="spellEnd"/>
      <w:r w:rsidRPr="009257E7">
        <w:rPr>
          <w:rStyle w:val="Emphasis"/>
          <w:lang w:val="es-ES"/>
        </w:rPr>
        <w:t xml:space="preserve"> Scott v. Sandford</w:t>
      </w:r>
      <w:r w:rsidRPr="009257E7">
        <w:rPr>
          <w:lang w:val="es-ES"/>
        </w:rPr>
        <w:t xml:space="preserve">, como complemento de la apropiación de </w:t>
      </w:r>
      <w:r w:rsidR="00F37BC8" w:rsidRPr="009257E7">
        <w:rPr>
          <w:lang w:val="es-ES"/>
        </w:rPr>
        <w:t xml:space="preserve">la </w:t>
      </w:r>
      <w:r w:rsidRPr="009257E7">
        <w:rPr>
          <w:lang w:val="es-ES"/>
        </w:rPr>
        <w:t xml:space="preserve">propiedad inmueble. Allí, jueces nombrados por élites </w:t>
      </w:r>
      <w:r w:rsidR="00A038FF" w:rsidRPr="009257E7">
        <w:rPr>
          <w:lang w:val="es-ES"/>
        </w:rPr>
        <w:t>coloniales mantuvieron la institución de la esclavitud, basada en la identidad y en los derechos legales de los esclavizadores sobre los esclavizados, específicamente sobre personas negras esclavizadas, como propiedad personal de los</w:t>
      </w:r>
      <w:r w:rsidRPr="009257E7">
        <w:rPr>
          <w:lang w:val="es-ES"/>
        </w:rPr>
        <w:t xml:space="preserve"> esclavizadores. El resultado negó la libertad a un hombre negro esclavizado, aunque su dueño, un cirujano del ejército estadounidense, lo había </w:t>
      </w:r>
      <w:r w:rsidR="00A038FF" w:rsidRPr="009257E7">
        <w:rPr>
          <w:lang w:val="es-ES"/>
        </w:rPr>
        <w:t>traslad</w:t>
      </w:r>
      <w:r w:rsidRPr="009257E7">
        <w:rPr>
          <w:lang w:val="es-ES"/>
        </w:rPr>
        <w:t xml:space="preserve">ado desde un estado esclavista a regiones </w:t>
      </w:r>
      <w:r w:rsidR="00A038FF" w:rsidRPr="009257E7">
        <w:rPr>
          <w:lang w:val="es-ES"/>
        </w:rPr>
        <w:t>de los Estados Unido</w:t>
      </w:r>
      <w:r w:rsidRPr="009257E7">
        <w:rPr>
          <w:lang w:val="es-ES"/>
        </w:rPr>
        <w:t>s donde la esclavitud estaba prohibida.</w:t>
      </w:r>
    </w:p>
    <w:p w14:paraId="59129B54" w14:textId="77777777" w:rsidR="00B440B3" w:rsidRPr="009257E7" w:rsidRDefault="00B440B3" w:rsidP="009566D6">
      <w:pPr>
        <w:pStyle w:val="NormalWeb"/>
        <w:jc w:val="center"/>
        <w:rPr>
          <w:lang w:val="en-US"/>
        </w:rPr>
      </w:pPr>
      <w:r w:rsidRPr="009257E7">
        <w:rPr>
          <w:rStyle w:val="Strong"/>
          <w:lang w:val="en-US"/>
        </w:rPr>
        <w:t>DRED SCOTT V. SANDFORD</w:t>
      </w:r>
      <w:r w:rsidRPr="009257E7">
        <w:rPr>
          <w:lang w:val="en-US"/>
        </w:rPr>
        <w:br/>
      </w:r>
      <w:r w:rsidRPr="009257E7">
        <w:rPr>
          <w:rStyle w:val="Strong"/>
          <w:lang w:val="en-US"/>
        </w:rPr>
        <w:t>60 U.S. 393 (1857)</w:t>
      </w:r>
    </w:p>
    <w:p w14:paraId="39DDDCCD" w14:textId="5381AC7E" w:rsidR="00B440B3" w:rsidRPr="009257E7" w:rsidRDefault="00B440B3" w:rsidP="009566D6">
      <w:pPr>
        <w:pStyle w:val="NormalWeb"/>
        <w:ind w:left="720"/>
        <w:rPr>
          <w:lang w:val="es-ES"/>
        </w:rPr>
      </w:pPr>
      <w:r w:rsidRPr="009257E7">
        <w:rPr>
          <w:lang w:val="es-ES"/>
        </w:rPr>
        <w:t>[...] La pregunta es simplemente esta: ¿Puede un negro, cuyos ancestros fueron importados a este país y vendidos como esclavos, convertirse en integrante de la comunidad política formada y creada por la Constitución de</w:t>
      </w:r>
      <w:r w:rsidR="00523D1D" w:rsidRPr="009257E7">
        <w:rPr>
          <w:lang w:val="es-ES"/>
        </w:rPr>
        <w:t xml:space="preserve"> los</w:t>
      </w:r>
      <w:r w:rsidRPr="009257E7">
        <w:rPr>
          <w:lang w:val="es-ES"/>
        </w:rPr>
        <w:t xml:space="preserve"> Estados Unidos y, como tal, tener derecho a todos los derechos, privilegios e inmunidades garantizados por ese instrumento </w:t>
      </w:r>
      <w:r w:rsidR="00523D1D" w:rsidRPr="009257E7">
        <w:rPr>
          <w:lang w:val="es-ES"/>
        </w:rPr>
        <w:t>al</w:t>
      </w:r>
      <w:r w:rsidRPr="009257E7">
        <w:rPr>
          <w:lang w:val="es-ES"/>
        </w:rPr>
        <w:t xml:space="preserve"> ciudadan</w:t>
      </w:r>
      <w:r w:rsidR="00523D1D" w:rsidRPr="009257E7">
        <w:rPr>
          <w:lang w:val="es-ES"/>
        </w:rPr>
        <w:t>o</w:t>
      </w:r>
      <w:r w:rsidRPr="009257E7">
        <w:rPr>
          <w:lang w:val="es-ES"/>
        </w:rPr>
        <w:t>?</w:t>
      </w:r>
    </w:p>
    <w:p w14:paraId="0F6C84E9" w14:textId="551FF45E" w:rsidR="00B440B3" w:rsidRPr="009257E7" w:rsidRDefault="00B440B3" w:rsidP="009566D6">
      <w:pPr>
        <w:pStyle w:val="NormalWeb"/>
        <w:ind w:left="720"/>
        <w:rPr>
          <w:lang w:val="es-ES"/>
        </w:rPr>
      </w:pPr>
      <w:r w:rsidRPr="009257E7">
        <w:rPr>
          <w:lang w:val="es-ES"/>
        </w:rPr>
        <w:t>[...] [Las personas negras] habían sido consideradas durante más de un siglo como seres de un orden inferior, y totalmente incapaces de asociarse con la raza blanca, ya fuera en relaciones sociales o políticas; y tan inferiores que no tenían derechos que el hombre blanco estuviera obligado a respetar; y que el negro podía ser reducido</w:t>
      </w:r>
      <w:r w:rsidR="00223D92" w:rsidRPr="009257E7">
        <w:rPr>
          <w:lang w:val="es-ES"/>
        </w:rPr>
        <w:t>, de manera</w:t>
      </w:r>
      <w:r w:rsidRPr="009257E7">
        <w:rPr>
          <w:lang w:val="es-ES"/>
        </w:rPr>
        <w:t xml:space="preserve"> justa y legal</w:t>
      </w:r>
      <w:r w:rsidR="00223D92" w:rsidRPr="009257E7">
        <w:rPr>
          <w:lang w:val="es-ES"/>
        </w:rPr>
        <w:t>,</w:t>
      </w:r>
      <w:r w:rsidRPr="009257E7">
        <w:rPr>
          <w:lang w:val="es-ES"/>
        </w:rPr>
        <w:t xml:space="preserve"> a la esclavitud para su beneficio. Era comprado</w:t>
      </w:r>
      <w:r w:rsidR="00223D92" w:rsidRPr="009257E7">
        <w:rPr>
          <w:lang w:val="es-ES"/>
        </w:rPr>
        <w:t>,</w:t>
      </w:r>
      <w:r w:rsidRPr="009257E7">
        <w:rPr>
          <w:lang w:val="es-ES"/>
        </w:rPr>
        <w:t xml:space="preserve"> vendido y tratado como un artículo ordinario de mercancía y </w:t>
      </w:r>
      <w:r w:rsidR="00223D92" w:rsidRPr="009257E7">
        <w:rPr>
          <w:lang w:val="es-ES"/>
        </w:rPr>
        <w:t xml:space="preserve">de </w:t>
      </w:r>
      <w:r w:rsidRPr="009257E7">
        <w:rPr>
          <w:lang w:val="es-ES"/>
        </w:rPr>
        <w:t>tráfico, siempre que pudiera obtenerse</w:t>
      </w:r>
      <w:r w:rsidR="00223D92" w:rsidRPr="009257E7">
        <w:rPr>
          <w:lang w:val="es-ES"/>
        </w:rPr>
        <w:t xml:space="preserve"> una</w:t>
      </w:r>
      <w:r w:rsidRPr="009257E7">
        <w:rPr>
          <w:lang w:val="es-ES"/>
        </w:rPr>
        <w:t xml:space="preserve"> ganancia de ello. Esta opinión estaba entonces fija</w:t>
      </w:r>
      <w:r w:rsidR="00223D92" w:rsidRPr="009257E7">
        <w:rPr>
          <w:lang w:val="es-ES"/>
        </w:rPr>
        <w:t>da</w:t>
      </w:r>
      <w:r w:rsidRPr="009257E7">
        <w:rPr>
          <w:lang w:val="es-ES"/>
        </w:rPr>
        <w:t xml:space="preserve"> y era universal en la parte civilizada de la raza blanca. [...]</w:t>
      </w:r>
    </w:p>
    <w:p w14:paraId="5133895A" w14:textId="6536DC23" w:rsidR="00B440B3" w:rsidRPr="009257E7" w:rsidRDefault="00B440B3" w:rsidP="00E079F2">
      <w:pPr>
        <w:pStyle w:val="NormalWeb"/>
        <w:rPr>
          <w:lang w:val="es-ES"/>
        </w:rPr>
      </w:pPr>
      <w:r w:rsidRPr="009257E7">
        <w:rPr>
          <w:lang w:val="es-ES"/>
        </w:rPr>
        <w:t xml:space="preserve">Las mujeres también han sido subordinadas </w:t>
      </w:r>
      <w:r w:rsidR="0028714D" w:rsidRPr="009257E7">
        <w:rPr>
          <w:lang w:val="es-ES"/>
        </w:rPr>
        <w:t>sistemátic</w:t>
      </w:r>
      <w:r w:rsidRPr="009257E7">
        <w:rPr>
          <w:lang w:val="es-ES"/>
        </w:rPr>
        <w:t xml:space="preserve">amente como grupo. Al importar la tradición británica del </w:t>
      </w:r>
      <w:proofErr w:type="spellStart"/>
      <w:r w:rsidRPr="009257E7">
        <w:rPr>
          <w:rStyle w:val="Emphasis"/>
          <w:lang w:val="es-ES"/>
        </w:rPr>
        <w:t>common</w:t>
      </w:r>
      <w:proofErr w:type="spellEnd"/>
      <w:r w:rsidRPr="009257E7">
        <w:rPr>
          <w:rStyle w:val="Emphasis"/>
          <w:lang w:val="es-ES"/>
        </w:rPr>
        <w:t xml:space="preserve"> </w:t>
      </w:r>
      <w:proofErr w:type="spellStart"/>
      <w:r w:rsidRPr="009257E7">
        <w:rPr>
          <w:rStyle w:val="Emphasis"/>
          <w:lang w:val="es-ES"/>
        </w:rPr>
        <w:t>law</w:t>
      </w:r>
      <w:proofErr w:type="spellEnd"/>
      <w:r w:rsidRPr="009257E7">
        <w:rPr>
          <w:lang w:val="es-ES"/>
        </w:rPr>
        <w:t xml:space="preserve"> sobre el matrimonio, muchos estados estadounidenses prohibieron en otro tiempo que las mujeres celebraran contratos sin el consentimiento de sus maridos o que poseyeran propiedad de manera independiente. Los maridos controlaban cualquier salario que sus esposas ganaran. Las mujeres casadas obtuvieron el derecho a contratar y a poseer propiedad solo con la aprobación, por parte de los estados estadounidenses, de las </w:t>
      </w:r>
      <w:proofErr w:type="spellStart"/>
      <w:r w:rsidRPr="009257E7">
        <w:rPr>
          <w:rStyle w:val="Emphasis"/>
          <w:lang w:val="es-ES"/>
        </w:rPr>
        <w:t>Married</w:t>
      </w:r>
      <w:proofErr w:type="spellEnd"/>
      <w:r w:rsidRPr="009257E7">
        <w:rPr>
          <w:rStyle w:val="Emphasis"/>
          <w:lang w:val="es-ES"/>
        </w:rPr>
        <w:t xml:space="preserve"> </w:t>
      </w:r>
      <w:proofErr w:type="spellStart"/>
      <w:r w:rsidRPr="009257E7">
        <w:rPr>
          <w:rStyle w:val="Emphasis"/>
          <w:lang w:val="es-ES"/>
        </w:rPr>
        <w:t>Women’s</w:t>
      </w:r>
      <w:proofErr w:type="spellEnd"/>
      <w:r w:rsidRPr="009257E7">
        <w:rPr>
          <w:rStyle w:val="Emphasis"/>
          <w:lang w:val="es-ES"/>
        </w:rPr>
        <w:t xml:space="preserve"> </w:t>
      </w:r>
      <w:proofErr w:type="spellStart"/>
      <w:r w:rsidRPr="009257E7">
        <w:rPr>
          <w:rStyle w:val="Emphasis"/>
          <w:lang w:val="es-ES"/>
        </w:rPr>
        <w:t>Property</w:t>
      </w:r>
      <w:proofErr w:type="spellEnd"/>
      <w:r w:rsidRPr="009257E7">
        <w:rPr>
          <w:rStyle w:val="Emphasis"/>
          <w:lang w:val="es-ES"/>
        </w:rPr>
        <w:t xml:space="preserve"> Acts</w:t>
      </w:r>
      <w:r w:rsidRPr="009257E7">
        <w:rPr>
          <w:lang w:val="es-ES"/>
        </w:rPr>
        <w:t xml:space="preserve"> a finales del siglo XIX, pero el progreso más amplio fue lento. </w:t>
      </w:r>
      <w:r w:rsidRPr="009257E7">
        <w:rPr>
          <w:lang w:val="es-ES"/>
        </w:rPr>
        <w:lastRenderedPageBreak/>
        <w:t xml:space="preserve">Así, las mujeres seguían ampliamente excluidas del empleo en ocupaciones lucrativas o prestigiosas, incluido el propio derecho. </w:t>
      </w:r>
      <w:r w:rsidR="00E079F2" w:rsidRPr="009257E7">
        <w:rPr>
          <w:lang w:val="es-ES"/>
        </w:rPr>
        <w:t xml:space="preserve">En el caso </w:t>
      </w:r>
      <w:r w:rsidR="00E079F2" w:rsidRPr="009257E7">
        <w:rPr>
          <w:i/>
          <w:iCs/>
          <w:lang w:val="es-ES"/>
        </w:rPr>
        <w:t>Bradwell contra el Estado</w:t>
      </w:r>
      <w:r w:rsidR="00E079F2" w:rsidRPr="009257E7">
        <w:rPr>
          <w:lang w:val="es-ES"/>
        </w:rPr>
        <w:t>, el Tribunal se dirige específicamente a las mujeres como grupo para ratificar la denegación de su derecho a ejercer la abogacía.</w:t>
      </w:r>
    </w:p>
    <w:p w14:paraId="41293011" w14:textId="77777777" w:rsidR="00B440B3" w:rsidRPr="009257E7" w:rsidRDefault="00B440B3" w:rsidP="00E079F2">
      <w:pPr>
        <w:pStyle w:val="NormalWeb"/>
        <w:jc w:val="center"/>
        <w:rPr>
          <w:lang w:val="en-US"/>
        </w:rPr>
      </w:pPr>
      <w:r w:rsidRPr="009257E7">
        <w:rPr>
          <w:rStyle w:val="Strong"/>
          <w:lang w:val="en-US"/>
        </w:rPr>
        <w:t>BRADWELL V. STATE</w:t>
      </w:r>
      <w:r w:rsidRPr="009257E7">
        <w:rPr>
          <w:lang w:val="en-US"/>
        </w:rPr>
        <w:br/>
      </w:r>
      <w:r w:rsidRPr="009257E7">
        <w:rPr>
          <w:rStyle w:val="Strong"/>
          <w:lang w:val="en-US"/>
        </w:rPr>
        <w:t>83 U.S. 130 (1873)</w:t>
      </w:r>
    </w:p>
    <w:p w14:paraId="6425C501" w14:textId="77777777" w:rsidR="00B440B3" w:rsidRPr="009257E7" w:rsidRDefault="00B440B3" w:rsidP="00BC1306">
      <w:pPr>
        <w:pStyle w:val="NormalWeb"/>
        <w:ind w:firstLine="720"/>
        <w:rPr>
          <w:b/>
          <w:bCs/>
          <w:lang w:val="es-ES"/>
        </w:rPr>
      </w:pPr>
      <w:r w:rsidRPr="009257E7">
        <w:rPr>
          <w:rStyle w:val="Strong"/>
          <w:b w:val="0"/>
          <w:bCs w:val="0"/>
          <w:lang w:val="es-ES"/>
        </w:rPr>
        <w:t>EL JUEZ MILLER emitió la opinión de la Corte.</w:t>
      </w:r>
    </w:p>
    <w:p w14:paraId="1803A67C" w14:textId="23E48863" w:rsidR="00B440B3" w:rsidRPr="009257E7" w:rsidRDefault="00B440B3" w:rsidP="00BC1306">
      <w:pPr>
        <w:pStyle w:val="NormalWeb"/>
        <w:ind w:left="720"/>
        <w:rPr>
          <w:lang w:val="es-ES"/>
        </w:rPr>
      </w:pPr>
      <w:r w:rsidRPr="009257E7">
        <w:rPr>
          <w:lang w:val="es-ES"/>
        </w:rPr>
        <w:t>[...] Estamos de acuerdo [...] en que existen privilegios e inmunidades pertenecientes a l</w:t>
      </w:r>
      <w:r w:rsidR="00BC1306" w:rsidRPr="009257E7">
        <w:rPr>
          <w:lang w:val="es-ES"/>
        </w:rPr>
        <w:t>o</w:t>
      </w:r>
      <w:r w:rsidRPr="009257E7">
        <w:rPr>
          <w:lang w:val="es-ES"/>
        </w:rPr>
        <w:t>s ciudadan</w:t>
      </w:r>
      <w:r w:rsidR="00BC1306" w:rsidRPr="009257E7">
        <w:rPr>
          <w:lang w:val="es-ES"/>
        </w:rPr>
        <w:t>o</w:t>
      </w:r>
      <w:r w:rsidRPr="009257E7">
        <w:rPr>
          <w:lang w:val="es-ES"/>
        </w:rPr>
        <w:t xml:space="preserve">s de </w:t>
      </w:r>
      <w:r w:rsidR="00BC1306" w:rsidRPr="009257E7">
        <w:rPr>
          <w:lang w:val="es-ES"/>
        </w:rPr>
        <w:t xml:space="preserve">los </w:t>
      </w:r>
      <w:r w:rsidRPr="009257E7">
        <w:rPr>
          <w:lang w:val="es-ES"/>
        </w:rPr>
        <w:t>Estados Unidos, en esa relación y carácter, y que son estos, y solo estos, los que un Estado tiene prohibido menoscabar. Pero el derecho de admisión para ejercer [el derecho] ante los tribunales de un Estado no es uno de ellos. [...]</w:t>
      </w:r>
    </w:p>
    <w:p w14:paraId="5F16A4D5" w14:textId="77777777" w:rsidR="00B440B3" w:rsidRPr="009257E7" w:rsidRDefault="00B440B3" w:rsidP="00BC1306">
      <w:pPr>
        <w:pStyle w:val="NormalWeb"/>
        <w:ind w:firstLine="720"/>
        <w:rPr>
          <w:b/>
          <w:bCs/>
          <w:lang w:val="es-ES"/>
        </w:rPr>
      </w:pPr>
      <w:r w:rsidRPr="009257E7">
        <w:rPr>
          <w:rStyle w:val="Strong"/>
          <w:b w:val="0"/>
          <w:bCs w:val="0"/>
          <w:lang w:val="es-ES"/>
        </w:rPr>
        <w:t>EL JUEZ BRADLEY:</w:t>
      </w:r>
    </w:p>
    <w:p w14:paraId="02BE6BA8" w14:textId="77777777" w:rsidR="00B440B3" w:rsidRPr="009257E7" w:rsidRDefault="00B440B3" w:rsidP="00BC1306">
      <w:pPr>
        <w:pStyle w:val="NormalWeb"/>
        <w:ind w:firstLine="720"/>
        <w:rPr>
          <w:lang w:val="es-ES"/>
        </w:rPr>
      </w:pPr>
      <w:r w:rsidRPr="009257E7">
        <w:rPr>
          <w:lang w:val="es-ES"/>
        </w:rPr>
        <w:t>Concurro. [...]</w:t>
      </w:r>
    </w:p>
    <w:p w14:paraId="5E34AB33" w14:textId="63EB69BD" w:rsidR="00B440B3" w:rsidRPr="009257E7" w:rsidRDefault="00B440B3" w:rsidP="00BC1306">
      <w:pPr>
        <w:pStyle w:val="NormalWeb"/>
        <w:ind w:left="720"/>
        <w:rPr>
          <w:lang w:val="es-ES"/>
        </w:rPr>
      </w:pPr>
      <w:r w:rsidRPr="009257E7">
        <w:rPr>
          <w:lang w:val="es-ES"/>
        </w:rPr>
        <w:t xml:space="preserve">El hombre es, o debe ser, protector y defensor de la mujer. La timidez y </w:t>
      </w:r>
      <w:r w:rsidR="00BC1306" w:rsidRPr="009257E7">
        <w:rPr>
          <w:lang w:val="es-ES"/>
        </w:rPr>
        <w:t xml:space="preserve">la </w:t>
      </w:r>
      <w:r w:rsidRPr="009257E7">
        <w:rPr>
          <w:lang w:val="es-ES"/>
        </w:rPr>
        <w:t xml:space="preserve">delicadeza naturales y propias </w:t>
      </w:r>
      <w:r w:rsidR="00BC1306" w:rsidRPr="009257E7">
        <w:rPr>
          <w:lang w:val="es-ES"/>
        </w:rPr>
        <w:t>de</w:t>
      </w:r>
      <w:r w:rsidRPr="009257E7">
        <w:rPr>
          <w:lang w:val="es-ES"/>
        </w:rPr>
        <w:t xml:space="preserve">l sexo femenino evidentemente lo incapacitan para muchas de las ocupaciones de la vida civil. La constitución de la organización familiar, fundada </w:t>
      </w:r>
      <w:r w:rsidR="00024730" w:rsidRPr="009257E7">
        <w:rPr>
          <w:lang w:val="es-ES"/>
        </w:rPr>
        <w:t xml:space="preserve">tanto </w:t>
      </w:r>
      <w:r w:rsidRPr="009257E7">
        <w:rPr>
          <w:lang w:val="es-ES"/>
        </w:rPr>
        <w:t>en la ordenanza divina como en la naturaleza de las cosas, indica la esfera doméstica como la que pertenece propiamente al dominio y a las funciones de la feminidad. La armonía, por no decir identidad, de intereses y visiones que pertenecen, o deberían pertenecer, a la institución familiar es contraria a la idea de que una mujer adopte una carrera distinta e independiente de la de su marido. [...]</w:t>
      </w:r>
    </w:p>
    <w:p w14:paraId="2598B2F3" w14:textId="78CA2C90" w:rsidR="00B440B3" w:rsidRPr="009257E7" w:rsidRDefault="00B440B3" w:rsidP="00BC1306">
      <w:pPr>
        <w:pStyle w:val="NormalWeb"/>
        <w:ind w:left="720"/>
        <w:rPr>
          <w:lang w:val="es-ES"/>
        </w:rPr>
      </w:pPr>
      <w:r w:rsidRPr="009257E7">
        <w:rPr>
          <w:lang w:val="es-ES"/>
        </w:rPr>
        <w:t xml:space="preserve">El destino y la misión supremos de la mujer </w:t>
      </w:r>
      <w:r w:rsidR="00024730" w:rsidRPr="009257E7">
        <w:rPr>
          <w:lang w:val="es-ES"/>
        </w:rPr>
        <w:t>consisten e</w:t>
      </w:r>
      <w:r w:rsidRPr="009257E7">
        <w:rPr>
          <w:lang w:val="es-ES"/>
        </w:rPr>
        <w:t xml:space="preserve">n cumplir los oficios nobles y benignos de esposa y </w:t>
      </w:r>
      <w:r w:rsidR="00024730" w:rsidRPr="009257E7">
        <w:rPr>
          <w:lang w:val="es-ES"/>
        </w:rPr>
        <w:t xml:space="preserve">de </w:t>
      </w:r>
      <w:r w:rsidRPr="009257E7">
        <w:rPr>
          <w:lang w:val="es-ES"/>
        </w:rPr>
        <w:t>madre. Esta es la ley del Creador. [...]</w:t>
      </w:r>
    </w:p>
    <w:p w14:paraId="0882EE94" w14:textId="13A03143" w:rsidR="002F7971" w:rsidRPr="009257E7" w:rsidRDefault="00B440B3" w:rsidP="002F7971">
      <w:pPr>
        <w:pStyle w:val="NormalWeb"/>
        <w:ind w:firstLine="720"/>
        <w:rPr>
          <w:lang w:val="es-ES"/>
        </w:rPr>
      </w:pPr>
      <w:r w:rsidRPr="009257E7">
        <w:rPr>
          <w:lang w:val="es-ES"/>
        </w:rPr>
        <w:t xml:space="preserve">Como ilustran </w:t>
      </w:r>
      <w:proofErr w:type="spellStart"/>
      <w:r w:rsidRPr="009257E7">
        <w:rPr>
          <w:rStyle w:val="Emphasis"/>
          <w:lang w:val="es-ES"/>
        </w:rPr>
        <w:t>M’Intosh</w:t>
      </w:r>
      <w:proofErr w:type="spellEnd"/>
      <w:r w:rsidRPr="009257E7">
        <w:rPr>
          <w:lang w:val="es-ES"/>
        </w:rPr>
        <w:t xml:space="preserve">, </w:t>
      </w:r>
      <w:r w:rsidRPr="009257E7">
        <w:rPr>
          <w:rStyle w:val="Emphasis"/>
          <w:lang w:val="es-ES"/>
        </w:rPr>
        <w:t>Scott</w:t>
      </w:r>
      <w:r w:rsidRPr="009257E7">
        <w:rPr>
          <w:lang w:val="es-ES"/>
        </w:rPr>
        <w:t xml:space="preserve"> y </w:t>
      </w:r>
      <w:r w:rsidRPr="009257E7">
        <w:rPr>
          <w:rStyle w:val="Emphasis"/>
          <w:lang w:val="es-ES"/>
        </w:rPr>
        <w:t>Bradwell</w:t>
      </w:r>
      <w:r w:rsidRPr="009257E7">
        <w:rPr>
          <w:lang w:val="es-ES"/>
        </w:rPr>
        <w:t xml:space="preserve">, </w:t>
      </w:r>
      <w:r w:rsidR="00C12584" w:rsidRPr="009257E7">
        <w:rPr>
          <w:lang w:val="es-ES"/>
        </w:rPr>
        <w:t xml:space="preserve">los </w:t>
      </w:r>
      <w:r w:rsidRPr="009257E7">
        <w:rPr>
          <w:lang w:val="es-ES"/>
        </w:rPr>
        <w:t xml:space="preserve">individuos indígenas, negros y femeninos sufrieron porque la toma de decisiones judiciales </w:t>
      </w:r>
      <w:r w:rsidR="00C12584" w:rsidRPr="009257E7">
        <w:rPr>
          <w:lang w:val="es-ES"/>
        </w:rPr>
        <w:t>se</w:t>
      </w:r>
      <w:r w:rsidRPr="009257E7">
        <w:rPr>
          <w:lang w:val="es-ES"/>
        </w:rPr>
        <w:t xml:space="preserve"> bas</w:t>
      </w:r>
      <w:r w:rsidR="00C12584" w:rsidRPr="009257E7">
        <w:rPr>
          <w:lang w:val="es-ES"/>
        </w:rPr>
        <w:t>ó</w:t>
      </w:r>
      <w:r w:rsidRPr="009257E7">
        <w:rPr>
          <w:lang w:val="es-ES"/>
        </w:rPr>
        <w:t xml:space="preserve"> en la identidad</w:t>
      </w:r>
      <w:r w:rsidR="00C12584" w:rsidRPr="009257E7">
        <w:rPr>
          <w:lang w:val="es-ES"/>
        </w:rPr>
        <w:t xml:space="preserve"> de los grupos</w:t>
      </w:r>
      <w:r w:rsidRPr="009257E7">
        <w:rPr>
          <w:lang w:val="es-ES"/>
        </w:rPr>
        <w:t xml:space="preserve"> a los que pertenecían para subordinarlos. El señalamiento grupal también operó contra identidades que surgieron como “nuevas” áreas de lucha. En </w:t>
      </w:r>
      <w:r w:rsidRPr="009257E7">
        <w:rPr>
          <w:rStyle w:val="Emphasis"/>
          <w:lang w:val="es-ES"/>
        </w:rPr>
        <w:t>Downes v. Bidwell</w:t>
      </w:r>
      <w:r w:rsidRPr="009257E7">
        <w:rPr>
          <w:lang w:val="es-ES"/>
        </w:rPr>
        <w:t xml:space="preserve">, la Corte decidió que algunos grupos no son aptos para formar parte de </w:t>
      </w:r>
      <w:r w:rsidR="00186841" w:rsidRPr="009257E7">
        <w:rPr>
          <w:lang w:val="es-ES"/>
        </w:rPr>
        <w:t xml:space="preserve">los </w:t>
      </w:r>
      <w:r w:rsidRPr="009257E7">
        <w:rPr>
          <w:lang w:val="es-ES"/>
        </w:rPr>
        <w:t>Estados Unidos</w:t>
      </w:r>
      <w:r w:rsidR="00186841" w:rsidRPr="009257E7">
        <w:rPr>
          <w:lang w:val="es-ES"/>
        </w:rPr>
        <w:t xml:space="preserve">, </w:t>
      </w:r>
      <w:r w:rsidRPr="009257E7">
        <w:rPr>
          <w:lang w:val="es-ES"/>
        </w:rPr>
        <w:t xml:space="preserve">con base en identidades que los hacen “diferentes”. </w:t>
      </w:r>
      <w:r w:rsidR="002F7971" w:rsidRPr="009257E7">
        <w:rPr>
          <w:lang w:val="es-ES"/>
        </w:rPr>
        <w:t xml:space="preserve">El Tribunal declaró, en este y en los demás </w:t>
      </w:r>
      <w:r w:rsidR="002F7971" w:rsidRPr="009257E7">
        <w:rPr>
          <w:i/>
          <w:iCs/>
          <w:lang w:val="es-ES"/>
        </w:rPr>
        <w:t>casos insulares,</w:t>
      </w:r>
      <w:r w:rsidR="002F7971" w:rsidRPr="009257E7">
        <w:rPr>
          <w:lang w:val="es-ES"/>
        </w:rPr>
        <w:t xml:space="preserve"> que la Constitución no rige la ley en absoluto en algunos lugares, en determinados momentos y para ciertas personas —una conclusión necesaria, según afirman los magistrados, para defender el “imperio estadounidense” que la ley, como sistema, está destinada a proteger.</w:t>
      </w:r>
    </w:p>
    <w:p w14:paraId="58A21A7C" w14:textId="77777777" w:rsidR="00B440B3" w:rsidRPr="009257E7" w:rsidRDefault="00B440B3" w:rsidP="004D2F78">
      <w:pPr>
        <w:pStyle w:val="NormalWeb"/>
        <w:jc w:val="center"/>
        <w:rPr>
          <w:lang w:val="en-US"/>
        </w:rPr>
      </w:pPr>
      <w:r w:rsidRPr="009257E7">
        <w:rPr>
          <w:rStyle w:val="Strong"/>
          <w:lang w:val="en-US"/>
        </w:rPr>
        <w:t>DOWNES V. BIDWELL</w:t>
      </w:r>
      <w:r w:rsidRPr="009257E7">
        <w:rPr>
          <w:lang w:val="en-US"/>
        </w:rPr>
        <w:br/>
      </w:r>
      <w:r w:rsidRPr="009257E7">
        <w:rPr>
          <w:rStyle w:val="Strong"/>
          <w:lang w:val="en-US"/>
        </w:rPr>
        <w:t>182 U.S. 244 (1901)</w:t>
      </w:r>
    </w:p>
    <w:p w14:paraId="5DDEF544" w14:textId="1AE23536" w:rsidR="00B440B3" w:rsidRPr="009257E7" w:rsidRDefault="00B440B3" w:rsidP="00FE5536">
      <w:pPr>
        <w:pStyle w:val="NormalWeb"/>
        <w:ind w:left="720"/>
        <w:rPr>
          <w:lang w:val="es-ES"/>
        </w:rPr>
      </w:pPr>
      <w:r w:rsidRPr="009257E7">
        <w:rPr>
          <w:lang w:val="es-ES"/>
        </w:rPr>
        <w:t xml:space="preserve">[...] Es obvio </w:t>
      </w:r>
      <w:r w:rsidR="00D87305" w:rsidRPr="009257E7">
        <w:rPr>
          <w:lang w:val="es-ES"/>
        </w:rPr>
        <w:t xml:space="preserve">que, con la anexión de posesiones periféricas y distantes, surgirán preguntas graves por diferencias de raza, hábitos, leyes y costumbres de los pueblos, y por </w:t>
      </w:r>
      <w:r w:rsidR="00D87305" w:rsidRPr="009257E7">
        <w:rPr>
          <w:lang w:val="es-ES"/>
        </w:rPr>
        <w:lastRenderedPageBreak/>
        <w:t>diferencias de suelo, clima y producción, que pueden requerir acción por parte del Congreso, lo cual sería totalmente innecesario en la anexión de territorio contiguo habitado solo por personas de la misma raza</w:t>
      </w:r>
      <w:r w:rsidRPr="009257E7">
        <w:rPr>
          <w:lang w:val="es-ES"/>
        </w:rPr>
        <w:t xml:space="preserve"> o por grupos dispersos de indígenas nativos.</w:t>
      </w:r>
    </w:p>
    <w:p w14:paraId="4D7412F6" w14:textId="373F4941" w:rsidR="00B440B3" w:rsidRPr="009257E7" w:rsidRDefault="00B440B3" w:rsidP="00FE5536">
      <w:pPr>
        <w:pStyle w:val="NormalWeb"/>
        <w:ind w:left="720"/>
        <w:rPr>
          <w:lang w:val="es-ES"/>
        </w:rPr>
      </w:pPr>
      <w:r w:rsidRPr="009257E7">
        <w:rPr>
          <w:lang w:val="es-ES"/>
        </w:rPr>
        <w:t>[...] Un paso falso en este momento podría ser fatal para el desarrollo de [...] el imperio americano. [...] [L]as posesiones [pueden estar] habitadas por razas extranjeras, distintas de nosotr</w:t>
      </w:r>
      <w:r w:rsidR="002D2305" w:rsidRPr="009257E7">
        <w:rPr>
          <w:lang w:val="es-ES"/>
        </w:rPr>
        <w:t>o</w:t>
      </w:r>
      <w:r w:rsidRPr="009257E7">
        <w:rPr>
          <w:lang w:val="es-ES"/>
        </w:rPr>
        <w:t>s en religión, costumbres, leyes, métodos de tributación y modos de pensamiento, [y] la administración del gobierno y la justicia, conforme a principios anglosajones, puede ser imposible por un tiempo. [...] Nos negamos a sostener que haya algo en la Constitución que prohíba tal acción. [...]</w:t>
      </w:r>
    </w:p>
    <w:p w14:paraId="7908385D" w14:textId="74AF6357" w:rsidR="00B440B3" w:rsidRPr="009257E7" w:rsidRDefault="00B440B3" w:rsidP="00FE5536">
      <w:pPr>
        <w:pStyle w:val="NormalWeb"/>
        <w:ind w:firstLine="720"/>
        <w:rPr>
          <w:lang w:val="es-ES"/>
        </w:rPr>
      </w:pPr>
      <w:r w:rsidRPr="009257E7">
        <w:rPr>
          <w:lang w:val="es-ES"/>
        </w:rPr>
        <w:t>La suposición de que las personas con discapacidad intelectual no son aptas para criar hij</w:t>
      </w:r>
      <w:r w:rsidR="009660C8" w:rsidRPr="009257E7">
        <w:rPr>
          <w:lang w:val="es-ES"/>
        </w:rPr>
        <w:t>o</w:t>
      </w:r>
      <w:r w:rsidRPr="009257E7">
        <w:rPr>
          <w:lang w:val="es-ES"/>
        </w:rPr>
        <w:t xml:space="preserve">s tiene una </w:t>
      </w:r>
      <w:r w:rsidR="009660C8" w:rsidRPr="009257E7">
        <w:rPr>
          <w:lang w:val="es-ES"/>
        </w:rPr>
        <w:t>historia larga</w:t>
      </w:r>
      <w:r w:rsidRPr="009257E7">
        <w:rPr>
          <w:lang w:val="es-ES"/>
        </w:rPr>
        <w:t xml:space="preserve">. </w:t>
      </w:r>
      <w:r w:rsidRPr="009257E7">
        <w:rPr>
          <w:rStyle w:val="Emphasis"/>
          <w:lang w:val="es-ES"/>
        </w:rPr>
        <w:t>Buck v. Bell</w:t>
      </w:r>
      <w:r w:rsidRPr="009257E7">
        <w:rPr>
          <w:lang w:val="es-ES"/>
        </w:rPr>
        <w:t xml:space="preserve"> surgió en el auge del movimiento eugenésico, que buscaba impedir que madres y padres “no aptos” se reprodujeran. Carrie Buck tenía 17 años y estaba embarazada, tras haber sido violada, cuando llegó a la institución estatal. Después de dar a luz, el superintendente de la institución ordenó que fuera esterilizada, una </w:t>
      </w:r>
      <w:r w:rsidR="00907BC8" w:rsidRPr="009257E7">
        <w:rPr>
          <w:lang w:val="es-ES"/>
        </w:rPr>
        <w:t>medida</w:t>
      </w:r>
      <w:r w:rsidRPr="009257E7">
        <w:rPr>
          <w:lang w:val="es-ES"/>
        </w:rPr>
        <w:t xml:space="preserve"> </w:t>
      </w:r>
      <w:r w:rsidR="00907BC8" w:rsidRPr="009257E7">
        <w:rPr>
          <w:lang w:val="es-ES"/>
        </w:rPr>
        <w:t>autoriza</w:t>
      </w:r>
      <w:r w:rsidRPr="009257E7">
        <w:rPr>
          <w:lang w:val="es-ES"/>
        </w:rPr>
        <w:t xml:space="preserve">da </w:t>
      </w:r>
      <w:r w:rsidR="009660C8" w:rsidRPr="009257E7">
        <w:rPr>
          <w:lang w:val="es-ES"/>
        </w:rPr>
        <w:t>por</w:t>
      </w:r>
      <w:r w:rsidRPr="009257E7">
        <w:rPr>
          <w:lang w:val="es-ES"/>
        </w:rPr>
        <w:t xml:space="preserve"> la ley de esterilización de Virginia. En </w:t>
      </w:r>
      <w:r w:rsidRPr="009257E7">
        <w:rPr>
          <w:rStyle w:val="Emphasis"/>
          <w:lang w:val="es-ES"/>
        </w:rPr>
        <w:t>Buck</w:t>
      </w:r>
      <w:r w:rsidRPr="009257E7">
        <w:rPr>
          <w:lang w:val="es-ES"/>
        </w:rPr>
        <w:t xml:space="preserve">, los jueces sostuvieron la ley y afirmaron que “tres generaciones de imbéciles son suficientes”, en referencia a la madre de Carrie, a Carrie y a su hija recién nacida. La justificación de la Corte </w:t>
      </w:r>
      <w:r w:rsidR="00907BC8" w:rsidRPr="009257E7">
        <w:rPr>
          <w:lang w:val="es-ES"/>
        </w:rPr>
        <w:t>se ba</w:t>
      </w:r>
      <w:r w:rsidRPr="009257E7">
        <w:rPr>
          <w:lang w:val="es-ES"/>
        </w:rPr>
        <w:t>só en la noción de que “el mejor interés de l</w:t>
      </w:r>
      <w:r w:rsidR="00907BC8" w:rsidRPr="009257E7">
        <w:rPr>
          <w:lang w:val="es-ES"/>
        </w:rPr>
        <w:t>os</w:t>
      </w:r>
      <w:r w:rsidRPr="009257E7">
        <w:rPr>
          <w:lang w:val="es-ES"/>
        </w:rPr>
        <w:t xml:space="preserve"> pacientes y de la sociedad” se servía mediante la esterilización de mujeres con discapacidad intelectual, consideradas “no aptas” como grupo.</w:t>
      </w:r>
    </w:p>
    <w:p w14:paraId="4B672F30" w14:textId="77777777" w:rsidR="00B440B3" w:rsidRPr="009257E7" w:rsidRDefault="00B440B3" w:rsidP="009779BC">
      <w:pPr>
        <w:pStyle w:val="NormalWeb"/>
        <w:jc w:val="center"/>
        <w:rPr>
          <w:lang w:val="en-US"/>
        </w:rPr>
      </w:pPr>
      <w:r w:rsidRPr="009257E7">
        <w:rPr>
          <w:rStyle w:val="Strong"/>
          <w:lang w:val="en-US"/>
        </w:rPr>
        <w:t>BUCK V. BELL</w:t>
      </w:r>
      <w:r w:rsidRPr="009257E7">
        <w:rPr>
          <w:lang w:val="en-US"/>
        </w:rPr>
        <w:br/>
      </w:r>
      <w:r w:rsidRPr="009257E7">
        <w:rPr>
          <w:rStyle w:val="Strong"/>
          <w:lang w:val="en-US"/>
        </w:rPr>
        <w:t>274 U.S. 200 (1927)</w:t>
      </w:r>
    </w:p>
    <w:p w14:paraId="508A1163" w14:textId="35FAAF1C" w:rsidR="00B440B3" w:rsidRPr="009257E7" w:rsidRDefault="00B440B3" w:rsidP="009779BC">
      <w:pPr>
        <w:pStyle w:val="NormalWeb"/>
        <w:ind w:left="720"/>
        <w:rPr>
          <w:lang w:val="es-ES"/>
        </w:rPr>
      </w:pPr>
      <w:r w:rsidRPr="009257E7">
        <w:rPr>
          <w:lang w:val="es-ES"/>
        </w:rPr>
        <w:t xml:space="preserve">[...] Es mejor para todo el mundo si, en lugar de esperar a ejecutar por delitos a </w:t>
      </w:r>
      <w:r w:rsidR="00E113A8" w:rsidRPr="009257E7">
        <w:rPr>
          <w:lang w:val="es-ES"/>
        </w:rPr>
        <w:t xml:space="preserve">la </w:t>
      </w:r>
      <w:r w:rsidRPr="009257E7">
        <w:rPr>
          <w:lang w:val="es-ES"/>
        </w:rPr>
        <w:t>descendencia degenerada, o dejarla morir de hambre por su imbecilidad, la sociedad puede impedir que quienes son manifiestamente no aptos continúen su especie. El principio que s</w:t>
      </w:r>
      <w:r w:rsidR="00E113A8" w:rsidRPr="009257E7">
        <w:rPr>
          <w:lang w:val="es-ES"/>
        </w:rPr>
        <w:t>ustenta</w:t>
      </w:r>
      <w:r w:rsidRPr="009257E7">
        <w:rPr>
          <w:lang w:val="es-ES"/>
        </w:rPr>
        <w:t xml:space="preserve"> la vacunación obligatoria es lo suficientemente amplio</w:t>
      </w:r>
      <w:r w:rsidR="00E113A8" w:rsidRPr="009257E7">
        <w:rPr>
          <w:lang w:val="es-ES"/>
        </w:rPr>
        <w:t xml:space="preserve"> como</w:t>
      </w:r>
      <w:r w:rsidRPr="009257E7">
        <w:rPr>
          <w:lang w:val="es-ES"/>
        </w:rPr>
        <w:t xml:space="preserve"> para cubrir el corte de las trompas de Falopio. [...] Tres generaciones de imbéciles son suficientes. [...]</w:t>
      </w:r>
    </w:p>
    <w:p w14:paraId="5BC9F1B5" w14:textId="2B1656FC" w:rsidR="00B440B3" w:rsidRPr="009257E7" w:rsidRDefault="00B440B3" w:rsidP="007C0134">
      <w:pPr>
        <w:pStyle w:val="NormalWeb"/>
        <w:ind w:firstLine="720"/>
        <w:rPr>
          <w:lang w:val="es-ES"/>
        </w:rPr>
      </w:pPr>
      <w:r w:rsidRPr="009257E7">
        <w:rPr>
          <w:lang w:val="es-ES"/>
        </w:rPr>
        <w:t xml:space="preserve">En el siguiente caso, la Corte bendijo el </w:t>
      </w:r>
      <w:r w:rsidR="00B53C17" w:rsidRPr="009257E7">
        <w:rPr>
          <w:lang w:val="es-ES"/>
        </w:rPr>
        <w:t>confina</w:t>
      </w:r>
      <w:r w:rsidRPr="009257E7">
        <w:rPr>
          <w:lang w:val="es-ES"/>
        </w:rPr>
        <w:t xml:space="preserve">miento colectivo y la confiscación de </w:t>
      </w:r>
      <w:r w:rsidR="00B53C17" w:rsidRPr="009257E7">
        <w:rPr>
          <w:lang w:val="es-ES"/>
        </w:rPr>
        <w:t xml:space="preserve">la </w:t>
      </w:r>
      <w:r w:rsidRPr="009257E7">
        <w:rPr>
          <w:lang w:val="es-ES"/>
        </w:rPr>
        <w:t>propiedad con base en la pertenencia a un grupo identitario. Las personas de ascendencia japonesa residentes en Estados Unidos</w:t>
      </w:r>
      <w:r w:rsidR="00B53C17" w:rsidRPr="009257E7">
        <w:rPr>
          <w:lang w:val="es-ES"/>
        </w:rPr>
        <w:t>,</w:t>
      </w:r>
      <w:r w:rsidRPr="009257E7">
        <w:rPr>
          <w:lang w:val="es-ES"/>
        </w:rPr>
        <w:t xml:space="preserve"> durante la guerra de la década de 1940</w:t>
      </w:r>
      <w:r w:rsidR="00B53C17" w:rsidRPr="009257E7">
        <w:rPr>
          <w:lang w:val="es-ES"/>
        </w:rPr>
        <w:t>,</w:t>
      </w:r>
      <w:r w:rsidRPr="009257E7">
        <w:rPr>
          <w:lang w:val="es-ES"/>
        </w:rPr>
        <w:t xml:space="preserve"> fueron consideradas una amenaza para la seguridad nacional. Para ese momento, la Cláusula de Igual Protección de la Decimocuarta Enmienda había sido parte formal de la Constitución durante casi un siglo, pero su promesa de igualdad seguía sin </w:t>
      </w:r>
      <w:r w:rsidR="00B53C17" w:rsidRPr="009257E7">
        <w:rPr>
          <w:lang w:val="es-ES"/>
        </w:rPr>
        <w:t>materi</w:t>
      </w:r>
      <w:r w:rsidRPr="009257E7">
        <w:rPr>
          <w:lang w:val="es-ES"/>
        </w:rPr>
        <w:t>alizarse.</w:t>
      </w:r>
    </w:p>
    <w:p w14:paraId="6D4A986C" w14:textId="77777777" w:rsidR="00B440B3" w:rsidRPr="009257E7" w:rsidRDefault="00B440B3" w:rsidP="00B53C17">
      <w:pPr>
        <w:pStyle w:val="NormalWeb"/>
        <w:jc w:val="center"/>
        <w:rPr>
          <w:lang w:val="en-US"/>
        </w:rPr>
      </w:pPr>
      <w:r w:rsidRPr="009257E7">
        <w:rPr>
          <w:rStyle w:val="Strong"/>
          <w:lang w:val="en-US"/>
        </w:rPr>
        <w:t>KOREMATSU V. UNITED STATES</w:t>
      </w:r>
      <w:r w:rsidRPr="009257E7">
        <w:rPr>
          <w:lang w:val="en-US"/>
        </w:rPr>
        <w:br/>
      </w:r>
      <w:r w:rsidRPr="009257E7">
        <w:rPr>
          <w:rStyle w:val="Strong"/>
          <w:lang w:val="en-US"/>
        </w:rPr>
        <w:t>323 U.S. 214 (1944)</w:t>
      </w:r>
    </w:p>
    <w:p w14:paraId="61C6681C" w14:textId="0684AB93" w:rsidR="00B440B3" w:rsidRPr="009257E7" w:rsidRDefault="00B440B3" w:rsidP="00B53C17">
      <w:pPr>
        <w:pStyle w:val="NormalWeb"/>
        <w:ind w:left="720"/>
        <w:rPr>
          <w:lang w:val="es-ES"/>
        </w:rPr>
      </w:pPr>
      <w:r w:rsidRPr="009257E7">
        <w:rPr>
          <w:lang w:val="es-ES"/>
        </w:rPr>
        <w:t>[...] Nuestra tarea sería simple, nuestro deber claro, si este fuera un caso que involucrara el encarcelamiento de un ciudadan</w:t>
      </w:r>
      <w:r w:rsidR="00AB34B8" w:rsidRPr="009257E7">
        <w:rPr>
          <w:lang w:val="es-ES"/>
        </w:rPr>
        <w:t>o</w:t>
      </w:r>
      <w:r w:rsidRPr="009257E7">
        <w:rPr>
          <w:lang w:val="es-ES"/>
        </w:rPr>
        <w:t xml:space="preserve"> leal en un campo de concentración por prejuicio racial. [...] </w:t>
      </w:r>
      <w:proofErr w:type="spellStart"/>
      <w:r w:rsidRPr="009257E7">
        <w:rPr>
          <w:lang w:val="es-ES"/>
        </w:rPr>
        <w:t>Korematsu</w:t>
      </w:r>
      <w:proofErr w:type="spellEnd"/>
      <w:r w:rsidRPr="009257E7">
        <w:rPr>
          <w:lang w:val="es-ES"/>
        </w:rPr>
        <w:t xml:space="preserve"> no fue excluido del Área Militar por hostilidad hacia él </w:t>
      </w:r>
      <w:r w:rsidR="00AB34B8" w:rsidRPr="009257E7">
        <w:rPr>
          <w:lang w:val="es-ES"/>
        </w:rPr>
        <w:t>ni</w:t>
      </w:r>
      <w:r w:rsidRPr="009257E7">
        <w:rPr>
          <w:lang w:val="es-ES"/>
        </w:rPr>
        <w:t xml:space="preserve"> hacia su raza. Fue excluido porque estamos en guerra con el Imperio japonés, porque las </w:t>
      </w:r>
      <w:r w:rsidRPr="009257E7">
        <w:rPr>
          <w:lang w:val="es-ES"/>
        </w:rPr>
        <w:lastRenderedPageBreak/>
        <w:t>autoridades militares debidamente constituidas temían una invasión de nuestra Costa Oeste y se sintieron obligadas a tomar medidas de seguridad apropiadas, porque decidieron que la urgencia militar de la situación exigía que tod</w:t>
      </w:r>
      <w:r w:rsidR="00AB34B8" w:rsidRPr="009257E7">
        <w:rPr>
          <w:lang w:val="es-ES"/>
        </w:rPr>
        <w:t>o</w:t>
      </w:r>
      <w:r w:rsidRPr="009257E7">
        <w:rPr>
          <w:lang w:val="es-ES"/>
        </w:rPr>
        <w:t>s l</w:t>
      </w:r>
      <w:r w:rsidR="00AB34B8" w:rsidRPr="009257E7">
        <w:rPr>
          <w:lang w:val="es-ES"/>
        </w:rPr>
        <w:t>o</w:t>
      </w:r>
      <w:r w:rsidRPr="009257E7">
        <w:rPr>
          <w:lang w:val="es-ES"/>
        </w:rPr>
        <w:t>s ciudadan</w:t>
      </w:r>
      <w:r w:rsidR="00AB34B8" w:rsidRPr="009257E7">
        <w:rPr>
          <w:lang w:val="es-ES"/>
        </w:rPr>
        <w:t>o</w:t>
      </w:r>
      <w:r w:rsidRPr="009257E7">
        <w:rPr>
          <w:lang w:val="es-ES"/>
        </w:rPr>
        <w:t>s de ascendencia japonesa fueran segregad</w:t>
      </w:r>
      <w:r w:rsidR="00AB34B8" w:rsidRPr="009257E7">
        <w:rPr>
          <w:lang w:val="es-ES"/>
        </w:rPr>
        <w:t>o</w:t>
      </w:r>
      <w:r w:rsidRPr="009257E7">
        <w:rPr>
          <w:lang w:val="es-ES"/>
        </w:rPr>
        <w:t>s temporalmente de la Costa Oeste, y finalmente, porque el Congreso, al depositar su confianza en nuestros líderes militares en tiempos de guerra —como inevitablemente debe hacerlo—, determinó que debían tener el poder para hacer precisamente esto. Había evidencia de deslealtad por parte de algun</w:t>
      </w:r>
      <w:r w:rsidR="00AB34B8" w:rsidRPr="009257E7">
        <w:rPr>
          <w:lang w:val="es-ES"/>
        </w:rPr>
        <w:t>o</w:t>
      </w:r>
      <w:r w:rsidRPr="009257E7">
        <w:rPr>
          <w:lang w:val="es-ES"/>
        </w:rPr>
        <w:t>s</w:t>
      </w:r>
      <w:r w:rsidR="00B0544E" w:rsidRPr="009257E7">
        <w:rPr>
          <w:lang w:val="es-ES"/>
        </w:rPr>
        <w:t>;</w:t>
      </w:r>
      <w:r w:rsidRPr="009257E7">
        <w:rPr>
          <w:lang w:val="es-ES"/>
        </w:rPr>
        <w:t xml:space="preserve"> las autoridades militares consideraron que la necesidad de actuar era </w:t>
      </w:r>
      <w:r w:rsidR="00B0544E" w:rsidRPr="009257E7">
        <w:rPr>
          <w:lang w:val="es-ES"/>
        </w:rPr>
        <w:t>apremiant</w:t>
      </w:r>
      <w:r w:rsidRPr="009257E7">
        <w:rPr>
          <w:lang w:val="es-ES"/>
        </w:rPr>
        <w:t>e y el tiempo</w:t>
      </w:r>
      <w:r w:rsidR="00B0544E" w:rsidRPr="009257E7">
        <w:rPr>
          <w:lang w:val="es-ES"/>
        </w:rPr>
        <w:t>,</w:t>
      </w:r>
      <w:r w:rsidRPr="009257E7">
        <w:rPr>
          <w:lang w:val="es-ES"/>
        </w:rPr>
        <w:t xml:space="preserve"> corto.</w:t>
      </w:r>
    </w:p>
    <w:p w14:paraId="1394E433" w14:textId="43EDB8A8" w:rsidR="00B440B3" w:rsidRPr="009257E7" w:rsidRDefault="00B440B3" w:rsidP="00AB34B8">
      <w:pPr>
        <w:pStyle w:val="NormalWeb"/>
        <w:ind w:firstLine="720"/>
        <w:rPr>
          <w:lang w:val="es-ES"/>
        </w:rPr>
      </w:pPr>
      <w:r w:rsidRPr="009257E7">
        <w:rPr>
          <w:lang w:val="es-ES"/>
        </w:rPr>
        <w:t xml:space="preserve">Aunque pretendía mantenerse vigilante </w:t>
      </w:r>
      <w:r w:rsidR="00B0544E" w:rsidRPr="009257E7">
        <w:rPr>
          <w:lang w:val="es-ES"/>
        </w:rPr>
        <w:t>ante</w:t>
      </w:r>
      <w:r w:rsidRPr="009257E7">
        <w:rPr>
          <w:lang w:val="es-ES"/>
        </w:rPr>
        <w:t xml:space="preserve"> </w:t>
      </w:r>
      <w:r w:rsidR="00B0544E" w:rsidRPr="009257E7">
        <w:rPr>
          <w:lang w:val="es-ES"/>
        </w:rPr>
        <w:t>el</w:t>
      </w:r>
      <w:r w:rsidRPr="009257E7">
        <w:rPr>
          <w:lang w:val="es-ES"/>
        </w:rPr>
        <w:t xml:space="preserve"> uso de identidades para legalizar la desigualdad colectiva, la Corte en </w:t>
      </w:r>
      <w:proofErr w:type="spellStart"/>
      <w:r w:rsidRPr="009257E7">
        <w:rPr>
          <w:rStyle w:val="Emphasis"/>
          <w:lang w:val="es-ES"/>
        </w:rPr>
        <w:t>Korematsu</w:t>
      </w:r>
      <w:proofErr w:type="spellEnd"/>
      <w:r w:rsidRPr="009257E7">
        <w:rPr>
          <w:lang w:val="es-ES"/>
        </w:rPr>
        <w:t xml:space="preserve"> hizo precisamente eso. La Corte permitió la detención indefinida de un grupo entero únicamente con base en temores relacionados con la identidad: temores de deslealtad que luego se revelaron no solo falsos, sino </w:t>
      </w:r>
      <w:r w:rsidR="00B0544E" w:rsidRPr="009257E7">
        <w:rPr>
          <w:lang w:val="es-ES"/>
        </w:rPr>
        <w:t>que</w:t>
      </w:r>
      <w:r w:rsidRPr="009257E7">
        <w:rPr>
          <w:lang w:val="es-ES"/>
        </w:rPr>
        <w:t xml:space="preserve"> el gobierno </w:t>
      </w:r>
      <w:r w:rsidR="00B0544E" w:rsidRPr="009257E7">
        <w:rPr>
          <w:lang w:val="es-ES"/>
        </w:rPr>
        <w:t xml:space="preserve">los conocía </w:t>
      </w:r>
      <w:r w:rsidRPr="009257E7">
        <w:rPr>
          <w:lang w:val="es-ES"/>
        </w:rPr>
        <w:t xml:space="preserve">como </w:t>
      </w:r>
      <w:r w:rsidR="00B0544E" w:rsidRPr="009257E7">
        <w:rPr>
          <w:lang w:val="es-ES"/>
        </w:rPr>
        <w:t>tale</w:t>
      </w:r>
      <w:r w:rsidRPr="009257E7">
        <w:rPr>
          <w:lang w:val="es-ES"/>
        </w:rPr>
        <w:t>s al momento de las detenciones</w:t>
      </w:r>
      <w:r w:rsidR="00CA1D21" w:rsidRPr="009257E7">
        <w:rPr>
          <w:rStyle w:val="FootnoteReference"/>
          <w:lang w:val="es-ES"/>
        </w:rPr>
        <w:footnoteReference w:id="151"/>
      </w:r>
      <w:r w:rsidRPr="009257E7">
        <w:rPr>
          <w:lang w:val="es-ES"/>
        </w:rPr>
        <w:t>.</w:t>
      </w:r>
    </w:p>
    <w:p w14:paraId="52032CD4" w14:textId="2578605B" w:rsidR="00B440B3" w:rsidRPr="009257E7" w:rsidRDefault="00B440B3" w:rsidP="00B0544E">
      <w:pPr>
        <w:pStyle w:val="NormalWeb"/>
        <w:ind w:firstLine="720"/>
        <w:rPr>
          <w:lang w:val="es-ES"/>
        </w:rPr>
      </w:pPr>
      <w:r w:rsidRPr="009257E7">
        <w:rPr>
          <w:lang w:val="es-ES"/>
        </w:rPr>
        <w:t xml:space="preserve">Separada de las opresiones basadas en el género —aunque a menudo relacionada con ellas—, la identidad sexual también se usa para señalar a grupos desfavorecidos. La Corte Suprema sancionó el control opresivo de la sexualidad mediante el sistema de justicia penal tan recientemente como en 1986, en </w:t>
      </w:r>
      <w:r w:rsidRPr="009257E7">
        <w:rPr>
          <w:rStyle w:val="Emphasis"/>
          <w:lang w:val="es-ES"/>
        </w:rPr>
        <w:t>Bowers v. Hardwick</w:t>
      </w:r>
      <w:r w:rsidRPr="009257E7">
        <w:rPr>
          <w:lang w:val="es-ES"/>
        </w:rPr>
        <w:t xml:space="preserve">, 478 U.S. 186 (1986). Antes de cambiar de rumbo en 2003 en </w:t>
      </w:r>
      <w:r w:rsidRPr="009257E7">
        <w:rPr>
          <w:rStyle w:val="Emphasis"/>
          <w:lang w:val="es-ES"/>
        </w:rPr>
        <w:t>Lawrence v. Texas</w:t>
      </w:r>
      <w:r w:rsidRPr="009257E7">
        <w:rPr>
          <w:lang w:val="es-ES"/>
        </w:rPr>
        <w:t>, 539 U.S. 558, la Corte sostuvo la aplicación discriminatoria de leyes penales de sodomía a parejas homosexuales. Al concurrir con ese resultado de 1986, el presidente de la Corte Suprema</w:t>
      </w:r>
      <w:r w:rsidR="00CA1D21" w:rsidRPr="009257E7">
        <w:rPr>
          <w:lang w:val="es-ES"/>
        </w:rPr>
        <w:t>,</w:t>
      </w:r>
      <w:r w:rsidRPr="009257E7">
        <w:rPr>
          <w:lang w:val="es-ES"/>
        </w:rPr>
        <w:t xml:space="preserve"> Warren Burger</w:t>
      </w:r>
      <w:r w:rsidR="00CA1D21" w:rsidRPr="009257E7">
        <w:rPr>
          <w:lang w:val="es-ES"/>
        </w:rPr>
        <w:t>,</w:t>
      </w:r>
      <w:r w:rsidRPr="009257E7">
        <w:rPr>
          <w:lang w:val="es-ES"/>
        </w:rPr>
        <w:t xml:space="preserve"> citó costumbres y creencias que calificaban las intimidades entre personas del mismo sexo como una “malignidad más profunda” que la violación y una “desgracia para la naturaleza humana”. Como ocurre con otras identidades, </w:t>
      </w:r>
      <w:r w:rsidRPr="009257E7">
        <w:rPr>
          <w:rStyle w:val="Emphasis"/>
          <w:lang w:val="es-ES"/>
        </w:rPr>
        <w:t>Bowers</w:t>
      </w:r>
      <w:r w:rsidRPr="009257E7">
        <w:rPr>
          <w:lang w:val="es-ES"/>
        </w:rPr>
        <w:t xml:space="preserve"> usa creencias coloniales sobre identidades y grupos sociales</w:t>
      </w:r>
      <w:r w:rsidR="00CA1D21" w:rsidRPr="009257E7">
        <w:rPr>
          <w:lang w:val="es-ES"/>
        </w:rPr>
        <w:t>,</w:t>
      </w:r>
      <w:r w:rsidRPr="009257E7">
        <w:rPr>
          <w:lang w:val="es-ES"/>
        </w:rPr>
        <w:t xml:space="preserve"> para justificar la subordinación legalizada de poblaciones enteras.</w:t>
      </w:r>
    </w:p>
    <w:p w14:paraId="7E24C7D7" w14:textId="56E62F7B" w:rsidR="00765C2F" w:rsidRPr="009257E7" w:rsidRDefault="00B440B3" w:rsidP="006F73CA">
      <w:pPr>
        <w:pStyle w:val="NormalWeb"/>
        <w:rPr>
          <w:lang w:val="es-ES"/>
        </w:rPr>
      </w:pPr>
      <w:r w:rsidRPr="009257E7">
        <w:rPr>
          <w:lang w:val="es-ES"/>
        </w:rPr>
        <w:t>Las opiniones anteriores de la Corte Suprema demuestran el señalamiento de grupos</w:t>
      </w:r>
      <w:r w:rsidR="00CA1D21" w:rsidRPr="009257E7">
        <w:rPr>
          <w:lang w:val="es-ES"/>
        </w:rPr>
        <w:t>,</w:t>
      </w:r>
      <w:r w:rsidRPr="009257E7">
        <w:rPr>
          <w:lang w:val="es-ES"/>
        </w:rPr>
        <w:t xml:space="preserve"> </w:t>
      </w:r>
      <w:r w:rsidR="00CA1D21" w:rsidRPr="009257E7">
        <w:rPr>
          <w:lang w:val="es-ES"/>
        </w:rPr>
        <w:t>con</w:t>
      </w:r>
      <w:r w:rsidRPr="009257E7">
        <w:rPr>
          <w:lang w:val="es-ES"/>
        </w:rPr>
        <w:t xml:space="preserve"> ventajas y desventajas</w:t>
      </w:r>
      <w:r w:rsidR="00CA1D21" w:rsidRPr="009257E7">
        <w:rPr>
          <w:lang w:val="es-ES"/>
        </w:rPr>
        <w:t>,</w:t>
      </w:r>
      <w:r w:rsidRPr="009257E7">
        <w:rPr>
          <w:lang w:val="es-ES"/>
        </w:rPr>
        <w:t xml:space="preserve"> a través de identidades y tiempos distintos. Estos casos ilustran que las identidades se usan para justificar la injusticia sistémica: los resultados reales del sistema jurídico </w:t>
      </w:r>
      <w:r w:rsidR="002930E2" w:rsidRPr="009257E7">
        <w:rPr>
          <w:lang w:val="es-ES"/>
        </w:rPr>
        <w:t>en</w:t>
      </w:r>
      <w:r w:rsidRPr="009257E7">
        <w:rPr>
          <w:lang w:val="es-ES"/>
        </w:rPr>
        <w:t xml:space="preserve"> los últimos dos siglos</w:t>
      </w:r>
      <w:r w:rsidR="002930E2" w:rsidRPr="009257E7">
        <w:rPr>
          <w:lang w:val="es-ES"/>
        </w:rPr>
        <w:t xml:space="preserve"> se presentan</w:t>
      </w:r>
      <w:r w:rsidRPr="009257E7">
        <w:rPr>
          <w:lang w:val="es-ES"/>
        </w:rPr>
        <w:t xml:space="preserve"> como </w:t>
      </w:r>
      <w:r w:rsidR="002930E2" w:rsidRPr="009257E7">
        <w:rPr>
          <w:lang w:val="es-ES"/>
        </w:rPr>
        <w:t xml:space="preserve">un </w:t>
      </w:r>
      <w:r w:rsidRPr="009257E7">
        <w:rPr>
          <w:lang w:val="es-ES"/>
        </w:rPr>
        <w:t>rasgo intencional del derecho como sistema. A través de las eras, el derecho en</w:t>
      </w:r>
      <w:r w:rsidR="002930E2" w:rsidRPr="009257E7">
        <w:rPr>
          <w:lang w:val="es-ES"/>
        </w:rPr>
        <w:t xml:space="preserve"> los</w:t>
      </w:r>
      <w:r w:rsidRPr="009257E7">
        <w:rPr>
          <w:lang w:val="es-ES"/>
        </w:rPr>
        <w:t xml:space="preserve"> Estados Unidos ha funcionado tanto para mantener la desigualdad como para promover la igualdad, y lo ha hecho con frecuencia mediante la manipulación de ideologías identitarias supremacistas que imponen y hacen cumplir sistemas de casta todavía dominantes. Por esta razón, la ceguera al color hoy es un mito desde arriba</w:t>
      </w:r>
      <w:r w:rsidR="002930E2" w:rsidRPr="009257E7">
        <w:rPr>
          <w:lang w:val="es-ES"/>
        </w:rPr>
        <w:t xml:space="preserve">, </w:t>
      </w:r>
      <w:r w:rsidRPr="009257E7">
        <w:rPr>
          <w:lang w:val="es-ES"/>
        </w:rPr>
        <w:t>desplegado para justificar y perpetuar la desigualdad.</w:t>
      </w:r>
      <w:r w:rsidR="002930E2" w:rsidRPr="009257E7">
        <w:rPr>
          <w:lang w:val="es-ES"/>
        </w:rPr>
        <w:br/>
      </w:r>
      <w:r w:rsidR="008F5B70" w:rsidRPr="009257E7">
        <w:rPr>
          <w:b/>
          <w:bCs/>
          <w:lang w:val="es-ES"/>
        </w:rPr>
        <w:br/>
        <w:t xml:space="preserve">4.3 El </w:t>
      </w:r>
      <w:r w:rsidR="009103D7" w:rsidRPr="009257E7">
        <w:rPr>
          <w:b/>
          <w:bCs/>
          <w:lang w:val="es-ES"/>
        </w:rPr>
        <w:t xml:space="preserve">daltonismo </w:t>
      </w:r>
      <w:r w:rsidR="008F5B70" w:rsidRPr="009257E7">
        <w:rPr>
          <w:b/>
          <w:bCs/>
          <w:lang w:val="es-ES"/>
        </w:rPr>
        <w:t>racial es una ficción racista y un mito desde arriba</w:t>
      </w:r>
    </w:p>
    <w:p w14:paraId="56039A8E" w14:textId="53E8A8DF" w:rsidR="006F73CA" w:rsidRPr="009257E7" w:rsidRDefault="006F73CA" w:rsidP="00765C2F">
      <w:pPr>
        <w:pStyle w:val="NormalWeb"/>
        <w:ind w:firstLine="720"/>
        <w:rPr>
          <w:lang w:val="es-ES"/>
        </w:rPr>
      </w:pPr>
      <w:r w:rsidRPr="009257E7">
        <w:rPr>
          <w:lang w:val="es-ES"/>
        </w:rPr>
        <w:t xml:space="preserve">Un mito común en el derecho y la sociedad es la noción de que la ceguera al color y otras cegueras identitarias son correcciones neutrales y efectivas frente a siglos de supremacía blanca y </w:t>
      </w:r>
      <w:r w:rsidR="00765C2F" w:rsidRPr="009257E7">
        <w:rPr>
          <w:lang w:val="es-ES"/>
        </w:rPr>
        <w:t xml:space="preserve">de </w:t>
      </w:r>
      <w:r w:rsidRPr="009257E7">
        <w:rPr>
          <w:lang w:val="es-ES"/>
        </w:rPr>
        <w:t>heteropatriarcado. Las élites dependen de un</w:t>
      </w:r>
      <w:r w:rsidR="00765C2F" w:rsidRPr="009257E7">
        <w:rPr>
          <w:lang w:val="es-ES"/>
        </w:rPr>
        <w:t>a ceguera</w:t>
      </w:r>
      <w:r w:rsidRPr="009257E7">
        <w:rPr>
          <w:lang w:val="es-ES"/>
        </w:rPr>
        <w:t xml:space="preserve"> sistémic</w:t>
      </w:r>
      <w:r w:rsidR="00765C2F" w:rsidRPr="009257E7">
        <w:rPr>
          <w:lang w:val="es-ES"/>
        </w:rPr>
        <w:t>a</w:t>
      </w:r>
      <w:r w:rsidRPr="009257E7">
        <w:rPr>
          <w:lang w:val="es-ES"/>
        </w:rPr>
        <w:t xml:space="preserve"> selectiv</w:t>
      </w:r>
      <w:r w:rsidR="00765C2F" w:rsidRPr="009257E7">
        <w:rPr>
          <w:lang w:val="es-ES"/>
        </w:rPr>
        <w:t>a</w:t>
      </w:r>
      <w:r w:rsidRPr="009257E7">
        <w:rPr>
          <w:lang w:val="es-ES"/>
        </w:rPr>
        <w:t xml:space="preserve"> para derrotar iniciativas que buscan ampliar la igualdad, incluid</w:t>
      </w:r>
      <w:r w:rsidR="0092557A" w:rsidRPr="009257E7">
        <w:rPr>
          <w:lang w:val="es-ES"/>
        </w:rPr>
        <w:t>a</w:t>
      </w:r>
      <w:r w:rsidRPr="009257E7">
        <w:rPr>
          <w:lang w:val="es-ES"/>
        </w:rPr>
        <w:t xml:space="preserve">s los programas de acción afirmativa, las propuestas de reparaciones u otras orientadas a la igualdad económica —o simbólica—. Ronald </w:t>
      </w:r>
      <w:r w:rsidRPr="009257E7">
        <w:rPr>
          <w:lang w:val="es-ES"/>
        </w:rPr>
        <w:lastRenderedPageBreak/>
        <w:t>Reagan, mientras fue presidente, invocó con frecuencia a Martin Luther King Jr. al mismo tiempo que desmantelaba programas de igualdad de todo tipo, al sostener lo siguiente:</w:t>
      </w:r>
    </w:p>
    <w:p w14:paraId="634D2A6D" w14:textId="4403F248" w:rsidR="006F73CA" w:rsidRPr="009257E7" w:rsidRDefault="006F73CA" w:rsidP="0092557A">
      <w:pPr>
        <w:pStyle w:val="NormalWeb"/>
        <w:ind w:left="720"/>
        <w:rPr>
          <w:lang w:val="es-ES"/>
        </w:rPr>
      </w:pPr>
      <w:r w:rsidRPr="009257E7">
        <w:rPr>
          <w:lang w:val="es-ES"/>
        </w:rPr>
        <w:t xml:space="preserve">Estamos comprometidos con una sociedad en la que todos los hombres y </w:t>
      </w:r>
      <w:r w:rsidR="0092557A" w:rsidRPr="009257E7">
        <w:rPr>
          <w:lang w:val="es-ES"/>
        </w:rPr>
        <w:t xml:space="preserve">las </w:t>
      </w:r>
      <w:r w:rsidRPr="009257E7">
        <w:rPr>
          <w:lang w:val="es-ES"/>
        </w:rPr>
        <w:t>mujeres tengan oportunidades iguales de éxito, y por eso nos oponemos al uso de cuotas [de acción afirmativa]. Queremos una sociedad ciega al color. Una sociedad que, en palabras del Dr. King, juzgue a las personas no por el color de su piel, sino por el contenido de su carácter.</w:t>
      </w:r>
      <w:r w:rsidR="00345880" w:rsidRPr="009257E7">
        <w:rPr>
          <w:rStyle w:val="FootnoteReference"/>
          <w:lang w:val="es-ES"/>
        </w:rPr>
        <w:footnoteReference w:id="152"/>
      </w:r>
    </w:p>
    <w:p w14:paraId="22618692" w14:textId="468F5381" w:rsidR="006F73CA" w:rsidRPr="009257E7" w:rsidRDefault="006F73CA" w:rsidP="00756AF8">
      <w:pPr>
        <w:pStyle w:val="NormalWeb"/>
        <w:ind w:firstLine="720"/>
        <w:rPr>
          <w:lang w:val="es-ES"/>
        </w:rPr>
      </w:pPr>
      <w:r w:rsidRPr="009257E7">
        <w:rPr>
          <w:lang w:val="es-ES"/>
        </w:rPr>
        <w:t xml:space="preserve">Esta cooptación desde arriba </w:t>
      </w:r>
      <w:r w:rsidR="00756AF8" w:rsidRPr="009257E7">
        <w:rPr>
          <w:lang w:val="es-ES"/>
        </w:rPr>
        <w:t xml:space="preserve">recurre </w:t>
      </w:r>
      <w:r w:rsidRPr="009257E7">
        <w:rPr>
          <w:lang w:val="es-ES"/>
        </w:rPr>
        <w:t>a</w:t>
      </w:r>
      <w:r w:rsidR="00756AF8" w:rsidRPr="009257E7">
        <w:rPr>
          <w:lang w:val="es-ES"/>
        </w:rPr>
        <w:t xml:space="preserve">l </w:t>
      </w:r>
      <w:r w:rsidR="009103D7" w:rsidRPr="009257E7">
        <w:rPr>
          <w:lang w:val="es-ES"/>
        </w:rPr>
        <w:t xml:space="preserve">daltonismo </w:t>
      </w:r>
      <w:proofErr w:type="gramStart"/>
      <w:r w:rsidR="009103D7" w:rsidRPr="009257E7">
        <w:rPr>
          <w:lang w:val="es-ES"/>
        </w:rPr>
        <w:t xml:space="preserve">racial </w:t>
      </w:r>
      <w:r w:rsidRPr="009257E7">
        <w:rPr>
          <w:lang w:val="es-ES"/>
        </w:rPr>
        <w:t xml:space="preserve"> formalista</w:t>
      </w:r>
      <w:proofErr w:type="gramEnd"/>
      <w:r w:rsidRPr="009257E7">
        <w:rPr>
          <w:lang w:val="es-ES"/>
        </w:rPr>
        <w:t>, pues niega las diferencias sociales y económicas entre grupos en la actualidad y</w:t>
      </w:r>
      <w:r w:rsidR="00756AF8" w:rsidRPr="009257E7">
        <w:rPr>
          <w:lang w:val="es-ES"/>
        </w:rPr>
        <w:t xml:space="preserve"> les</w:t>
      </w:r>
      <w:r w:rsidRPr="009257E7">
        <w:rPr>
          <w:lang w:val="es-ES"/>
        </w:rPr>
        <w:t xml:space="preserve"> niega a los grupos identitarios desde abajo </w:t>
      </w:r>
      <w:r w:rsidR="00756AF8" w:rsidRPr="009257E7">
        <w:rPr>
          <w:lang w:val="es-ES"/>
        </w:rPr>
        <w:t xml:space="preserve">los </w:t>
      </w:r>
      <w:r w:rsidRPr="009257E7">
        <w:rPr>
          <w:lang w:val="es-ES"/>
        </w:rPr>
        <w:t xml:space="preserve">remedios adecuados para </w:t>
      </w:r>
      <w:r w:rsidR="00756AF8" w:rsidRPr="009257E7">
        <w:rPr>
          <w:lang w:val="es-ES"/>
        </w:rPr>
        <w:t xml:space="preserve">las </w:t>
      </w:r>
      <w:r w:rsidRPr="009257E7">
        <w:rPr>
          <w:lang w:val="es-ES"/>
        </w:rPr>
        <w:t xml:space="preserve">lesiones formuladas sistémicamente </w:t>
      </w:r>
      <w:r w:rsidR="00756AF8" w:rsidRPr="009257E7">
        <w:rPr>
          <w:lang w:val="es-ES"/>
        </w:rPr>
        <w:t>en</w:t>
      </w:r>
      <w:r w:rsidRPr="009257E7">
        <w:rPr>
          <w:lang w:val="es-ES"/>
        </w:rPr>
        <w:t xml:space="preserve"> </w:t>
      </w:r>
      <w:r w:rsidR="00756AF8" w:rsidRPr="009257E7">
        <w:rPr>
          <w:lang w:val="es-ES"/>
        </w:rPr>
        <w:t>torno a</w:t>
      </w:r>
      <w:r w:rsidRPr="009257E7">
        <w:rPr>
          <w:lang w:val="es-ES"/>
        </w:rPr>
        <w:t xml:space="preserve"> esas mismas identidades. Los usos formalistas de</w:t>
      </w:r>
      <w:r w:rsidR="00756AF8" w:rsidRPr="009257E7">
        <w:rPr>
          <w:lang w:val="es-ES"/>
        </w:rPr>
        <w:t xml:space="preserve">l </w:t>
      </w:r>
      <w:r w:rsidR="009103D7" w:rsidRPr="009257E7">
        <w:rPr>
          <w:lang w:val="es-ES"/>
        </w:rPr>
        <w:t xml:space="preserve">daltonismo </w:t>
      </w:r>
      <w:proofErr w:type="gramStart"/>
      <w:r w:rsidR="009103D7" w:rsidRPr="009257E7">
        <w:rPr>
          <w:lang w:val="es-ES"/>
        </w:rPr>
        <w:t xml:space="preserve">racial </w:t>
      </w:r>
      <w:r w:rsidRPr="009257E7">
        <w:rPr>
          <w:lang w:val="es-ES"/>
        </w:rPr>
        <w:t xml:space="preserve"> separan</w:t>
      </w:r>
      <w:proofErr w:type="gramEnd"/>
      <w:r w:rsidRPr="009257E7">
        <w:rPr>
          <w:lang w:val="es-ES"/>
        </w:rPr>
        <w:t xml:space="preserve"> la lesión del remedio e invierten el principio jurídico bien establecido de que los remedios deben reflejar las lesiones. Este </w:t>
      </w:r>
      <w:r w:rsidR="009103D7" w:rsidRPr="009257E7">
        <w:rPr>
          <w:lang w:val="es-ES"/>
        </w:rPr>
        <w:t xml:space="preserve">daltonismo </w:t>
      </w:r>
      <w:proofErr w:type="gramStart"/>
      <w:r w:rsidR="009103D7" w:rsidRPr="009257E7">
        <w:rPr>
          <w:lang w:val="es-ES"/>
        </w:rPr>
        <w:t xml:space="preserve">racial </w:t>
      </w:r>
      <w:r w:rsidRPr="009257E7">
        <w:rPr>
          <w:lang w:val="es-ES"/>
        </w:rPr>
        <w:t xml:space="preserve"> identitario</w:t>
      </w:r>
      <w:proofErr w:type="gramEnd"/>
      <w:r w:rsidRPr="009257E7">
        <w:rPr>
          <w:lang w:val="es-ES"/>
        </w:rPr>
        <w:t xml:space="preserve"> es un tipo “nuevo” de racismo.</w:t>
      </w:r>
    </w:p>
    <w:p w14:paraId="127442E4" w14:textId="59D4F03C" w:rsidR="006F73CA" w:rsidRPr="009257E7" w:rsidRDefault="006F73CA" w:rsidP="00995F33">
      <w:pPr>
        <w:pStyle w:val="NormalWeb"/>
        <w:ind w:firstLine="720"/>
        <w:rPr>
          <w:lang w:val="es-ES"/>
        </w:rPr>
      </w:pPr>
      <w:r w:rsidRPr="009257E7">
        <w:rPr>
          <w:lang w:val="es-ES"/>
        </w:rPr>
        <w:t xml:space="preserve">Tal como se usa en el derecho, </w:t>
      </w:r>
      <w:r w:rsidR="00995F33" w:rsidRPr="009257E7">
        <w:rPr>
          <w:lang w:val="es-ES"/>
        </w:rPr>
        <w:t xml:space="preserve">el </w:t>
      </w:r>
      <w:r w:rsidR="009103D7" w:rsidRPr="009257E7">
        <w:rPr>
          <w:lang w:val="es-ES"/>
        </w:rPr>
        <w:t xml:space="preserve">daltonismo </w:t>
      </w:r>
      <w:proofErr w:type="gramStart"/>
      <w:r w:rsidR="009103D7" w:rsidRPr="009257E7">
        <w:rPr>
          <w:lang w:val="es-ES"/>
        </w:rPr>
        <w:t xml:space="preserve">racial </w:t>
      </w:r>
      <w:r w:rsidRPr="009257E7">
        <w:rPr>
          <w:lang w:val="es-ES"/>
        </w:rPr>
        <w:t xml:space="preserve"> equivale</w:t>
      </w:r>
      <w:proofErr w:type="gramEnd"/>
      <w:r w:rsidRPr="009257E7">
        <w:rPr>
          <w:lang w:val="es-ES"/>
        </w:rPr>
        <w:t xml:space="preserve"> a un</w:t>
      </w:r>
      <w:r w:rsidR="00995F33" w:rsidRPr="009257E7">
        <w:rPr>
          <w:lang w:val="es-ES"/>
        </w:rPr>
        <w:t>a</w:t>
      </w:r>
      <w:r w:rsidRPr="009257E7">
        <w:rPr>
          <w:lang w:val="es-ES"/>
        </w:rPr>
        <w:t xml:space="preserve"> “ceg</w:t>
      </w:r>
      <w:r w:rsidR="00995F33" w:rsidRPr="009257E7">
        <w:rPr>
          <w:lang w:val="es-ES"/>
        </w:rPr>
        <w:t>uera</w:t>
      </w:r>
      <w:r w:rsidRPr="009257E7">
        <w:rPr>
          <w:lang w:val="es-ES"/>
        </w:rPr>
        <w:t xml:space="preserve"> selectiv</w:t>
      </w:r>
      <w:r w:rsidR="00995F33" w:rsidRPr="009257E7">
        <w:rPr>
          <w:lang w:val="es-ES"/>
        </w:rPr>
        <w:t>a</w:t>
      </w:r>
      <w:r w:rsidRPr="009257E7">
        <w:rPr>
          <w:lang w:val="es-ES"/>
        </w:rPr>
        <w:t xml:space="preserve">”, en </w:t>
      </w:r>
      <w:r w:rsidR="001C7699" w:rsidRPr="009257E7">
        <w:rPr>
          <w:lang w:val="es-ES"/>
        </w:rPr>
        <w:t>la</w:t>
      </w:r>
      <w:r w:rsidRPr="009257E7">
        <w:rPr>
          <w:lang w:val="es-ES"/>
        </w:rPr>
        <w:t xml:space="preserve"> que el uso de identidades para justificar la opresión se ve como reliquia del pasado, se niegan los patrones continuos de opresión basados en la identidad y se denuncian como ilegítimos los usos de identidades por parte de grupos subordinados</w:t>
      </w:r>
      <w:r w:rsidR="00995F33" w:rsidRPr="009257E7">
        <w:rPr>
          <w:lang w:val="es-ES"/>
        </w:rPr>
        <w:t>,</w:t>
      </w:r>
      <w:r w:rsidRPr="009257E7">
        <w:rPr>
          <w:lang w:val="es-ES"/>
        </w:rPr>
        <w:t xml:space="preserve"> para motivar la lucha en tiempos contemporáneos. El </w:t>
      </w:r>
      <w:r w:rsidR="009103D7" w:rsidRPr="009257E7">
        <w:rPr>
          <w:lang w:val="es-ES"/>
        </w:rPr>
        <w:t xml:space="preserve">daltonismo </w:t>
      </w:r>
      <w:proofErr w:type="gramStart"/>
      <w:r w:rsidR="009103D7" w:rsidRPr="009257E7">
        <w:rPr>
          <w:lang w:val="es-ES"/>
        </w:rPr>
        <w:t xml:space="preserve">racial </w:t>
      </w:r>
      <w:r w:rsidRPr="009257E7">
        <w:rPr>
          <w:lang w:val="es-ES"/>
        </w:rPr>
        <w:t xml:space="preserve"> selectivo</w:t>
      </w:r>
      <w:proofErr w:type="gramEnd"/>
      <w:r w:rsidRPr="009257E7">
        <w:rPr>
          <w:lang w:val="es-ES"/>
        </w:rPr>
        <w:t xml:space="preserve"> prepara el terreno para acusaciones desde arriba de que alguien está “jugando la carta racial” o participando en “política identitaria”: términos que, de algún modo, nunca se dirigen a los usos de la identidad para la subordinación social y jurídica. Las acusaciones dominantes de “política identitaria” siempre buscan deslegitimar las luchas contra patrones </w:t>
      </w:r>
      <w:r w:rsidR="00995F33" w:rsidRPr="009257E7">
        <w:rPr>
          <w:lang w:val="es-ES"/>
        </w:rPr>
        <w:t>persistente</w:t>
      </w:r>
      <w:r w:rsidRPr="009257E7">
        <w:rPr>
          <w:lang w:val="es-ES"/>
        </w:rPr>
        <w:t xml:space="preserve">s de subordinación. Esta noción unilateral de política identitaria intenta suprimir la capacidad de les abogades y </w:t>
      </w:r>
      <w:r w:rsidR="00995F33" w:rsidRPr="009257E7">
        <w:rPr>
          <w:lang w:val="es-ES"/>
        </w:rPr>
        <w:t xml:space="preserve">de </w:t>
      </w:r>
      <w:r w:rsidRPr="009257E7">
        <w:rPr>
          <w:lang w:val="es-ES"/>
        </w:rPr>
        <w:t>los grupos para usar agravios compartidos basados en la identidad</w:t>
      </w:r>
      <w:r w:rsidR="00995F33" w:rsidRPr="009257E7">
        <w:rPr>
          <w:lang w:val="es-ES"/>
        </w:rPr>
        <w:t>,</w:t>
      </w:r>
      <w:r w:rsidRPr="009257E7">
        <w:rPr>
          <w:lang w:val="es-ES"/>
        </w:rPr>
        <w:t xml:space="preserve"> como puntos de convergencia y</w:t>
      </w:r>
      <w:r w:rsidR="00995F33" w:rsidRPr="009257E7">
        <w:rPr>
          <w:lang w:val="es-ES"/>
        </w:rPr>
        <w:t xml:space="preserve"> de</w:t>
      </w:r>
      <w:r w:rsidRPr="009257E7">
        <w:rPr>
          <w:lang w:val="es-ES"/>
        </w:rPr>
        <w:t xml:space="preserve"> organización</w:t>
      </w:r>
      <w:r w:rsidR="00995F33" w:rsidRPr="009257E7">
        <w:rPr>
          <w:lang w:val="es-ES"/>
        </w:rPr>
        <w:t>,</w:t>
      </w:r>
      <w:r w:rsidRPr="009257E7">
        <w:rPr>
          <w:lang w:val="es-ES"/>
        </w:rPr>
        <w:t xml:space="preserve"> para apoyar luchas grupales desde abajo.</w:t>
      </w:r>
      <w:r w:rsidR="00995F33" w:rsidRPr="009257E7">
        <w:rPr>
          <w:lang w:val="es-ES"/>
        </w:rPr>
        <w:t xml:space="preserve"> </w:t>
      </w:r>
    </w:p>
    <w:p w14:paraId="1136F2FB" w14:textId="5BF81A35" w:rsidR="006F73CA" w:rsidRPr="009257E7" w:rsidRDefault="00995F33" w:rsidP="00995F33">
      <w:pPr>
        <w:pStyle w:val="NormalWeb"/>
        <w:ind w:firstLine="720"/>
        <w:rPr>
          <w:lang w:val="es-ES"/>
        </w:rPr>
      </w:pPr>
      <w:r w:rsidRPr="009257E7">
        <w:rPr>
          <w:lang w:val="es-ES"/>
        </w:rPr>
        <w:t xml:space="preserve">El </w:t>
      </w:r>
      <w:r w:rsidR="009103D7" w:rsidRPr="009257E7">
        <w:rPr>
          <w:lang w:val="es-ES"/>
        </w:rPr>
        <w:t xml:space="preserve">daltonismo </w:t>
      </w:r>
      <w:proofErr w:type="gramStart"/>
      <w:r w:rsidR="009103D7" w:rsidRPr="009257E7">
        <w:rPr>
          <w:lang w:val="es-ES"/>
        </w:rPr>
        <w:t xml:space="preserve">racial </w:t>
      </w:r>
      <w:r w:rsidR="006F73CA" w:rsidRPr="009257E7">
        <w:rPr>
          <w:lang w:val="es-ES"/>
        </w:rPr>
        <w:t xml:space="preserve"> y</w:t>
      </w:r>
      <w:proofErr w:type="gramEnd"/>
      <w:r w:rsidR="006F73CA" w:rsidRPr="009257E7">
        <w:rPr>
          <w:lang w:val="es-ES"/>
        </w:rPr>
        <w:t xml:space="preserve"> la ceguera</w:t>
      </w:r>
      <w:r w:rsidR="0093200B" w:rsidRPr="009257E7">
        <w:rPr>
          <w:lang w:val="es-ES"/>
        </w:rPr>
        <w:t xml:space="preserve">, </w:t>
      </w:r>
      <w:r w:rsidR="006F73CA" w:rsidRPr="009257E7">
        <w:rPr>
          <w:lang w:val="es-ES"/>
        </w:rPr>
        <w:t xml:space="preserve">de forma más general, “desaparecen” las operaciones del privilegio y </w:t>
      </w:r>
      <w:r w:rsidR="0093200B" w:rsidRPr="009257E7">
        <w:rPr>
          <w:lang w:val="es-ES"/>
        </w:rPr>
        <w:t xml:space="preserve">de </w:t>
      </w:r>
      <w:r w:rsidR="006F73CA" w:rsidRPr="009257E7">
        <w:rPr>
          <w:lang w:val="es-ES"/>
        </w:rPr>
        <w:t>la subordinación en el derecho y</w:t>
      </w:r>
      <w:r w:rsidR="0093200B" w:rsidRPr="009257E7">
        <w:rPr>
          <w:lang w:val="es-ES"/>
        </w:rPr>
        <w:t xml:space="preserve"> en</w:t>
      </w:r>
      <w:r w:rsidR="006F73CA" w:rsidRPr="009257E7">
        <w:rPr>
          <w:lang w:val="es-ES"/>
        </w:rPr>
        <w:t xml:space="preserve"> la sociedad. </w:t>
      </w:r>
      <w:r w:rsidR="0093200B" w:rsidRPr="009257E7">
        <w:rPr>
          <w:lang w:val="es-ES"/>
        </w:rPr>
        <w:t xml:space="preserve">El </w:t>
      </w:r>
      <w:r w:rsidR="009103D7" w:rsidRPr="009257E7">
        <w:rPr>
          <w:lang w:val="es-ES"/>
        </w:rPr>
        <w:t xml:space="preserve">daltonismo </w:t>
      </w:r>
      <w:proofErr w:type="gramStart"/>
      <w:r w:rsidR="009103D7" w:rsidRPr="009257E7">
        <w:rPr>
          <w:lang w:val="es-ES"/>
        </w:rPr>
        <w:t xml:space="preserve">racial </w:t>
      </w:r>
      <w:r w:rsidR="006F73CA" w:rsidRPr="009257E7">
        <w:rPr>
          <w:lang w:val="es-ES"/>
        </w:rPr>
        <w:t xml:space="preserve"> es</w:t>
      </w:r>
      <w:proofErr w:type="gramEnd"/>
      <w:r w:rsidR="006F73CA" w:rsidRPr="009257E7">
        <w:rPr>
          <w:lang w:val="es-ES"/>
        </w:rPr>
        <w:t xml:space="preserve"> una mentira sistémica que sirve a la injusticia colectivizada. Sin embargo, este fenómeno ocurre en sociedades de Estado de derecho </w:t>
      </w:r>
      <w:r w:rsidR="001C7699" w:rsidRPr="009257E7">
        <w:rPr>
          <w:lang w:val="es-ES"/>
        </w:rPr>
        <w:t>en</w:t>
      </w:r>
      <w:r w:rsidR="006F73CA" w:rsidRPr="009257E7">
        <w:rPr>
          <w:lang w:val="es-ES"/>
        </w:rPr>
        <w:t xml:space="preserve"> </w:t>
      </w:r>
      <w:r w:rsidR="001C7699" w:rsidRPr="009257E7">
        <w:rPr>
          <w:lang w:val="es-ES"/>
        </w:rPr>
        <w:t xml:space="preserve">todo </w:t>
      </w:r>
      <w:r w:rsidR="006F73CA" w:rsidRPr="009257E7">
        <w:rPr>
          <w:lang w:val="es-ES"/>
        </w:rPr>
        <w:t xml:space="preserve">el mundo, donde las expresiones abiertas de sesgo se consideran discriminación inaceptable, pero las prácticas y </w:t>
      </w:r>
      <w:r w:rsidR="00504E76" w:rsidRPr="009257E7">
        <w:rPr>
          <w:lang w:val="es-ES"/>
        </w:rPr>
        <w:t xml:space="preserve">los </w:t>
      </w:r>
      <w:r w:rsidR="006F73CA" w:rsidRPr="009257E7">
        <w:rPr>
          <w:lang w:val="es-ES"/>
        </w:rPr>
        <w:t xml:space="preserve">sentimientos formalmente neutrales </w:t>
      </w:r>
      <w:r w:rsidR="00504E76" w:rsidRPr="009257E7">
        <w:rPr>
          <w:lang w:val="es-ES"/>
        </w:rPr>
        <w:t>respecto d</w:t>
      </w:r>
      <w:r w:rsidR="006F73CA" w:rsidRPr="009257E7">
        <w:rPr>
          <w:lang w:val="es-ES"/>
        </w:rPr>
        <w:t xml:space="preserve">e la identidad que refuerzan </w:t>
      </w:r>
      <w:r w:rsidR="00504E76" w:rsidRPr="009257E7">
        <w:rPr>
          <w:lang w:val="es-ES"/>
        </w:rPr>
        <w:t xml:space="preserve">las </w:t>
      </w:r>
      <w:r w:rsidR="006F73CA" w:rsidRPr="009257E7">
        <w:rPr>
          <w:lang w:val="es-ES"/>
        </w:rPr>
        <w:t>desigualdades existentes se consideran aceptables.</w:t>
      </w:r>
    </w:p>
    <w:p w14:paraId="04144BF9" w14:textId="5D919FE2" w:rsidR="006F73CA" w:rsidRPr="009257E7" w:rsidRDefault="006F73CA" w:rsidP="00504E76">
      <w:pPr>
        <w:pStyle w:val="NormalWeb"/>
        <w:ind w:firstLine="720"/>
        <w:rPr>
          <w:lang w:val="es-ES"/>
        </w:rPr>
      </w:pPr>
      <w:r w:rsidRPr="009257E7">
        <w:rPr>
          <w:lang w:val="es-ES"/>
        </w:rPr>
        <w:t xml:space="preserve">En respuesta, las académicas críticas </w:t>
      </w:r>
      <w:proofErr w:type="spellStart"/>
      <w:r w:rsidRPr="009257E7">
        <w:rPr>
          <w:lang w:val="es-ES"/>
        </w:rPr>
        <w:t>Margalynne</w:t>
      </w:r>
      <w:proofErr w:type="spellEnd"/>
      <w:r w:rsidRPr="009257E7">
        <w:rPr>
          <w:lang w:val="es-ES"/>
        </w:rPr>
        <w:t xml:space="preserve"> Armstrong y Stephanie Wildman instan a desaprender las normas sociales dominantes del </w:t>
      </w:r>
      <w:r w:rsidR="009103D7" w:rsidRPr="009257E7">
        <w:rPr>
          <w:lang w:val="es-ES"/>
        </w:rPr>
        <w:t xml:space="preserve">daltonismo </w:t>
      </w:r>
      <w:proofErr w:type="gramStart"/>
      <w:r w:rsidR="009103D7" w:rsidRPr="009257E7">
        <w:rPr>
          <w:lang w:val="es-ES"/>
        </w:rPr>
        <w:t xml:space="preserve">racial </w:t>
      </w:r>
      <w:r w:rsidRPr="009257E7">
        <w:rPr>
          <w:lang w:val="es-ES"/>
        </w:rPr>
        <w:t xml:space="preserve"> desde</w:t>
      </w:r>
      <w:proofErr w:type="gramEnd"/>
      <w:r w:rsidRPr="009257E7">
        <w:rPr>
          <w:lang w:val="es-ES"/>
        </w:rPr>
        <w:t xml:space="preserve"> arriba. Armstrong y Wildman sugieren reemplazar esa noción por una conciencia crítica del color —y de la </w:t>
      </w:r>
      <w:r w:rsidRPr="009257E7">
        <w:rPr>
          <w:lang w:val="es-ES"/>
        </w:rPr>
        <w:lastRenderedPageBreak/>
        <w:t>diferencia—, llamada percepción del color o conciencia del color, que implica cultivar conciencia racial sin diseños supremacistas:</w:t>
      </w:r>
    </w:p>
    <w:p w14:paraId="19B33932" w14:textId="09E0499E" w:rsidR="006F73CA" w:rsidRPr="009257E7" w:rsidRDefault="006F73CA" w:rsidP="00D45958">
      <w:pPr>
        <w:pStyle w:val="NormalWeb"/>
        <w:ind w:left="720"/>
        <w:rPr>
          <w:lang w:val="es-ES"/>
        </w:rPr>
      </w:pPr>
      <w:r w:rsidRPr="009257E7">
        <w:rPr>
          <w:lang w:val="es-ES"/>
        </w:rPr>
        <w:t>La hegemonía de</w:t>
      </w:r>
      <w:r w:rsidR="00D45958" w:rsidRPr="009257E7">
        <w:rPr>
          <w:lang w:val="es-ES"/>
        </w:rPr>
        <w:t xml:space="preserve">l </w:t>
      </w:r>
      <w:r w:rsidR="009103D7" w:rsidRPr="009257E7">
        <w:rPr>
          <w:lang w:val="es-ES"/>
        </w:rPr>
        <w:t xml:space="preserve">daltonismo </w:t>
      </w:r>
      <w:proofErr w:type="gramStart"/>
      <w:r w:rsidR="009103D7" w:rsidRPr="009257E7">
        <w:rPr>
          <w:lang w:val="es-ES"/>
        </w:rPr>
        <w:t xml:space="preserve">racial </w:t>
      </w:r>
      <w:r w:rsidRPr="009257E7">
        <w:rPr>
          <w:lang w:val="es-ES"/>
        </w:rPr>
        <w:t xml:space="preserve"> sugiere</w:t>
      </w:r>
      <w:proofErr w:type="gramEnd"/>
      <w:r w:rsidRPr="009257E7">
        <w:rPr>
          <w:lang w:val="es-ES"/>
        </w:rPr>
        <w:t xml:space="preserve"> que notar la raza equivale a socavar la igualdad misma. Cualquier conversación sobre la raza, o sobre la blanquitud en particular, debe trabajar contra esa norma social dominante.</w:t>
      </w:r>
    </w:p>
    <w:p w14:paraId="0BA5ED50" w14:textId="2A78A180" w:rsidR="006F73CA" w:rsidRPr="009257E7" w:rsidRDefault="006F73CA" w:rsidP="00D45958">
      <w:pPr>
        <w:pStyle w:val="NormalWeb"/>
        <w:ind w:left="720"/>
        <w:rPr>
          <w:lang w:val="es-ES"/>
        </w:rPr>
      </w:pPr>
      <w:r w:rsidRPr="009257E7">
        <w:rPr>
          <w:lang w:val="es-ES"/>
        </w:rPr>
        <w:t xml:space="preserve">[...] Una aspiración a la percepción del color serviría a la sociedad como un valor </w:t>
      </w:r>
      <w:r w:rsidR="00D45958" w:rsidRPr="009257E7">
        <w:rPr>
          <w:lang w:val="es-ES"/>
        </w:rPr>
        <w:t>superi</w:t>
      </w:r>
      <w:r w:rsidRPr="009257E7">
        <w:rPr>
          <w:lang w:val="es-ES"/>
        </w:rPr>
        <w:t xml:space="preserve">or </w:t>
      </w:r>
      <w:r w:rsidR="00F87799" w:rsidRPr="009257E7">
        <w:rPr>
          <w:lang w:val="es-ES"/>
        </w:rPr>
        <w:t xml:space="preserve">al </w:t>
      </w:r>
      <w:r w:rsidR="009103D7" w:rsidRPr="009257E7">
        <w:rPr>
          <w:lang w:val="es-ES"/>
        </w:rPr>
        <w:t xml:space="preserve">daltonismo </w:t>
      </w:r>
      <w:proofErr w:type="gramStart"/>
      <w:r w:rsidR="009103D7" w:rsidRPr="009257E7">
        <w:rPr>
          <w:lang w:val="es-ES"/>
        </w:rPr>
        <w:t xml:space="preserve">racial </w:t>
      </w:r>
      <w:r w:rsidRPr="009257E7">
        <w:rPr>
          <w:lang w:val="es-ES"/>
        </w:rPr>
        <w:t>.</w:t>
      </w:r>
      <w:proofErr w:type="gramEnd"/>
      <w:r w:rsidRPr="009257E7">
        <w:rPr>
          <w:lang w:val="es-ES"/>
        </w:rPr>
        <w:t xml:space="preserve"> La percepción del color animaría a notar la raza en cada contexto en </w:t>
      </w:r>
      <w:r w:rsidR="00F87799" w:rsidRPr="009257E7">
        <w:rPr>
          <w:lang w:val="es-ES"/>
        </w:rPr>
        <w:t xml:space="preserve">el </w:t>
      </w:r>
      <w:r w:rsidRPr="009257E7">
        <w:rPr>
          <w:lang w:val="es-ES"/>
        </w:rPr>
        <w:t>que surja, incluida la operación del privilegio blanco y cualquier otra f</w:t>
      </w:r>
      <w:r w:rsidR="00F87799" w:rsidRPr="009257E7">
        <w:rPr>
          <w:lang w:val="es-ES"/>
        </w:rPr>
        <w:t>orma</w:t>
      </w:r>
      <w:r w:rsidRPr="009257E7">
        <w:rPr>
          <w:lang w:val="es-ES"/>
        </w:rPr>
        <w:t xml:space="preserve"> de ventaja o desventaja racial. [...]</w:t>
      </w:r>
    </w:p>
    <w:p w14:paraId="778DC7BD" w14:textId="38AC23E3" w:rsidR="006F73CA" w:rsidRPr="009257E7" w:rsidRDefault="006F73CA" w:rsidP="00561C7D">
      <w:pPr>
        <w:pStyle w:val="NormalWeb"/>
        <w:ind w:left="720"/>
        <w:rPr>
          <w:lang w:val="es-ES"/>
        </w:rPr>
      </w:pPr>
      <w:r w:rsidRPr="009257E7">
        <w:rPr>
          <w:lang w:val="es-ES"/>
        </w:rPr>
        <w:t xml:space="preserve">La percepción del color serviría para promover la igualdad y enfatizar la no discriminación </w:t>
      </w:r>
      <w:r w:rsidR="00561C7D" w:rsidRPr="009257E7">
        <w:rPr>
          <w:lang w:val="es-ES"/>
        </w:rPr>
        <w:t>racial</w:t>
      </w:r>
      <w:r w:rsidRPr="009257E7">
        <w:rPr>
          <w:lang w:val="es-ES"/>
        </w:rPr>
        <w:t xml:space="preserve">. La percepción del color admitiría que la mayoría de nosotres sí ve la raza y subrayaría la necesidad de comprender qué puede significar esa conciencia racial [o identitaria]. La percepción del color [o percepción identitaria] no asumiría que las personas o los grupos tienen rasgos o propensiones específicas. Enseñar para desarrollar </w:t>
      </w:r>
      <w:r w:rsidR="00561C7D" w:rsidRPr="009257E7">
        <w:rPr>
          <w:lang w:val="es-ES"/>
        </w:rPr>
        <w:t xml:space="preserve">la </w:t>
      </w:r>
      <w:r w:rsidRPr="009257E7">
        <w:rPr>
          <w:lang w:val="es-ES"/>
        </w:rPr>
        <w:t>percepción del color, en lugar de</w:t>
      </w:r>
      <w:r w:rsidR="00561C7D" w:rsidRPr="009257E7">
        <w:rPr>
          <w:lang w:val="es-ES"/>
        </w:rPr>
        <w:t xml:space="preserve"> tratar el </w:t>
      </w:r>
      <w:r w:rsidR="009103D7" w:rsidRPr="009257E7">
        <w:rPr>
          <w:lang w:val="es-ES"/>
        </w:rPr>
        <w:t xml:space="preserve">daltonismo </w:t>
      </w:r>
      <w:proofErr w:type="gramStart"/>
      <w:r w:rsidR="009103D7" w:rsidRPr="009257E7">
        <w:rPr>
          <w:lang w:val="es-ES"/>
        </w:rPr>
        <w:t xml:space="preserve">racial </w:t>
      </w:r>
      <w:r w:rsidRPr="009257E7">
        <w:rPr>
          <w:lang w:val="es-ES"/>
        </w:rPr>
        <w:t>,</w:t>
      </w:r>
      <w:proofErr w:type="gramEnd"/>
      <w:r w:rsidRPr="009257E7">
        <w:rPr>
          <w:lang w:val="es-ES"/>
        </w:rPr>
        <w:t xml:space="preserve"> prepararía mejor a l</w:t>
      </w:r>
      <w:r w:rsidR="00561C7D" w:rsidRPr="009257E7">
        <w:rPr>
          <w:lang w:val="es-ES"/>
        </w:rPr>
        <w:t>o</w:t>
      </w:r>
      <w:r w:rsidRPr="009257E7">
        <w:rPr>
          <w:lang w:val="es-ES"/>
        </w:rPr>
        <w:t>s estudiantes para la sociedad heterogénea y democrática que abraza los ideales estadounidenses.</w:t>
      </w:r>
      <w:r w:rsidR="00845227" w:rsidRPr="009257E7">
        <w:rPr>
          <w:rStyle w:val="FootnoteReference"/>
          <w:lang w:val="es-ES"/>
        </w:rPr>
        <w:footnoteReference w:id="153"/>
      </w:r>
    </w:p>
    <w:p w14:paraId="153487E9" w14:textId="231A171D" w:rsidR="006F73CA" w:rsidRPr="009257E7" w:rsidRDefault="006F73CA" w:rsidP="00845227">
      <w:pPr>
        <w:pStyle w:val="NormalWeb"/>
        <w:ind w:firstLine="720"/>
        <w:rPr>
          <w:lang w:val="es-ES"/>
        </w:rPr>
      </w:pPr>
      <w:r w:rsidRPr="009257E7">
        <w:rPr>
          <w:lang w:val="es-ES"/>
        </w:rPr>
        <w:t>Los efectos de</w:t>
      </w:r>
      <w:r w:rsidR="00845227" w:rsidRPr="009257E7">
        <w:rPr>
          <w:lang w:val="es-ES"/>
        </w:rPr>
        <w:t xml:space="preserve">l </w:t>
      </w:r>
      <w:r w:rsidR="009103D7" w:rsidRPr="009257E7">
        <w:rPr>
          <w:lang w:val="es-ES"/>
        </w:rPr>
        <w:t xml:space="preserve">daltonismo </w:t>
      </w:r>
      <w:proofErr w:type="gramStart"/>
      <w:r w:rsidR="009103D7" w:rsidRPr="009257E7">
        <w:rPr>
          <w:lang w:val="es-ES"/>
        </w:rPr>
        <w:t xml:space="preserve">racial </w:t>
      </w:r>
      <w:r w:rsidRPr="009257E7">
        <w:rPr>
          <w:lang w:val="es-ES"/>
        </w:rPr>
        <w:t xml:space="preserve"> identitari</w:t>
      </w:r>
      <w:r w:rsidR="004A4785" w:rsidRPr="009257E7">
        <w:rPr>
          <w:lang w:val="es-ES"/>
        </w:rPr>
        <w:t>o</w:t>
      </w:r>
      <w:proofErr w:type="gramEnd"/>
      <w:r w:rsidRPr="009257E7">
        <w:rPr>
          <w:lang w:val="es-ES"/>
        </w:rPr>
        <w:t xml:space="preserve"> en el análisis jurídico separan el derecho de la justicia y de la realidad social. Para ilustrarlo, el académico interdisciplinario Osagie Obasogie explora si la ausencia de visión afecta las percepciones individuales </w:t>
      </w:r>
      <w:r w:rsidR="002A78F1" w:rsidRPr="009257E7">
        <w:rPr>
          <w:lang w:val="es-ES"/>
        </w:rPr>
        <w:t>sobr</w:t>
      </w:r>
      <w:r w:rsidRPr="009257E7">
        <w:rPr>
          <w:lang w:val="es-ES"/>
        </w:rPr>
        <w:t>e la raza”. Mediante investigación empírica, demuestra cómo las personas ciegas “ven” la raza de formas similares a las personas videntes. En otras palabras, ni siquiera las personas literalmente ciegas son realmente ciegas al color:</w:t>
      </w:r>
      <w:r w:rsidR="00845227" w:rsidRPr="009257E7">
        <w:rPr>
          <w:lang w:val="es-ES"/>
        </w:rPr>
        <w:t xml:space="preserve"> </w:t>
      </w:r>
    </w:p>
    <w:p w14:paraId="1B4EBEDA" w14:textId="20532E09" w:rsidR="006F73CA" w:rsidRPr="009257E7" w:rsidRDefault="006F73CA" w:rsidP="007055EF">
      <w:pPr>
        <w:pStyle w:val="NormalWeb"/>
        <w:ind w:left="720"/>
        <w:rPr>
          <w:lang w:val="es-ES"/>
        </w:rPr>
      </w:pPr>
      <w:r w:rsidRPr="009257E7">
        <w:rPr>
          <w:lang w:val="es-ES"/>
        </w:rPr>
        <w:t xml:space="preserve">[L]as personas ciegas y videntes comprenden y experimentan la raza de manera similar: visualmente. Los datos muestran de forma abrumadora que, contrario a las creencias dentro de la comunidad vidente, la raza no solo es significativa para las personas ciegas, sino que </w:t>
      </w:r>
      <w:r w:rsidR="007055EF" w:rsidRPr="009257E7">
        <w:rPr>
          <w:lang w:val="es-ES"/>
        </w:rPr>
        <w:t xml:space="preserve">también </w:t>
      </w:r>
      <w:r w:rsidRPr="009257E7">
        <w:rPr>
          <w:lang w:val="es-ES"/>
        </w:rPr>
        <w:t>es visualmente sobresaliente como marcador de rasgos físicos distinguibles, como el color de</w:t>
      </w:r>
      <w:r w:rsidR="007055EF" w:rsidRPr="009257E7">
        <w:rPr>
          <w:lang w:val="es-ES"/>
        </w:rPr>
        <w:t xml:space="preserve"> la</w:t>
      </w:r>
      <w:r w:rsidRPr="009257E7">
        <w:rPr>
          <w:lang w:val="es-ES"/>
        </w:rPr>
        <w:t xml:space="preserve"> piel y los rasgos faciales. [...]</w:t>
      </w:r>
    </w:p>
    <w:p w14:paraId="36FC766E" w14:textId="02C83410" w:rsidR="006F73CA" w:rsidRPr="009257E7" w:rsidRDefault="006F73CA" w:rsidP="007055EF">
      <w:pPr>
        <w:pStyle w:val="NormalWeb"/>
        <w:ind w:left="720"/>
        <w:rPr>
          <w:lang w:val="es-ES"/>
        </w:rPr>
      </w:pPr>
      <w:r w:rsidRPr="009257E7">
        <w:rPr>
          <w:lang w:val="es-ES"/>
        </w:rPr>
        <w:t xml:space="preserve">[...] [L]a raza se vuelve visualmente sobresaliente para individuos ciegos —y videntes— mediante prácticas sociales que entrenan a las personas para percibir las diferencias humanas de maneras particulares. Para las personas videntes, este proceso de socialización está entrelazado con su interacción visual con el mundo, lo que dificulta </w:t>
      </w:r>
      <w:r w:rsidR="00D5723E" w:rsidRPr="009257E7">
        <w:rPr>
          <w:lang w:val="es-ES"/>
        </w:rPr>
        <w:t>distingui</w:t>
      </w:r>
      <w:r w:rsidRPr="009257E7">
        <w:rPr>
          <w:lang w:val="es-ES"/>
        </w:rPr>
        <w:t>r lo que es obvio de lo que es producido. Las personas ciegas, por otro lado, están sujetas a las mismas prácticas sociales sin los estímulos visuales que confunden el análisis y, por tanto, pueden detallar las formas en que se desarrolla su comprensión visual de la raza. [...]</w:t>
      </w:r>
    </w:p>
    <w:p w14:paraId="0E582D82" w14:textId="7418E8C6" w:rsidR="006F73CA" w:rsidRPr="009257E7" w:rsidRDefault="006F73CA" w:rsidP="00D5723E">
      <w:pPr>
        <w:pStyle w:val="NormalWeb"/>
        <w:ind w:left="720"/>
        <w:rPr>
          <w:lang w:val="es-ES"/>
        </w:rPr>
      </w:pPr>
      <w:r w:rsidRPr="009257E7">
        <w:rPr>
          <w:lang w:val="es-ES"/>
        </w:rPr>
        <w:lastRenderedPageBreak/>
        <w:t>[...] [E]</w:t>
      </w:r>
      <w:proofErr w:type="spellStart"/>
      <w:r w:rsidRPr="009257E7">
        <w:rPr>
          <w:lang w:val="es-ES"/>
        </w:rPr>
        <w:t>stos</w:t>
      </w:r>
      <w:proofErr w:type="spellEnd"/>
      <w:r w:rsidRPr="009257E7">
        <w:rPr>
          <w:lang w:val="es-ES"/>
        </w:rPr>
        <w:t xml:space="preserve"> datos sugieren que quizá sea momento de repensar la suposición incrustada en toda la jurisprudencia de igual protección de que la prominencia de la raza surge de su obviedad visual. En resumen, la evidencia empírica sugiere que “ver la raza” tiene menos que ver con algo visualmente obvio </w:t>
      </w:r>
      <w:r w:rsidR="00F95947" w:rsidRPr="009257E7">
        <w:rPr>
          <w:lang w:val="es-ES"/>
        </w:rPr>
        <w:t>en</w:t>
      </w:r>
      <w:r w:rsidRPr="009257E7">
        <w:rPr>
          <w:lang w:val="es-ES"/>
        </w:rPr>
        <w:t xml:space="preserve"> los cuerpos humanos y más con las prácticas sociales que nos entrenan para mirarlos de cierta manera. Esto sugiere que el tropo “</w:t>
      </w:r>
      <w:proofErr w:type="spellStart"/>
      <w:r w:rsidRPr="009257E7">
        <w:rPr>
          <w:lang w:val="es-ES"/>
        </w:rPr>
        <w:t>race</w:t>
      </w:r>
      <w:proofErr w:type="spellEnd"/>
      <w:r w:rsidRPr="009257E7">
        <w:rPr>
          <w:lang w:val="es-ES"/>
        </w:rPr>
        <w:t xml:space="preserve"> </w:t>
      </w:r>
      <w:proofErr w:type="spellStart"/>
      <w:r w:rsidRPr="009257E7">
        <w:rPr>
          <w:lang w:val="es-ES"/>
        </w:rPr>
        <w:t>ipsa</w:t>
      </w:r>
      <w:proofErr w:type="spellEnd"/>
      <w:r w:rsidRPr="009257E7">
        <w:rPr>
          <w:lang w:val="es-ES"/>
        </w:rPr>
        <w:t xml:space="preserve"> </w:t>
      </w:r>
      <w:proofErr w:type="spellStart"/>
      <w:r w:rsidRPr="009257E7">
        <w:rPr>
          <w:lang w:val="es-ES"/>
        </w:rPr>
        <w:t>loquitur</w:t>
      </w:r>
      <w:proofErr w:type="spellEnd"/>
      <w:r w:rsidRPr="009257E7">
        <w:rPr>
          <w:lang w:val="es-ES"/>
        </w:rPr>
        <w:t xml:space="preserve">” que orienta la indagación de escrutinio, </w:t>
      </w:r>
      <w:r w:rsidR="00F95947" w:rsidRPr="009257E7">
        <w:rPr>
          <w:lang w:val="es-ES"/>
        </w:rPr>
        <w:t xml:space="preserve">el </w:t>
      </w:r>
      <w:r w:rsidR="009103D7" w:rsidRPr="009257E7">
        <w:rPr>
          <w:lang w:val="es-ES"/>
        </w:rPr>
        <w:t xml:space="preserve">daltonismo </w:t>
      </w:r>
      <w:proofErr w:type="gramStart"/>
      <w:r w:rsidR="009103D7" w:rsidRPr="009257E7">
        <w:rPr>
          <w:lang w:val="es-ES"/>
        </w:rPr>
        <w:t xml:space="preserve">racial </w:t>
      </w:r>
      <w:r w:rsidRPr="009257E7">
        <w:rPr>
          <w:lang w:val="es-ES"/>
        </w:rPr>
        <w:t xml:space="preserve"> y</w:t>
      </w:r>
      <w:proofErr w:type="gramEnd"/>
      <w:r w:rsidRPr="009257E7">
        <w:rPr>
          <w:lang w:val="es-ES"/>
        </w:rPr>
        <w:t xml:space="preserve"> la doctrina de intención puede</w:t>
      </w:r>
      <w:r w:rsidR="00F95947" w:rsidRPr="009257E7">
        <w:rPr>
          <w:lang w:val="es-ES"/>
        </w:rPr>
        <w:t>n</w:t>
      </w:r>
      <w:r w:rsidRPr="009257E7">
        <w:rPr>
          <w:lang w:val="es-ES"/>
        </w:rPr>
        <w:t xml:space="preserve"> no solo estar mal informado</w:t>
      </w:r>
      <w:r w:rsidR="00F95947" w:rsidRPr="009257E7">
        <w:rPr>
          <w:lang w:val="es-ES"/>
        </w:rPr>
        <w:t>s</w:t>
      </w:r>
      <w:r w:rsidRPr="009257E7">
        <w:rPr>
          <w:lang w:val="es-ES"/>
        </w:rPr>
        <w:t>, sino también deformar de manera fundamental la comprensión de la Corte [Suprema] sobre cómo la raza se vuelve sobresaliente de una manera que puede conducir a injusticias notables.</w:t>
      </w:r>
      <w:r w:rsidR="00820F71" w:rsidRPr="009257E7">
        <w:rPr>
          <w:rStyle w:val="FootnoteReference"/>
          <w:lang w:val="es-ES"/>
        </w:rPr>
        <w:footnoteReference w:id="154"/>
      </w:r>
    </w:p>
    <w:p w14:paraId="67D69C01" w14:textId="77777777" w:rsidR="006F73CA" w:rsidRPr="009257E7" w:rsidRDefault="006F73CA" w:rsidP="005005B2">
      <w:pPr>
        <w:pStyle w:val="NormalWeb"/>
        <w:ind w:firstLine="720"/>
        <w:rPr>
          <w:lang w:val="es-ES"/>
        </w:rPr>
      </w:pPr>
      <w:r w:rsidRPr="009257E7">
        <w:rPr>
          <w:lang w:val="es-ES"/>
        </w:rPr>
        <w:t>Obasogie desarrolla cómo las personas ciegas están en una posición única para “ver” la raza y apreciar este proceso de socialización que todes atravesamos todavía, a pesar de la ilusión de una ceguera social al color:</w:t>
      </w:r>
    </w:p>
    <w:p w14:paraId="2F2BD304" w14:textId="06C9F609" w:rsidR="006F73CA" w:rsidRPr="009257E7" w:rsidRDefault="006F73CA" w:rsidP="00895FD6">
      <w:pPr>
        <w:pStyle w:val="NormalWeb"/>
        <w:ind w:left="720"/>
        <w:rPr>
          <w:lang w:val="es-ES"/>
        </w:rPr>
      </w:pPr>
      <w:r w:rsidRPr="009257E7">
        <w:rPr>
          <w:lang w:val="es-ES"/>
        </w:rPr>
        <w:t xml:space="preserve">Las personas ciegas tienen una capacidad única para discutir las prácticas sociales que </w:t>
      </w:r>
      <w:r w:rsidR="00895FD6" w:rsidRPr="009257E7">
        <w:rPr>
          <w:lang w:val="es-ES"/>
        </w:rPr>
        <w:t>otorg</w:t>
      </w:r>
      <w:r w:rsidRPr="009257E7">
        <w:rPr>
          <w:lang w:val="es-ES"/>
        </w:rPr>
        <w:t>an a las señales visuales asociadas con la raza una sensación de ob</w:t>
      </w:r>
      <w:r w:rsidR="00E40047" w:rsidRPr="009257E7">
        <w:rPr>
          <w:lang w:val="es-ES"/>
        </w:rPr>
        <w:t>jetividad</w:t>
      </w:r>
      <w:r w:rsidRPr="009257E7">
        <w:rPr>
          <w:lang w:val="es-ES"/>
        </w:rPr>
        <w:t xml:space="preserve">. En la medida en que las personas ciegas y videntes </w:t>
      </w:r>
      <w:r w:rsidR="00E40047" w:rsidRPr="009257E7">
        <w:rPr>
          <w:lang w:val="es-ES"/>
        </w:rPr>
        <w:t xml:space="preserve">comparten </w:t>
      </w:r>
      <w:r w:rsidRPr="009257E7">
        <w:rPr>
          <w:lang w:val="es-ES"/>
        </w:rPr>
        <w:t xml:space="preserve">el mismo ambiente social, las fuerzas sociales que dan coherencia a las comprensiones visuales de la raza </w:t>
      </w:r>
      <w:r w:rsidR="00444E57" w:rsidRPr="009257E7">
        <w:rPr>
          <w:lang w:val="es-ES"/>
        </w:rPr>
        <w:t>entre</w:t>
      </w:r>
      <w:r w:rsidRPr="009257E7">
        <w:rPr>
          <w:lang w:val="es-ES"/>
        </w:rPr>
        <w:t xml:space="preserve"> las personas </w:t>
      </w:r>
      <w:r w:rsidR="00444E57" w:rsidRPr="009257E7">
        <w:rPr>
          <w:lang w:val="es-ES"/>
        </w:rPr>
        <w:t>vidente</w:t>
      </w:r>
      <w:r w:rsidRPr="009257E7">
        <w:rPr>
          <w:lang w:val="es-ES"/>
        </w:rPr>
        <w:t xml:space="preserve">s probablemente influyen de manera similar en quienes </w:t>
      </w:r>
      <w:r w:rsidR="00444E57" w:rsidRPr="009257E7">
        <w:rPr>
          <w:lang w:val="es-ES"/>
        </w:rPr>
        <w:t>no la</w:t>
      </w:r>
      <w:r w:rsidRPr="009257E7">
        <w:rPr>
          <w:lang w:val="es-ES"/>
        </w:rPr>
        <w:t xml:space="preserve"> ven. La ironía [...] es que las personas videntes están, en cierto sentido, cegadas por su vista; su visión les impide “ver” o apreciar los factores sociales que hacen que sus comprensiones visuales de la raza parezcan obvias, tangibles y coherentes. [...] Dicho sin rodeos, la raza tiene menos que ver con lo que un</w:t>
      </w:r>
      <w:r w:rsidR="005005B2" w:rsidRPr="009257E7">
        <w:rPr>
          <w:lang w:val="es-ES"/>
        </w:rPr>
        <w:t>o ve</w:t>
      </w:r>
      <w:r w:rsidRPr="009257E7">
        <w:rPr>
          <w:lang w:val="es-ES"/>
        </w:rPr>
        <w:t xml:space="preserve"> que con la forma en que un</w:t>
      </w:r>
      <w:r w:rsidR="005005B2" w:rsidRPr="009257E7">
        <w:rPr>
          <w:lang w:val="es-ES"/>
        </w:rPr>
        <w:t>o</w:t>
      </w:r>
      <w:r w:rsidRPr="009257E7">
        <w:rPr>
          <w:lang w:val="es-ES"/>
        </w:rPr>
        <w:t xml:space="preserve"> es socializad</w:t>
      </w:r>
      <w:r w:rsidR="005005B2" w:rsidRPr="009257E7">
        <w:rPr>
          <w:lang w:val="es-ES"/>
        </w:rPr>
        <w:t>o</w:t>
      </w:r>
      <w:r w:rsidRPr="009257E7">
        <w:rPr>
          <w:lang w:val="es-ES"/>
        </w:rPr>
        <w:t xml:space="preserve"> para ver, sin importar si puede ver o no.</w:t>
      </w:r>
      <w:r w:rsidR="005005B2" w:rsidRPr="009257E7">
        <w:rPr>
          <w:rStyle w:val="FootnoteReference"/>
          <w:lang w:val="es-ES"/>
        </w:rPr>
        <w:footnoteReference w:id="155"/>
      </w:r>
    </w:p>
    <w:p w14:paraId="3F4B1592" w14:textId="2517ED91" w:rsidR="006F73CA" w:rsidRPr="009257E7" w:rsidRDefault="006F73CA" w:rsidP="005005B2">
      <w:pPr>
        <w:pStyle w:val="NormalWeb"/>
        <w:ind w:firstLine="720"/>
        <w:rPr>
          <w:lang w:val="es-ES"/>
        </w:rPr>
      </w:pPr>
      <w:r w:rsidRPr="009257E7">
        <w:rPr>
          <w:lang w:val="es-ES"/>
        </w:rPr>
        <w:t xml:space="preserve">Obasogie revela que </w:t>
      </w:r>
      <w:r w:rsidR="005005B2" w:rsidRPr="009257E7">
        <w:rPr>
          <w:lang w:val="es-ES"/>
        </w:rPr>
        <w:t xml:space="preserve">el </w:t>
      </w:r>
      <w:r w:rsidR="009103D7" w:rsidRPr="009257E7">
        <w:rPr>
          <w:lang w:val="es-ES"/>
        </w:rPr>
        <w:t xml:space="preserve">daltonismo </w:t>
      </w:r>
      <w:proofErr w:type="gramStart"/>
      <w:r w:rsidR="009103D7" w:rsidRPr="009257E7">
        <w:rPr>
          <w:lang w:val="es-ES"/>
        </w:rPr>
        <w:t xml:space="preserve">racial </w:t>
      </w:r>
      <w:r w:rsidRPr="009257E7">
        <w:rPr>
          <w:lang w:val="es-ES"/>
        </w:rPr>
        <w:t xml:space="preserve"> es</w:t>
      </w:r>
      <w:proofErr w:type="gramEnd"/>
      <w:r w:rsidRPr="009257E7">
        <w:rPr>
          <w:lang w:val="es-ES"/>
        </w:rPr>
        <w:t xml:space="preserve"> una metáfora incoherente: una ficción jurídica con consecuencias sociales crueles. Demuestra empíricamente la imposibilidad social general de</w:t>
      </w:r>
      <w:r w:rsidR="00312784" w:rsidRPr="009257E7">
        <w:rPr>
          <w:lang w:val="es-ES"/>
        </w:rPr>
        <w:t xml:space="preserve">l </w:t>
      </w:r>
      <w:r w:rsidR="009103D7" w:rsidRPr="009257E7">
        <w:rPr>
          <w:lang w:val="es-ES"/>
        </w:rPr>
        <w:t xml:space="preserve">daltonismo </w:t>
      </w:r>
      <w:proofErr w:type="gramStart"/>
      <w:r w:rsidR="009103D7" w:rsidRPr="009257E7">
        <w:rPr>
          <w:lang w:val="es-ES"/>
        </w:rPr>
        <w:t xml:space="preserve">racial </w:t>
      </w:r>
      <w:r w:rsidRPr="009257E7">
        <w:rPr>
          <w:lang w:val="es-ES"/>
        </w:rPr>
        <w:t xml:space="preserve"> y</w:t>
      </w:r>
      <w:proofErr w:type="gramEnd"/>
      <w:r w:rsidRPr="009257E7">
        <w:rPr>
          <w:lang w:val="es-ES"/>
        </w:rPr>
        <w:t xml:space="preserve"> expone la falsedad de esa ficción jurídica. Esta ficción distorsiona la doctrina de </w:t>
      </w:r>
      <w:r w:rsidR="00200EA4" w:rsidRPr="009257E7">
        <w:rPr>
          <w:lang w:val="es-ES"/>
        </w:rPr>
        <w:t xml:space="preserve">la </w:t>
      </w:r>
      <w:r w:rsidRPr="009257E7">
        <w:rPr>
          <w:lang w:val="es-ES"/>
        </w:rPr>
        <w:t>igualdad de maneras</w:t>
      </w:r>
      <w:r w:rsidR="00200EA4" w:rsidRPr="009257E7">
        <w:rPr>
          <w:lang w:val="es-ES"/>
        </w:rPr>
        <w:t>,</w:t>
      </w:r>
      <w:r w:rsidRPr="009257E7">
        <w:rPr>
          <w:lang w:val="es-ES"/>
        </w:rPr>
        <w:t xml:space="preserve"> contraria</w:t>
      </w:r>
      <w:r w:rsidR="00200EA4" w:rsidRPr="009257E7">
        <w:rPr>
          <w:lang w:val="es-ES"/>
        </w:rPr>
        <w:t>mente</w:t>
      </w:r>
      <w:r w:rsidRPr="009257E7">
        <w:rPr>
          <w:lang w:val="es-ES"/>
        </w:rPr>
        <w:t xml:space="preserve"> a </w:t>
      </w:r>
      <w:r w:rsidR="00200EA4" w:rsidRPr="009257E7">
        <w:rPr>
          <w:lang w:val="es-ES"/>
        </w:rPr>
        <w:t>ella</w:t>
      </w:r>
      <w:r w:rsidRPr="009257E7">
        <w:rPr>
          <w:lang w:val="es-ES"/>
        </w:rPr>
        <w:t xml:space="preserve">. </w:t>
      </w:r>
      <w:r w:rsidR="00200EA4" w:rsidRPr="009257E7">
        <w:rPr>
          <w:lang w:val="es-ES"/>
        </w:rPr>
        <w:t>Existen m</w:t>
      </w:r>
      <w:r w:rsidRPr="009257E7">
        <w:rPr>
          <w:lang w:val="es-ES"/>
        </w:rPr>
        <w:t xml:space="preserve">itos similares en torno a la supremacía y la “diferencia” </w:t>
      </w:r>
      <w:r w:rsidR="00200EA4" w:rsidRPr="009257E7">
        <w:rPr>
          <w:lang w:val="es-ES"/>
        </w:rPr>
        <w:t xml:space="preserve">que </w:t>
      </w:r>
      <w:r w:rsidRPr="009257E7">
        <w:rPr>
          <w:lang w:val="es-ES"/>
        </w:rPr>
        <w:t>distorsionan la cultura, la práctica y la profesión del derecho, así como los contornos de las interacciones cotidianas.</w:t>
      </w:r>
    </w:p>
    <w:p w14:paraId="4F5536C5" w14:textId="2BB755DF" w:rsidR="00872221" w:rsidRPr="009257E7" w:rsidRDefault="006F73CA" w:rsidP="00872221">
      <w:pPr>
        <w:pStyle w:val="NormalWeb"/>
        <w:ind w:firstLine="720"/>
        <w:rPr>
          <w:b/>
          <w:bCs/>
          <w:lang w:val="es-ES"/>
        </w:rPr>
      </w:pPr>
      <w:r w:rsidRPr="009257E7">
        <w:rPr>
          <w:lang w:val="es-ES"/>
        </w:rPr>
        <w:t xml:space="preserve">Considérese, de </w:t>
      </w:r>
      <w:r w:rsidR="005A2812" w:rsidRPr="009257E7">
        <w:rPr>
          <w:lang w:val="es-ES"/>
        </w:rPr>
        <w:t>maner</w:t>
      </w:r>
      <w:r w:rsidRPr="009257E7">
        <w:rPr>
          <w:lang w:val="es-ES"/>
        </w:rPr>
        <w:t>a similar, cómo la inteligencia artificial “ve” la raza. A primera vista, podría pensarse que la inteligencia artificial puede ser entrenada para producir resultados ciegos al color, pero investigadores en una variedad de contextos han demostrado, hasta ahora, que la inteligencia artificial está limitada por la misma socialización racial de quienes la programan y de sus datos de entrada. Ya sea en el contexto de vehículos autónomos que no reconocen a peatones de piel más oscura, o de programas que predicen la probabilidad de reincidencia de personas negras y blancas condenadas, la inteligencia artificial puede replicar el sesgo humano, en particular los sesgos de l</w:t>
      </w:r>
      <w:r w:rsidR="005A2812" w:rsidRPr="009257E7">
        <w:rPr>
          <w:lang w:val="es-ES"/>
        </w:rPr>
        <w:t>o</w:t>
      </w:r>
      <w:r w:rsidRPr="009257E7">
        <w:rPr>
          <w:lang w:val="es-ES"/>
        </w:rPr>
        <w:t xml:space="preserve">s desarrolladores de programas y las fallas de la </w:t>
      </w:r>
      <w:r w:rsidRPr="009257E7">
        <w:rPr>
          <w:lang w:val="es-ES"/>
        </w:rPr>
        <w:lastRenderedPageBreak/>
        <w:t>experiencia pasada —en forma de datos— de la cual aprenden las máquinas</w:t>
      </w:r>
      <w:r w:rsidR="00B552C1" w:rsidRPr="009257E7">
        <w:rPr>
          <w:rStyle w:val="FootnoteReference"/>
          <w:lang w:val="es-ES"/>
        </w:rPr>
        <w:footnoteReference w:id="156"/>
      </w:r>
      <w:r w:rsidRPr="009257E7">
        <w:rPr>
          <w:lang w:val="es-ES"/>
        </w:rPr>
        <w:t xml:space="preserve">. La desconexión con la igualdad en la tecnología puede surgir, entre otras causas, de la injusticia sistémica social. Por ejemplo, la industria tecnológica prefería contratar </w:t>
      </w:r>
      <w:r w:rsidR="002F0F96" w:rsidRPr="009257E7">
        <w:rPr>
          <w:lang w:val="es-ES"/>
        </w:rPr>
        <w:t>a hombres cuando la contratación se hacía según la evaluación y las “corazonadas” de las personas”.</w:t>
      </w:r>
      <w:r w:rsidRPr="009257E7">
        <w:rPr>
          <w:lang w:val="es-ES"/>
        </w:rPr>
        <w:t xml:space="preserve"> Cuando se diseñó un programa para evaluar candidates a empleos, ese programa “aprendió” su técnica de evaluación al revisar el historial de currículos y contrataciones de la empresa. Probablemente, ese sistema de programación se enseñó a sí mismo a preferir candidates hombres. Supuestamente, Amazon descubrió esta falla en su propio motor de reclutamiento y lo descartó</w:t>
      </w:r>
      <w:r w:rsidR="00775344" w:rsidRPr="009257E7">
        <w:rPr>
          <w:rStyle w:val="FootnoteReference"/>
          <w:lang w:val="es-ES"/>
        </w:rPr>
        <w:footnoteReference w:id="157"/>
      </w:r>
      <w:r w:rsidRPr="009257E7">
        <w:rPr>
          <w:lang w:val="es-ES"/>
        </w:rPr>
        <w:t xml:space="preserve">. La tecnología, en esta coyuntura crítica, podría ayudar a resolver problemas sociales, o podría permanecer atrapada en los mismos surcos de las castas sociales. </w:t>
      </w:r>
      <w:r w:rsidR="002F0F96" w:rsidRPr="009257E7">
        <w:rPr>
          <w:lang w:val="es-ES"/>
        </w:rPr>
        <w:t>C</w:t>
      </w:r>
      <w:r w:rsidRPr="009257E7">
        <w:rPr>
          <w:lang w:val="es-ES"/>
        </w:rPr>
        <w:t xml:space="preserve">omo ilustran las afirmaciones </w:t>
      </w:r>
      <w:r w:rsidR="002F0F96" w:rsidRPr="009257E7">
        <w:rPr>
          <w:lang w:val="es-ES"/>
        </w:rPr>
        <w:t>sobre el</w:t>
      </w:r>
      <w:r w:rsidRPr="009257E7">
        <w:rPr>
          <w:lang w:val="es-ES"/>
        </w:rPr>
        <w:t xml:space="preserve"> </w:t>
      </w:r>
      <w:r w:rsidR="009103D7" w:rsidRPr="009257E7">
        <w:rPr>
          <w:lang w:val="es-ES"/>
        </w:rPr>
        <w:t xml:space="preserve">daltonismo </w:t>
      </w:r>
      <w:proofErr w:type="gramStart"/>
      <w:r w:rsidR="009103D7" w:rsidRPr="009257E7">
        <w:rPr>
          <w:lang w:val="es-ES"/>
        </w:rPr>
        <w:t xml:space="preserve">racial </w:t>
      </w:r>
      <w:r w:rsidRPr="009257E7">
        <w:rPr>
          <w:lang w:val="es-ES"/>
        </w:rPr>
        <w:t>,</w:t>
      </w:r>
      <w:proofErr w:type="gramEnd"/>
      <w:r w:rsidRPr="009257E7">
        <w:rPr>
          <w:lang w:val="es-ES"/>
        </w:rPr>
        <w:t xml:space="preserve"> las identidades sociales también importan y pueden convertirse en activos desde abajo</w:t>
      </w:r>
      <w:r w:rsidR="002F0F96" w:rsidRPr="009257E7">
        <w:rPr>
          <w:lang w:val="es-ES"/>
        </w:rPr>
        <w:t>,</w:t>
      </w:r>
      <w:r w:rsidRPr="009257E7">
        <w:rPr>
          <w:lang w:val="es-ES"/>
        </w:rPr>
        <w:t xml:space="preserve"> en luchas colectivas por la justicia igualitaria.</w:t>
      </w:r>
      <w:r w:rsidR="00872221" w:rsidRPr="009257E7">
        <w:rPr>
          <w:lang w:val="es-ES"/>
        </w:rPr>
        <w:br/>
      </w:r>
      <w:r w:rsidR="008F5B70" w:rsidRPr="009257E7">
        <w:rPr>
          <w:b/>
          <w:bCs/>
          <w:lang w:val="es-ES"/>
        </w:rPr>
        <w:br/>
        <w:t>4.4 Invertir los guiones sistémicos: las identidades sociales como activos grupales para luchas de largo plazo</w:t>
      </w:r>
    </w:p>
    <w:p w14:paraId="6521D6AE" w14:textId="51485DDA" w:rsidR="00775344" w:rsidRPr="009257E7" w:rsidRDefault="00D06C1B" w:rsidP="00D06C1B">
      <w:pPr>
        <w:pStyle w:val="NormalWeb"/>
        <w:ind w:firstLine="720"/>
        <w:rPr>
          <w:lang w:val="es-ES"/>
        </w:rPr>
      </w:pPr>
      <w:r w:rsidRPr="009257E7">
        <w:rPr>
          <w:lang w:val="es-ES"/>
        </w:rPr>
        <w:t xml:space="preserve">Hemos visto cómo los sistemas condicionan de manera efectiva la vida cotidiana y la sociedad en general. </w:t>
      </w:r>
      <w:r w:rsidR="00775344" w:rsidRPr="009257E7">
        <w:rPr>
          <w:lang w:val="es-ES"/>
        </w:rPr>
        <w:t xml:space="preserve">Los sistemas establecen los términos y el escenario de las relaciones y actividades humanas. Los usos sistémicos de las identidades sociales han producido identidades políticas; es decir, identidades politizadas arraigadas en experiencias compartidas o similares de injusticia sistémica y, quizás, de lucha social. Reconocer agravios y aspiraciones compartidas ayuda a les abogades a convertir esas identidades en activos que contribuyen a crear y sostener una conciencia colectiva para la lucha grupal </w:t>
      </w:r>
      <w:r w:rsidR="00ED77F0" w:rsidRPr="009257E7">
        <w:rPr>
          <w:lang w:val="es-ES"/>
        </w:rPr>
        <w:t>a</w:t>
      </w:r>
      <w:r w:rsidR="00775344" w:rsidRPr="009257E7">
        <w:rPr>
          <w:lang w:val="es-ES"/>
        </w:rPr>
        <w:t xml:space="preserve"> largo plazo. En efecto, esto invierte el guion de los usos desde arriba de la identidad para preservar jerarquías coloniales, de modo que les abogades puedan usar las identidades sociales como activos liberadores.</w:t>
      </w:r>
    </w:p>
    <w:p w14:paraId="5E35BC95" w14:textId="6C1C579C" w:rsidR="00775344" w:rsidRPr="009257E7" w:rsidRDefault="00775344" w:rsidP="00727E3F">
      <w:pPr>
        <w:pStyle w:val="NormalWeb"/>
        <w:ind w:firstLine="720"/>
        <w:rPr>
          <w:lang w:val="es-ES"/>
        </w:rPr>
      </w:pPr>
      <w:r w:rsidRPr="009257E7">
        <w:rPr>
          <w:lang w:val="es-ES"/>
        </w:rPr>
        <w:t xml:space="preserve">Las identidades sociales, como “personas de color”, son creadas por las propias personas, tanto desde arriba como desde abajo. Las identidades sociales son políticas porque los sistemas dominantes las han </w:t>
      </w:r>
      <w:r w:rsidR="00235AE9" w:rsidRPr="009257E7">
        <w:rPr>
          <w:lang w:val="es-ES"/>
        </w:rPr>
        <w:t>politizado</w:t>
      </w:r>
      <w:r w:rsidRPr="009257E7">
        <w:rPr>
          <w:lang w:val="es-ES"/>
        </w:rPr>
        <w:t xml:space="preserve"> desde arriba para justificar sistemas de casta. Pero también son políticas porque las personas pueden reclamarlas y volver a desplegarlas desde abajo para deshacer esas castas.</w:t>
      </w:r>
    </w:p>
    <w:p w14:paraId="4E908522" w14:textId="58B34D05" w:rsidR="00775344" w:rsidRPr="009257E7" w:rsidRDefault="00775344" w:rsidP="00727E3F">
      <w:pPr>
        <w:pStyle w:val="NormalWeb"/>
        <w:rPr>
          <w:lang w:val="es-ES"/>
        </w:rPr>
      </w:pPr>
      <w:r w:rsidRPr="009257E7">
        <w:rPr>
          <w:lang w:val="es-ES"/>
        </w:rPr>
        <w:t xml:space="preserve">Aprender que las identidades sociales son construidas socialmente —construidas de manera intencional— implica entender, por ejemplo, que no todas las niñas nacen con una inclinación esencial hacia el rosa ni todos los niños hacia el azul. Esta comprensión crítica implica, además, apreciar que las categorías de “niña” y “niño” </w:t>
      </w:r>
      <w:r w:rsidR="00727E3F" w:rsidRPr="009257E7">
        <w:rPr>
          <w:lang w:val="es-ES"/>
        </w:rPr>
        <w:t>son</w:t>
      </w:r>
      <w:r w:rsidRPr="009257E7">
        <w:rPr>
          <w:lang w:val="es-ES"/>
        </w:rPr>
        <w:t xml:space="preserve"> construcciones sociales. Las identidades sociales se parecen mucho a otra moneda inventada: el dinero. Tanto la identidad como el dinero son significativos en la vida cotidiana, aunque se entiende ampliamente que el dinero y la identidad son solo ficciones humanas —por eso la moneda de un país es solo papel en otro—. Es decir, todo el mundo entiende que las monedas o los billetes llamados “dinero” pueden tener valor en un lugar y no tener</w:t>
      </w:r>
      <w:r w:rsidR="00FF52D4" w:rsidRPr="009257E7">
        <w:rPr>
          <w:lang w:val="es-ES"/>
        </w:rPr>
        <w:t>lo</w:t>
      </w:r>
      <w:r w:rsidRPr="009257E7">
        <w:rPr>
          <w:lang w:val="es-ES"/>
        </w:rPr>
        <w:t xml:space="preserve"> en otro, porque esos objetos pueden </w:t>
      </w:r>
      <w:r w:rsidR="00FF52D4" w:rsidRPr="009257E7">
        <w:rPr>
          <w:lang w:val="es-ES"/>
        </w:rPr>
        <w:t>gana</w:t>
      </w:r>
      <w:r w:rsidRPr="009257E7">
        <w:rPr>
          <w:lang w:val="es-ES"/>
        </w:rPr>
        <w:t xml:space="preserve">r o perder valor. A nadie </w:t>
      </w:r>
      <w:r w:rsidRPr="009257E7">
        <w:rPr>
          <w:lang w:val="es-ES"/>
        </w:rPr>
        <w:lastRenderedPageBreak/>
        <w:t xml:space="preserve">le desconcierta que las monedas no tengan un valor intrínseco, fijo y universal. La misma comprensión </w:t>
      </w:r>
      <w:r w:rsidR="00FF52D4" w:rsidRPr="009257E7">
        <w:rPr>
          <w:lang w:val="es-ES"/>
        </w:rPr>
        <w:t xml:space="preserve">se </w:t>
      </w:r>
      <w:r w:rsidRPr="009257E7">
        <w:rPr>
          <w:lang w:val="es-ES"/>
        </w:rPr>
        <w:t>aplica a la blanquitud, la negritud y otros tipos de identidad social, que</w:t>
      </w:r>
      <w:r w:rsidR="00FF52D4" w:rsidRPr="009257E7">
        <w:rPr>
          <w:lang w:val="es-ES"/>
        </w:rPr>
        <w:t>,</w:t>
      </w:r>
      <w:r w:rsidRPr="009257E7">
        <w:rPr>
          <w:lang w:val="es-ES"/>
        </w:rPr>
        <w:t xml:space="preserve"> de manera similar</w:t>
      </w:r>
      <w:r w:rsidR="00FF52D4" w:rsidRPr="009257E7">
        <w:rPr>
          <w:lang w:val="es-ES"/>
        </w:rPr>
        <w:t>,</w:t>
      </w:r>
      <w:r w:rsidRPr="009257E7">
        <w:rPr>
          <w:lang w:val="es-ES"/>
        </w:rPr>
        <w:t xml:space="preserve"> pueden </w:t>
      </w:r>
      <w:r w:rsidR="00FF52D4" w:rsidRPr="009257E7">
        <w:rPr>
          <w:lang w:val="es-ES"/>
        </w:rPr>
        <w:t>adquir</w:t>
      </w:r>
      <w:r w:rsidRPr="009257E7">
        <w:rPr>
          <w:lang w:val="es-ES"/>
        </w:rPr>
        <w:t>ir o perder valor social en un lugar o tiempo determinado. La raza, por ejemplo, es una categoría que refleja principalmente agendas sociales desde arriba:</w:t>
      </w:r>
    </w:p>
    <w:p w14:paraId="19503D80" w14:textId="269BDC5F" w:rsidR="00775344" w:rsidRPr="009257E7" w:rsidRDefault="00775344" w:rsidP="00FF52D4">
      <w:pPr>
        <w:pStyle w:val="NormalWeb"/>
        <w:ind w:left="720"/>
        <w:rPr>
          <w:lang w:val="es-ES"/>
        </w:rPr>
      </w:pPr>
      <w:r w:rsidRPr="009257E7">
        <w:rPr>
          <w:lang w:val="es-ES"/>
        </w:rPr>
        <w:t xml:space="preserve">[R]aza” [significa] un grupo vasto de personas vinculadas de manera laxa por elementos históricamente contingentes y socialmente significativos de su morfología o ascendencia. [...] En otras palabras, los significados sociales conectan nuestros rostros con nuestras almas. La raza no es una esencia ni una ilusión, sino un proceso continuo, contradictorio y </w:t>
      </w:r>
      <w:proofErr w:type="spellStart"/>
      <w:r w:rsidRPr="009257E7">
        <w:rPr>
          <w:lang w:val="es-ES"/>
        </w:rPr>
        <w:t>autorreforzado</w:t>
      </w:r>
      <w:proofErr w:type="spellEnd"/>
      <w:r w:rsidRPr="009257E7">
        <w:rPr>
          <w:lang w:val="es-ES"/>
        </w:rPr>
        <w:t>, sujeto a las fuerzas macro de la lucha social y política y a los efectos micro de las decisiones cotidianas. [...] [L]os referentes de términos como negro, blanco, asiático y latino son grupos sociales, no ramas genéticamente distintas de la humanidad.</w:t>
      </w:r>
      <w:r w:rsidR="00A83ED1" w:rsidRPr="009257E7">
        <w:rPr>
          <w:rStyle w:val="FootnoteReference"/>
          <w:lang w:val="es-ES"/>
        </w:rPr>
        <w:footnoteReference w:id="158"/>
      </w:r>
    </w:p>
    <w:p w14:paraId="36540A4D" w14:textId="6E2CD175" w:rsidR="00775344" w:rsidRPr="009257E7" w:rsidRDefault="00775344" w:rsidP="00A83ED1">
      <w:pPr>
        <w:pStyle w:val="NormalWeb"/>
        <w:ind w:firstLine="720"/>
        <w:rPr>
          <w:lang w:val="es-ES"/>
        </w:rPr>
      </w:pPr>
      <w:r w:rsidRPr="009257E7">
        <w:rPr>
          <w:lang w:val="es-ES"/>
        </w:rPr>
        <w:t xml:space="preserve">La construcción social es un concepto crítico que subraya un hecho sistémico: ningún rasgo identitario único </w:t>
      </w:r>
      <w:r w:rsidR="004608FB" w:rsidRPr="009257E7">
        <w:rPr>
          <w:lang w:val="es-ES"/>
        </w:rPr>
        <w:t>conlleva</w:t>
      </w:r>
      <w:r w:rsidRPr="009257E7">
        <w:rPr>
          <w:lang w:val="es-ES"/>
        </w:rPr>
        <w:t xml:space="preserve"> un significado social fijo a </w:t>
      </w:r>
      <w:r w:rsidR="004608FB" w:rsidRPr="009257E7">
        <w:rPr>
          <w:lang w:val="es-ES"/>
        </w:rPr>
        <w:t>lo largo</w:t>
      </w:r>
      <w:r w:rsidRPr="009257E7">
        <w:rPr>
          <w:lang w:val="es-ES"/>
        </w:rPr>
        <w:t xml:space="preserve"> del espacio y </w:t>
      </w:r>
      <w:r w:rsidR="004608FB" w:rsidRPr="009257E7">
        <w:rPr>
          <w:lang w:val="es-ES"/>
        </w:rPr>
        <w:t>d</w:t>
      </w:r>
      <w:r w:rsidRPr="009257E7">
        <w:rPr>
          <w:lang w:val="es-ES"/>
        </w:rPr>
        <w:t>el tiempo. Ninguna identidad posee una cualidad “esencial”. Como el dinero, el significado de cualquier identidad varía según el contexto y la</w:t>
      </w:r>
      <w:r w:rsidR="004608FB" w:rsidRPr="009257E7">
        <w:rPr>
          <w:lang w:val="es-ES"/>
        </w:rPr>
        <w:t>s</w:t>
      </w:r>
      <w:r w:rsidRPr="009257E7">
        <w:rPr>
          <w:lang w:val="es-ES"/>
        </w:rPr>
        <w:t xml:space="preserve"> circunstancia</w:t>
      </w:r>
      <w:r w:rsidR="004608FB" w:rsidRPr="009257E7">
        <w:rPr>
          <w:lang w:val="es-ES"/>
        </w:rPr>
        <w:t>s</w:t>
      </w:r>
      <w:r w:rsidRPr="009257E7">
        <w:rPr>
          <w:lang w:val="es-ES"/>
        </w:rPr>
        <w:t>.</w:t>
      </w:r>
    </w:p>
    <w:p w14:paraId="511C0BA8" w14:textId="5BCDA3DB" w:rsidR="00775344" w:rsidRPr="009257E7" w:rsidRDefault="00775344" w:rsidP="004608FB">
      <w:pPr>
        <w:pStyle w:val="NormalWeb"/>
        <w:ind w:firstLine="720"/>
        <w:rPr>
          <w:lang w:val="es-ES"/>
        </w:rPr>
      </w:pPr>
      <w:r w:rsidRPr="009257E7">
        <w:rPr>
          <w:lang w:val="es-ES"/>
        </w:rPr>
        <w:t>Perspectivas como la “construcción social de las identidades” ayudan a mostrar a les abogades por qué las identidades sociales —o, con mayor precisión, sus efectos sociales— son interseccionales: las combinaciones de identidades construidas, como sexo, raza y religión, son infinitas entre los seres humanos y los grupos sociales. Por eso, ninguna identidad grupal debe confundirse con algo monolítico ni “</w:t>
      </w:r>
      <w:proofErr w:type="spellStart"/>
      <w:r w:rsidRPr="009257E7">
        <w:rPr>
          <w:lang w:val="es-ES"/>
        </w:rPr>
        <w:t>esencializarse</w:t>
      </w:r>
      <w:proofErr w:type="spellEnd"/>
      <w:r w:rsidRPr="009257E7">
        <w:rPr>
          <w:lang w:val="es-ES"/>
        </w:rPr>
        <w:t xml:space="preserve">” como colectivo. Así, todas las identidades sociales no solo </w:t>
      </w:r>
      <w:r w:rsidR="004608FB" w:rsidRPr="009257E7">
        <w:rPr>
          <w:lang w:val="es-ES"/>
        </w:rPr>
        <w:t>se construyen socialmente, sino también de manera interseccional, lo que exige un análisis antiesencialista</w:t>
      </w:r>
      <w:r w:rsidRPr="009257E7">
        <w:rPr>
          <w:lang w:val="es-ES"/>
        </w:rPr>
        <w:t xml:space="preserve"> de los grupos identitarios. En conjunto, esta tríada de conceptos —construcción social, interseccionalidad y antiesencialismo— ofrece herramientas conceptuales para el análisis y la abogacía</w:t>
      </w:r>
      <w:r w:rsidR="00DC2753" w:rsidRPr="009257E7">
        <w:rPr>
          <w:lang w:val="es-ES"/>
        </w:rPr>
        <w:t>,</w:t>
      </w:r>
      <w:r w:rsidRPr="009257E7">
        <w:rPr>
          <w:lang w:val="es-ES"/>
        </w:rPr>
        <w:t xml:space="preserve"> diseñadas para promover una comprensión crítica de las jerarquías basadas en la identidad en relación </w:t>
      </w:r>
      <w:r w:rsidR="00DC2753" w:rsidRPr="009257E7">
        <w:rPr>
          <w:lang w:val="es-ES"/>
        </w:rPr>
        <w:t>entre</w:t>
      </w:r>
      <w:r w:rsidRPr="009257E7">
        <w:rPr>
          <w:lang w:val="es-ES"/>
        </w:rPr>
        <w:t xml:space="preserve"> </w:t>
      </w:r>
      <w:r w:rsidR="00DC2753" w:rsidRPr="009257E7">
        <w:rPr>
          <w:lang w:val="es-ES"/>
        </w:rPr>
        <w:t>sí</w:t>
      </w:r>
      <w:r w:rsidRPr="009257E7">
        <w:rPr>
          <w:lang w:val="es-ES"/>
        </w:rPr>
        <w:t xml:space="preserve">. Estas herramientas conceptuales están diseñadas para usarse en apoyo de luchas grupales contra la injusticia sistémica mediante colaboraciones </w:t>
      </w:r>
      <w:proofErr w:type="spellStart"/>
      <w:r w:rsidRPr="009257E7">
        <w:rPr>
          <w:lang w:val="es-ES"/>
        </w:rPr>
        <w:t>coalicionales</w:t>
      </w:r>
      <w:proofErr w:type="spellEnd"/>
      <w:r w:rsidRPr="009257E7">
        <w:rPr>
          <w:lang w:val="es-ES"/>
        </w:rPr>
        <w:t>.</w:t>
      </w:r>
    </w:p>
    <w:p w14:paraId="3BF80426" w14:textId="3AF0CB17" w:rsidR="00775344" w:rsidRPr="009257E7" w:rsidRDefault="00775344" w:rsidP="00DC2753">
      <w:pPr>
        <w:pStyle w:val="NormalWeb"/>
        <w:ind w:firstLine="720"/>
        <w:rPr>
          <w:lang w:val="es-ES"/>
        </w:rPr>
      </w:pPr>
      <w:r w:rsidRPr="009257E7">
        <w:rPr>
          <w:lang w:val="es-ES"/>
        </w:rPr>
        <w:t>Estas herramientas amplían la capacidad de les abogades para reconocer que cada individuo ocupa posiciones en múltiples categorías a la vez: “cada ser humano tiene múltiples identidades que deben reconocerse, honrarse y celebrarse”</w:t>
      </w:r>
      <w:r w:rsidR="005F041B" w:rsidRPr="009257E7">
        <w:rPr>
          <w:rStyle w:val="FootnoteReference"/>
          <w:lang w:val="es-ES"/>
        </w:rPr>
        <w:footnoteReference w:id="159"/>
      </w:r>
      <w:r w:rsidRPr="009257E7">
        <w:rPr>
          <w:lang w:val="es-ES"/>
        </w:rPr>
        <w:t xml:space="preserve">, de modo que el carácter de una persona o población no puede reducirse a un solo rasgo identitario. Incluso los individuos que comparten una identidad particular no necesariamente comparten las mismas experiencias de vida. Más bien, todos los grupos son internamente diversos, sin importar cómo sean construidos socialmente, y, por tanto, cada grupo puede diferir internamente en intereses y prioridades. Las categorías identitarias se superponen, fluctúan y son complejas. Suponer que cualquier categoría identitaria contiene un punto de vista o significado social “esencial” o universalmente fijo, con intereses correspondientes, es un error analítico de primer orden. Aunque las identidades sociales </w:t>
      </w:r>
      <w:r w:rsidRPr="009257E7">
        <w:rPr>
          <w:lang w:val="es-ES"/>
        </w:rPr>
        <w:lastRenderedPageBreak/>
        <w:t xml:space="preserve">definen la experiencia personal en términos colectivizados, ese proceso es infinitamente variado e interseccional </w:t>
      </w:r>
      <w:r w:rsidR="00A50710" w:rsidRPr="009257E7">
        <w:rPr>
          <w:lang w:val="es-ES"/>
        </w:rPr>
        <w:t>entr</w:t>
      </w:r>
      <w:r w:rsidRPr="009257E7">
        <w:rPr>
          <w:lang w:val="es-ES"/>
        </w:rPr>
        <w:t>e contextos.</w:t>
      </w:r>
    </w:p>
    <w:p w14:paraId="34C3F0A9" w14:textId="67A1ADEF" w:rsidR="00775344" w:rsidRPr="009257E7" w:rsidRDefault="00775344" w:rsidP="00A50710">
      <w:pPr>
        <w:pStyle w:val="NormalWeb"/>
        <w:ind w:firstLine="720"/>
        <w:rPr>
          <w:lang w:val="es-ES"/>
        </w:rPr>
      </w:pPr>
      <w:r w:rsidRPr="009257E7">
        <w:rPr>
          <w:lang w:val="es-ES"/>
        </w:rPr>
        <w:t>Así como varían las vidas individuales y las condiciones sociales, también varían la prominencia y el significado de cualquier identidad compartida. Por ejemplo, una mujer víctima de violencia doméstica que es inmigrante indocumentada podría decidir no denunciar una agresión a</w:t>
      </w:r>
      <w:r w:rsidR="00C11969" w:rsidRPr="009257E7">
        <w:rPr>
          <w:lang w:val="es-ES"/>
        </w:rPr>
        <w:t>nte</w:t>
      </w:r>
      <w:r w:rsidRPr="009257E7">
        <w:rPr>
          <w:lang w:val="es-ES"/>
        </w:rPr>
        <w:t xml:space="preserve"> la policía, al </w:t>
      </w:r>
      <w:r w:rsidR="00C11969" w:rsidRPr="009257E7">
        <w:rPr>
          <w:lang w:val="es-ES"/>
        </w:rPr>
        <w:t>consider</w:t>
      </w:r>
      <w:r w:rsidRPr="009257E7">
        <w:rPr>
          <w:lang w:val="es-ES"/>
        </w:rPr>
        <w:t>ar que su vulnerabilidad a la deportación como inmigrante indocumentada es más pr</w:t>
      </w:r>
      <w:r w:rsidR="00C11969" w:rsidRPr="009257E7">
        <w:rPr>
          <w:lang w:val="es-ES"/>
        </w:rPr>
        <w:t>ecaria</w:t>
      </w:r>
      <w:r w:rsidRPr="009257E7">
        <w:rPr>
          <w:lang w:val="es-ES"/>
        </w:rPr>
        <w:t xml:space="preserve"> en esa situación que su condición de víctima de violencia doméstica. Su cálculo </w:t>
      </w:r>
      <w:r w:rsidR="00C11969" w:rsidRPr="009257E7">
        <w:rPr>
          <w:lang w:val="es-ES"/>
        </w:rPr>
        <w:t>difiere</w:t>
      </w:r>
      <w:r w:rsidRPr="009257E7">
        <w:rPr>
          <w:lang w:val="es-ES"/>
        </w:rPr>
        <w:t xml:space="preserve"> </w:t>
      </w:r>
      <w:r w:rsidR="00C11969" w:rsidRPr="009257E7">
        <w:rPr>
          <w:lang w:val="es-ES"/>
        </w:rPr>
        <w:t>de</w:t>
      </w:r>
      <w:r w:rsidRPr="009257E7">
        <w:rPr>
          <w:lang w:val="es-ES"/>
        </w:rPr>
        <w:t xml:space="preserve">l de una persona de la misma raza, género, clase y edad que </w:t>
      </w:r>
      <w:r w:rsidR="00C11969" w:rsidRPr="009257E7">
        <w:rPr>
          <w:lang w:val="es-ES"/>
        </w:rPr>
        <w:t>sea</w:t>
      </w:r>
      <w:r w:rsidRPr="009257E7">
        <w:rPr>
          <w:lang w:val="es-ES"/>
        </w:rPr>
        <w:t xml:space="preserve"> inmigrante documentada o ciudadana. Como explica la académica crítica del derecho </w:t>
      </w:r>
      <w:proofErr w:type="spellStart"/>
      <w:r w:rsidRPr="009257E7">
        <w:rPr>
          <w:lang w:val="es-ES"/>
        </w:rPr>
        <w:t>Kimberlé</w:t>
      </w:r>
      <w:proofErr w:type="spellEnd"/>
      <w:r w:rsidRPr="009257E7">
        <w:rPr>
          <w:lang w:val="es-ES"/>
        </w:rPr>
        <w:t xml:space="preserve"> Crenshaw, “la subordinación interseccional [...] es con frecuencia consecuencia de la imposición de una carga que interactúa con vulnerabilidades preexistentes para crear otra dimensión de </w:t>
      </w:r>
      <w:proofErr w:type="spellStart"/>
      <w:r w:rsidRPr="009257E7">
        <w:rPr>
          <w:lang w:val="es-ES"/>
        </w:rPr>
        <w:t>desempoderamiento</w:t>
      </w:r>
      <w:proofErr w:type="spellEnd"/>
      <w:r w:rsidRPr="009257E7">
        <w:rPr>
          <w:lang w:val="es-ES"/>
        </w:rPr>
        <w:t>”</w:t>
      </w:r>
      <w:r w:rsidR="00AC5DC3" w:rsidRPr="009257E7">
        <w:rPr>
          <w:rStyle w:val="FootnoteReference"/>
          <w:lang w:val="es-ES"/>
        </w:rPr>
        <w:footnoteReference w:id="160"/>
      </w:r>
      <w:r w:rsidRPr="009257E7">
        <w:rPr>
          <w:lang w:val="es-ES"/>
        </w:rPr>
        <w:t>. “</w:t>
      </w:r>
      <w:proofErr w:type="spellStart"/>
      <w:r w:rsidRPr="009257E7">
        <w:rPr>
          <w:lang w:val="es-ES"/>
        </w:rPr>
        <w:t>Esencializar</w:t>
      </w:r>
      <w:proofErr w:type="spellEnd"/>
      <w:r w:rsidRPr="009257E7">
        <w:rPr>
          <w:lang w:val="es-ES"/>
        </w:rPr>
        <w:t>” ya sea a “las mujeres” o a “les inmigrantes” distorsionaría el análisis porque ocultaría complejidades relevantes. La académica del derecho Nancy Levit añade que, al pensar en términos interseccionales y antiesencialistas,</w:t>
      </w:r>
      <w:r w:rsidR="00AC5DC3" w:rsidRPr="009257E7">
        <w:rPr>
          <w:lang w:val="es-ES"/>
        </w:rPr>
        <w:t xml:space="preserve"> les</w:t>
      </w:r>
      <w:r w:rsidRPr="009257E7">
        <w:rPr>
          <w:lang w:val="es-ES"/>
        </w:rPr>
        <w:t xml:space="preserve"> activistas y </w:t>
      </w:r>
      <w:r w:rsidR="00AC5DC3" w:rsidRPr="009257E7">
        <w:rPr>
          <w:lang w:val="es-ES"/>
        </w:rPr>
        <w:t xml:space="preserve">les </w:t>
      </w:r>
      <w:r w:rsidRPr="009257E7">
        <w:rPr>
          <w:lang w:val="es-ES"/>
        </w:rPr>
        <w:t>abogades llegan a comprender los problemas y las soluciones de manera distinta:</w:t>
      </w:r>
    </w:p>
    <w:p w14:paraId="5BF4487A" w14:textId="0C05D7DA" w:rsidR="00775344" w:rsidRPr="009257E7" w:rsidRDefault="00B7291D" w:rsidP="00AC5DC3">
      <w:pPr>
        <w:pStyle w:val="NormalWeb"/>
        <w:ind w:left="720"/>
        <w:rPr>
          <w:lang w:val="es-ES"/>
        </w:rPr>
      </w:pPr>
      <w:r w:rsidRPr="009257E7">
        <w:rPr>
          <w:lang w:val="es-ES"/>
        </w:rPr>
        <w:t>Al</w:t>
      </w:r>
      <w:r w:rsidR="00775344" w:rsidRPr="009257E7">
        <w:rPr>
          <w:lang w:val="es-ES"/>
        </w:rPr>
        <w:t xml:space="preserve"> nivel</w:t>
      </w:r>
      <w:r w:rsidRPr="009257E7">
        <w:rPr>
          <w:lang w:val="es-ES"/>
        </w:rPr>
        <w:t xml:space="preserve"> de la</w:t>
      </w:r>
      <w:r w:rsidR="00775344" w:rsidRPr="009257E7">
        <w:rPr>
          <w:lang w:val="es-ES"/>
        </w:rPr>
        <w:t xml:space="preserve"> experiencia, una persona puede pertenecer a varios grupos identitarios. [...] La discriminación basada en una característica identitaria podría verse agravada por la discriminación basada en otro aspecto de la identidad. Una mujer negra, por ejemplo, experimenta no solo racismo y sexismo, sino </w:t>
      </w:r>
      <w:r w:rsidRPr="009257E7">
        <w:rPr>
          <w:lang w:val="es-ES"/>
        </w:rPr>
        <w:t xml:space="preserve">también </w:t>
      </w:r>
      <w:r w:rsidR="00775344" w:rsidRPr="009257E7">
        <w:rPr>
          <w:lang w:val="es-ES"/>
        </w:rPr>
        <w:t xml:space="preserve">una carga mayor que </w:t>
      </w:r>
      <w:r w:rsidRPr="009257E7">
        <w:rPr>
          <w:lang w:val="es-ES"/>
        </w:rPr>
        <w:t xml:space="preserve">el </w:t>
      </w:r>
      <w:r w:rsidR="00775344" w:rsidRPr="009257E7">
        <w:rPr>
          <w:lang w:val="es-ES"/>
        </w:rPr>
        <w:t xml:space="preserve">doble de racismo y sexismo entrelazados, que constituye su propia forma única —y quizás particularmente virulenta— de discriminación. </w:t>
      </w:r>
      <w:r w:rsidRPr="009257E7">
        <w:rPr>
          <w:lang w:val="es-ES"/>
        </w:rPr>
        <w:t>A</w:t>
      </w:r>
      <w:r w:rsidR="00775344" w:rsidRPr="009257E7">
        <w:rPr>
          <w:lang w:val="es-ES"/>
        </w:rPr>
        <w:t xml:space="preserve"> nivel de clase, la discriminación se manifiesta contra grupos a lo largo de múltiples ejes que se </w:t>
      </w:r>
      <w:proofErr w:type="spellStart"/>
      <w:r w:rsidR="00775344" w:rsidRPr="009257E7">
        <w:rPr>
          <w:lang w:val="es-ES"/>
        </w:rPr>
        <w:t>intersectan</w:t>
      </w:r>
      <w:proofErr w:type="spellEnd"/>
      <w:r w:rsidR="00775344" w:rsidRPr="009257E7">
        <w:rPr>
          <w:lang w:val="es-ES"/>
        </w:rPr>
        <w:t xml:space="preserve">. Por ejemplo, los hombres de raza minoritaria, especialmente aquellos en </w:t>
      </w:r>
      <w:r w:rsidR="001B72B6" w:rsidRPr="009257E7">
        <w:rPr>
          <w:lang w:val="es-ES"/>
        </w:rPr>
        <w:t>situación de privación económica, pueden ser particularmente vulnerables a un procesamiento penal selectivo, al encarcelamiento, a sentencias</w:t>
      </w:r>
      <w:r w:rsidR="00775344" w:rsidRPr="009257E7">
        <w:rPr>
          <w:lang w:val="es-ES"/>
        </w:rPr>
        <w:t xml:space="preserve"> más altas y </w:t>
      </w:r>
      <w:r w:rsidRPr="009257E7">
        <w:rPr>
          <w:lang w:val="es-ES"/>
        </w:rPr>
        <w:t xml:space="preserve">a </w:t>
      </w:r>
      <w:r w:rsidR="00775344" w:rsidRPr="009257E7">
        <w:rPr>
          <w:lang w:val="es-ES"/>
        </w:rPr>
        <w:t>la imposición de la pena de muerte.</w:t>
      </w:r>
      <w:r w:rsidR="001B72B6" w:rsidRPr="009257E7">
        <w:rPr>
          <w:rStyle w:val="FootnoteReference"/>
          <w:lang w:val="es-ES"/>
        </w:rPr>
        <w:footnoteReference w:id="161"/>
      </w:r>
    </w:p>
    <w:p w14:paraId="458D5C4B" w14:textId="37895070" w:rsidR="00775344" w:rsidRPr="009257E7" w:rsidRDefault="00775344" w:rsidP="002770A0">
      <w:pPr>
        <w:pStyle w:val="NormalWeb"/>
        <w:ind w:firstLine="720"/>
        <w:rPr>
          <w:lang w:val="es-ES"/>
        </w:rPr>
      </w:pPr>
      <w:r w:rsidRPr="009257E7">
        <w:rPr>
          <w:lang w:val="es-ES"/>
        </w:rPr>
        <w:t xml:space="preserve">Conectar estos conceptos produce herramientas analíticas </w:t>
      </w:r>
      <w:r w:rsidR="002770A0" w:rsidRPr="009257E7">
        <w:rPr>
          <w:lang w:val="es-ES"/>
        </w:rPr>
        <w:t>derivadas</w:t>
      </w:r>
      <w:r w:rsidRPr="009257E7">
        <w:rPr>
          <w:lang w:val="es-ES"/>
        </w:rPr>
        <w:t xml:space="preserve"> del reconocimiento de que las identidades sociales son construcciones sociales. Tomados de las escuelas críticas y </w:t>
      </w:r>
      <w:r w:rsidR="002770A0" w:rsidRPr="009257E7">
        <w:rPr>
          <w:lang w:val="es-ES"/>
        </w:rPr>
        <w:t xml:space="preserve">de </w:t>
      </w:r>
      <w:r w:rsidRPr="009257E7">
        <w:rPr>
          <w:lang w:val="es-ES"/>
        </w:rPr>
        <w:t>los enfoques de abogacía, estos conceptos y otros similares nos ayudan a comprender y navegar</w:t>
      </w:r>
      <w:r w:rsidR="002770A0" w:rsidRPr="009257E7">
        <w:rPr>
          <w:lang w:val="es-ES"/>
        </w:rPr>
        <w:t xml:space="preserve"> por</w:t>
      </w:r>
      <w:r w:rsidRPr="009257E7">
        <w:rPr>
          <w:lang w:val="es-ES"/>
        </w:rPr>
        <w:t xml:space="preserve"> las realidades, suposiciones y contradicciones basadas en la identidad que pueden afectar la abogacía e inhibir el progreso. Al usar conceptos críticos, les abogades pueden convertir identidades subordinadas en activos para la organización y acción grupales, mientras evitan errores analíticos o estratégicos comunes.</w:t>
      </w:r>
    </w:p>
    <w:p w14:paraId="5B1A7945" w14:textId="77777777" w:rsidR="00775344" w:rsidRPr="009257E7" w:rsidRDefault="00775344" w:rsidP="00586605">
      <w:pPr>
        <w:pStyle w:val="NormalWeb"/>
        <w:ind w:firstLine="720"/>
        <w:rPr>
          <w:lang w:val="es-ES"/>
        </w:rPr>
      </w:pPr>
      <w:r w:rsidRPr="009257E7">
        <w:rPr>
          <w:lang w:val="es-ES"/>
        </w:rPr>
        <w:t xml:space="preserve">Jennifer Jihye Chun, George Lipsitz y Young Shin amplían estos puntos en términos prácticos. Trabajaron como organizadores y abogades con Asian </w:t>
      </w:r>
      <w:proofErr w:type="spellStart"/>
      <w:r w:rsidRPr="009257E7">
        <w:rPr>
          <w:lang w:val="es-ES"/>
        </w:rPr>
        <w:t>Immigrant</w:t>
      </w:r>
      <w:proofErr w:type="spellEnd"/>
      <w:r w:rsidRPr="009257E7">
        <w:rPr>
          <w:lang w:val="es-ES"/>
        </w:rPr>
        <w:t xml:space="preserve"> Women </w:t>
      </w:r>
      <w:proofErr w:type="spellStart"/>
      <w:r w:rsidRPr="009257E7">
        <w:rPr>
          <w:lang w:val="es-ES"/>
        </w:rPr>
        <w:t>Advocates</w:t>
      </w:r>
      <w:proofErr w:type="spellEnd"/>
      <w:r w:rsidRPr="009257E7">
        <w:rPr>
          <w:lang w:val="es-ES"/>
        </w:rPr>
        <w:t xml:space="preserve"> —AIWA—, un grupo de justicia inmigrante con sede en California, y describen la importancia práctica de comprender las identidades sociales de manera contextual para la abogacía transformadora:</w:t>
      </w:r>
    </w:p>
    <w:p w14:paraId="21AB259C" w14:textId="42EA6BA2" w:rsidR="00775344" w:rsidRPr="009257E7" w:rsidRDefault="00775344" w:rsidP="0062510E">
      <w:pPr>
        <w:pStyle w:val="NormalWeb"/>
        <w:ind w:left="720"/>
        <w:rPr>
          <w:lang w:val="es-ES"/>
        </w:rPr>
      </w:pPr>
      <w:r w:rsidRPr="009257E7">
        <w:rPr>
          <w:lang w:val="es-ES"/>
        </w:rPr>
        <w:lastRenderedPageBreak/>
        <w:t xml:space="preserve">AIWA no adopta la interseccionalidad simplemente porque sus integrantes hayan sido heridas por el racismo, el sexismo, el imperialismo, la explotación de clase y la discriminación lingüística, sino porque cada ámbito de estas experiencias ha ayudado a la organización a ver cómo funciona el poder y cómo se necesitan identidades nuevas para combatir su alcance y </w:t>
      </w:r>
      <w:r w:rsidR="006000D1" w:rsidRPr="009257E7">
        <w:rPr>
          <w:lang w:val="es-ES"/>
        </w:rPr>
        <w:t xml:space="preserve">su </w:t>
      </w:r>
      <w:r w:rsidRPr="009257E7">
        <w:rPr>
          <w:lang w:val="es-ES"/>
        </w:rPr>
        <w:t>extensión interseccionales. [...]</w:t>
      </w:r>
    </w:p>
    <w:p w14:paraId="3DCE8779" w14:textId="74720AB6" w:rsidR="00775344" w:rsidRPr="009257E7" w:rsidRDefault="00775344" w:rsidP="0062510E">
      <w:pPr>
        <w:pStyle w:val="NormalWeb"/>
        <w:ind w:left="720"/>
        <w:rPr>
          <w:lang w:val="es-ES"/>
        </w:rPr>
      </w:pPr>
      <w:r w:rsidRPr="009257E7">
        <w:rPr>
          <w:lang w:val="es-ES"/>
        </w:rPr>
        <w:t xml:space="preserve">[...] Los crímenes de odio y la discriminación en vivienda evidencian por igual la “agrupación racial”, mediante la cual la hostilidad hacia </w:t>
      </w:r>
      <w:r w:rsidR="006000D1" w:rsidRPr="009257E7">
        <w:rPr>
          <w:lang w:val="es-ES"/>
        </w:rPr>
        <w:t xml:space="preserve">las </w:t>
      </w:r>
      <w:r w:rsidRPr="009257E7">
        <w:rPr>
          <w:lang w:val="es-ES"/>
        </w:rPr>
        <w:t>nacionalidades asiáticas particulares se generaliza a todas</w:t>
      </w:r>
      <w:r w:rsidR="006000D1" w:rsidRPr="009257E7">
        <w:rPr>
          <w:lang w:val="es-ES"/>
        </w:rPr>
        <w:t xml:space="preserve"> ellas</w:t>
      </w:r>
      <w:r w:rsidRPr="009257E7">
        <w:rPr>
          <w:lang w:val="es-ES"/>
        </w:rPr>
        <w:t>. [...]</w:t>
      </w:r>
    </w:p>
    <w:p w14:paraId="372FF078" w14:textId="33AAD77D" w:rsidR="00775344" w:rsidRPr="009257E7" w:rsidRDefault="00775344" w:rsidP="0062510E">
      <w:pPr>
        <w:pStyle w:val="NormalWeb"/>
        <w:ind w:left="720"/>
        <w:rPr>
          <w:lang w:val="es-ES"/>
        </w:rPr>
      </w:pPr>
      <w:r w:rsidRPr="009257E7">
        <w:rPr>
          <w:lang w:val="es-ES"/>
        </w:rPr>
        <w:t xml:space="preserve">[...] [S]i se usan correctamente, las delimitaciones de diferencia pueden convertirse en fuentes de empoderamiento social y </w:t>
      </w:r>
      <w:r w:rsidR="00C07696" w:rsidRPr="009257E7">
        <w:rPr>
          <w:lang w:val="es-ES"/>
        </w:rPr>
        <w:t xml:space="preserve">de </w:t>
      </w:r>
      <w:r w:rsidRPr="009257E7">
        <w:rPr>
          <w:lang w:val="es-ES"/>
        </w:rPr>
        <w:t xml:space="preserve">reconstrucción en </w:t>
      </w:r>
      <w:r w:rsidR="00C07696" w:rsidRPr="009257E7">
        <w:rPr>
          <w:lang w:val="es-ES"/>
        </w:rPr>
        <w:t>ciert</w:t>
      </w:r>
      <w:r w:rsidRPr="009257E7">
        <w:rPr>
          <w:lang w:val="es-ES"/>
        </w:rPr>
        <w:t>as circunstancias. [...] Toda política es política identitaria. Todas las luchas por el poder se relacionan, en algún grado, con los significados sociales a</w:t>
      </w:r>
      <w:r w:rsidR="00C07696" w:rsidRPr="009257E7">
        <w:rPr>
          <w:lang w:val="es-ES"/>
        </w:rPr>
        <w:t>tribui</w:t>
      </w:r>
      <w:r w:rsidRPr="009257E7">
        <w:rPr>
          <w:lang w:val="es-ES"/>
        </w:rPr>
        <w:t>dos a identidades e identificaciones construidas. [...]</w:t>
      </w:r>
    </w:p>
    <w:p w14:paraId="4528F852" w14:textId="310D6CA8" w:rsidR="00775344" w:rsidRPr="009257E7" w:rsidRDefault="00775344" w:rsidP="0062510E">
      <w:pPr>
        <w:pStyle w:val="NormalWeb"/>
        <w:ind w:left="720"/>
        <w:rPr>
          <w:lang w:val="es-ES"/>
        </w:rPr>
      </w:pPr>
      <w:r w:rsidRPr="009257E7">
        <w:rPr>
          <w:lang w:val="es-ES"/>
        </w:rPr>
        <w:t>Los movimientos basados en género y raza, como AIWA, buscan dar a la identidad una definición política, para unir grupos alrededor de creencias y experiencias comunes, no alrededor de fenotipos comunes o características biológicas. [...] Las posiciones y políticas menospreciadas como identitaria</w:t>
      </w:r>
      <w:r w:rsidR="00C07696" w:rsidRPr="009257E7">
        <w:rPr>
          <w:lang w:val="es-ES"/>
        </w:rPr>
        <w:t>s</w:t>
      </w:r>
      <w:r w:rsidRPr="009257E7">
        <w:rPr>
          <w:lang w:val="es-ES"/>
        </w:rPr>
        <w:t xml:space="preserve"> implican, en realidad, esfuerzos necesarios </w:t>
      </w:r>
      <w:r w:rsidR="00436A29" w:rsidRPr="009257E7">
        <w:rPr>
          <w:lang w:val="es-ES"/>
        </w:rPr>
        <w:t xml:space="preserve">por parte </w:t>
      </w:r>
      <w:r w:rsidRPr="009257E7">
        <w:rPr>
          <w:lang w:val="es-ES"/>
        </w:rPr>
        <w:t xml:space="preserve">de </w:t>
      </w:r>
      <w:r w:rsidR="00C07696" w:rsidRPr="009257E7">
        <w:rPr>
          <w:lang w:val="es-ES"/>
        </w:rPr>
        <w:t xml:space="preserve">los </w:t>
      </w:r>
      <w:r w:rsidRPr="009257E7">
        <w:rPr>
          <w:lang w:val="es-ES"/>
        </w:rPr>
        <w:t>grupos agraviados para convertir la adscripción negativa en</w:t>
      </w:r>
      <w:r w:rsidR="00C07696" w:rsidRPr="009257E7">
        <w:rPr>
          <w:lang w:val="es-ES"/>
        </w:rPr>
        <w:t xml:space="preserve"> una</w:t>
      </w:r>
      <w:r w:rsidRPr="009257E7">
        <w:rPr>
          <w:lang w:val="es-ES"/>
        </w:rPr>
        <w:t xml:space="preserve"> afirmación positiva. Las movilizaciones basadas en la identidad son movimientos tácticos que derivan su lógica y </w:t>
      </w:r>
      <w:r w:rsidR="00436A29" w:rsidRPr="009257E7">
        <w:rPr>
          <w:lang w:val="es-ES"/>
        </w:rPr>
        <w:t>su fuerza social de la utilidad de enfatizar aquello que une a un grupo, en lugar de aquello que lo divide.</w:t>
      </w:r>
      <w:r w:rsidRPr="009257E7">
        <w:rPr>
          <w:lang w:val="es-ES"/>
        </w:rPr>
        <w:t xml:space="preserve"> Invitan a las comunidades a habitar las identidades que se les han impuesto para trabajar a través de ellas. [...]</w:t>
      </w:r>
      <w:r w:rsidR="006000D1" w:rsidRPr="009257E7">
        <w:rPr>
          <w:rStyle w:val="FootnoteReference"/>
          <w:lang w:val="es-ES"/>
        </w:rPr>
        <w:footnoteReference w:id="162"/>
      </w:r>
    </w:p>
    <w:p w14:paraId="4FCB3BA1" w14:textId="3253BD27" w:rsidR="00775344" w:rsidRPr="009257E7" w:rsidRDefault="00775344" w:rsidP="00436A29">
      <w:pPr>
        <w:pStyle w:val="NormalWeb"/>
        <w:ind w:firstLine="720"/>
        <w:rPr>
          <w:lang w:val="es-ES"/>
        </w:rPr>
      </w:pPr>
      <w:r w:rsidRPr="009257E7">
        <w:rPr>
          <w:lang w:val="es-ES"/>
        </w:rPr>
        <w:t xml:space="preserve">Perspectivas críticas como la construcción social, el antiesencialismo y la interseccionalidad no son conceptos ociosos. Estas herramientas críticas apoyan la lucha grupal organizada. Están diseñadas para aplicaciones en el mundo real: analizar contextos y organizar acciones a pesar del </w:t>
      </w:r>
      <w:r w:rsidR="00436A29" w:rsidRPr="009257E7">
        <w:rPr>
          <w:lang w:val="es-ES"/>
        </w:rPr>
        <w:t>daltonismo racial</w:t>
      </w:r>
      <w:r w:rsidRPr="009257E7">
        <w:rPr>
          <w:lang w:val="es-ES"/>
        </w:rPr>
        <w:t xml:space="preserve"> sistémico y</w:t>
      </w:r>
      <w:r w:rsidR="00436A29" w:rsidRPr="009257E7">
        <w:rPr>
          <w:lang w:val="es-ES"/>
        </w:rPr>
        <w:t xml:space="preserve"> de</w:t>
      </w:r>
      <w:r w:rsidRPr="009257E7">
        <w:rPr>
          <w:lang w:val="es-ES"/>
        </w:rPr>
        <w:t xml:space="preserve"> las ficciones jurídicas. Ayudan a les abogades a comprender cómo convertir identidades en activos para la acción, mientras evitan errores comunes. Al subrayar este punto fundamental, la socióloga Mary Romero ha explicado de manera similar que:</w:t>
      </w:r>
    </w:p>
    <w:p w14:paraId="42BB6129" w14:textId="547484C5" w:rsidR="00775344" w:rsidRPr="009257E7" w:rsidRDefault="00775344" w:rsidP="00E42A73">
      <w:pPr>
        <w:pStyle w:val="NormalWeb"/>
        <w:ind w:left="720"/>
        <w:rPr>
          <w:lang w:val="es-ES"/>
        </w:rPr>
      </w:pPr>
      <w:r w:rsidRPr="009257E7">
        <w:rPr>
          <w:lang w:val="es-ES"/>
        </w:rPr>
        <w:t xml:space="preserve">Las formas en que los movimientos basados en la raza y las comunidades racializadas construyen sus identidades tienen implicaciones enormes para establecer agendas de justicia y para construir coaliciones. Las etnicidades racializadas se forjaron a </w:t>
      </w:r>
      <w:r w:rsidR="00E42A73" w:rsidRPr="009257E7">
        <w:rPr>
          <w:lang w:val="es-ES"/>
        </w:rPr>
        <w:t>lo largo</w:t>
      </w:r>
      <w:r w:rsidRPr="009257E7">
        <w:rPr>
          <w:lang w:val="es-ES"/>
        </w:rPr>
        <w:t xml:space="preserve"> de siglos de colonialismo, conquista, esclavitud, capitalismo, racismo, sexismo, clasismo y </w:t>
      </w:r>
      <w:r w:rsidR="00E42A73" w:rsidRPr="009257E7">
        <w:rPr>
          <w:lang w:val="es-ES"/>
        </w:rPr>
        <w:t xml:space="preserve">de </w:t>
      </w:r>
      <w:r w:rsidRPr="009257E7">
        <w:rPr>
          <w:lang w:val="es-ES"/>
        </w:rPr>
        <w:t xml:space="preserve">políticas de apropiación y cooptación. En consecuencia, todas las formas de resistencia y </w:t>
      </w:r>
      <w:r w:rsidR="00E42A73" w:rsidRPr="009257E7">
        <w:rPr>
          <w:lang w:val="es-ES"/>
        </w:rPr>
        <w:t xml:space="preserve">de </w:t>
      </w:r>
      <w:r w:rsidRPr="009257E7">
        <w:rPr>
          <w:lang w:val="es-ES"/>
        </w:rPr>
        <w:t xml:space="preserve">lucha plantean preguntas extremadamente complejas. Para resistir de manera </w:t>
      </w:r>
      <w:r w:rsidRPr="009257E7">
        <w:rPr>
          <w:lang w:val="es-ES"/>
        </w:rPr>
        <w:lastRenderedPageBreak/>
        <w:t xml:space="preserve">efectiva, debemos reconsiderar y reconstruir constantemente la identidad [como </w:t>
      </w:r>
      <w:r w:rsidR="00916B69" w:rsidRPr="009257E7">
        <w:rPr>
          <w:lang w:val="es-ES"/>
        </w:rPr>
        <w:t xml:space="preserve">un </w:t>
      </w:r>
      <w:r w:rsidRPr="009257E7">
        <w:rPr>
          <w:lang w:val="es-ES"/>
        </w:rPr>
        <w:t>activo para el progreso desde abajo].</w:t>
      </w:r>
      <w:r w:rsidR="00916B69" w:rsidRPr="009257E7">
        <w:rPr>
          <w:rStyle w:val="FootnoteReference"/>
          <w:lang w:val="es-ES"/>
        </w:rPr>
        <w:footnoteReference w:id="163"/>
      </w:r>
    </w:p>
    <w:p w14:paraId="4BD1E0CC" w14:textId="77777777" w:rsidR="00EA6922" w:rsidRPr="009257E7" w:rsidRDefault="00775344" w:rsidP="00EA6922">
      <w:pPr>
        <w:pStyle w:val="NormalWeb"/>
        <w:ind w:firstLine="720"/>
        <w:rPr>
          <w:b/>
          <w:bCs/>
          <w:lang w:val="es-ES"/>
        </w:rPr>
      </w:pPr>
      <w:r w:rsidRPr="009257E7">
        <w:rPr>
          <w:lang w:val="es-ES"/>
        </w:rPr>
        <w:t xml:space="preserve">Al usar las identidades como activos, las luchas grupales organizadas invierten los guiones sistémicos para perseguir valores y objetivos </w:t>
      </w:r>
      <w:proofErr w:type="spellStart"/>
      <w:r w:rsidRPr="009257E7">
        <w:rPr>
          <w:lang w:val="es-ES"/>
        </w:rPr>
        <w:t>antisubordinación</w:t>
      </w:r>
      <w:proofErr w:type="spellEnd"/>
      <w:r w:rsidRPr="009257E7">
        <w:rPr>
          <w:lang w:val="es-ES"/>
        </w:rPr>
        <w:t xml:space="preserve"> que atraviesan múltiples tipos de diferencia</w:t>
      </w:r>
      <w:r w:rsidR="00916B69" w:rsidRPr="009257E7">
        <w:rPr>
          <w:lang w:val="es-ES"/>
        </w:rPr>
        <w:t>s</w:t>
      </w:r>
      <w:r w:rsidRPr="009257E7">
        <w:rPr>
          <w:lang w:val="es-ES"/>
        </w:rPr>
        <w:t xml:space="preserve"> identitaria</w:t>
      </w:r>
      <w:r w:rsidR="00916B69" w:rsidRPr="009257E7">
        <w:rPr>
          <w:lang w:val="es-ES"/>
        </w:rPr>
        <w:t>s</w:t>
      </w:r>
      <w:r w:rsidRPr="009257E7">
        <w:rPr>
          <w:lang w:val="es-ES"/>
        </w:rPr>
        <w:t>.</w:t>
      </w:r>
      <w:r w:rsidR="00EA6922" w:rsidRPr="009257E7">
        <w:rPr>
          <w:lang w:val="es-ES"/>
        </w:rPr>
        <w:br/>
      </w:r>
      <w:r w:rsidR="008F5B70" w:rsidRPr="009257E7">
        <w:rPr>
          <w:b/>
          <w:bCs/>
          <w:lang w:val="es-ES"/>
        </w:rPr>
        <w:br/>
        <w:t xml:space="preserve">4.5 La solidaridad </w:t>
      </w:r>
      <w:proofErr w:type="spellStart"/>
      <w:r w:rsidR="008F5B70" w:rsidRPr="009257E7">
        <w:rPr>
          <w:b/>
          <w:bCs/>
          <w:lang w:val="es-ES"/>
        </w:rPr>
        <w:t>antisubordinación</w:t>
      </w:r>
      <w:proofErr w:type="spellEnd"/>
      <w:r w:rsidR="008F5B70" w:rsidRPr="009257E7">
        <w:rPr>
          <w:b/>
          <w:bCs/>
          <w:lang w:val="es-ES"/>
        </w:rPr>
        <w:t xml:space="preserve"> construye poder a través de múltiples tipos de diferencia</w:t>
      </w:r>
    </w:p>
    <w:p w14:paraId="31EFD263" w14:textId="34556F8E" w:rsidR="00F84069" w:rsidRPr="009257E7" w:rsidRDefault="00F84069" w:rsidP="00292994">
      <w:pPr>
        <w:pStyle w:val="NormalWeb"/>
        <w:ind w:firstLine="720"/>
        <w:rPr>
          <w:lang w:val="es-ES"/>
        </w:rPr>
      </w:pPr>
      <w:r w:rsidRPr="009257E7">
        <w:rPr>
          <w:lang w:val="es-ES"/>
        </w:rPr>
        <w:t xml:space="preserve">Las concepciones judiciales de la antidiscriminación delimitan el derecho </w:t>
      </w:r>
      <w:r w:rsidR="00292994" w:rsidRPr="009257E7">
        <w:rPr>
          <w:lang w:val="es-ES"/>
        </w:rPr>
        <w:t>a</w:t>
      </w:r>
      <w:r w:rsidRPr="009257E7">
        <w:rPr>
          <w:lang w:val="es-ES"/>
        </w:rPr>
        <w:t xml:space="preserve"> la igualdad formal y su acomod</w:t>
      </w:r>
      <w:r w:rsidR="0032121F" w:rsidRPr="009257E7">
        <w:rPr>
          <w:lang w:val="es-ES"/>
        </w:rPr>
        <w:t>o</w:t>
      </w:r>
      <w:r w:rsidRPr="009257E7">
        <w:rPr>
          <w:lang w:val="es-ES"/>
        </w:rPr>
        <w:t xml:space="preserve"> </w:t>
      </w:r>
      <w:r w:rsidR="00292994" w:rsidRPr="009257E7">
        <w:rPr>
          <w:lang w:val="es-ES"/>
        </w:rPr>
        <w:t>a</w:t>
      </w:r>
      <w:r w:rsidRPr="009257E7">
        <w:rPr>
          <w:lang w:val="es-ES"/>
        </w:rPr>
        <w:t xml:space="preserve"> las desigualdades. En </w:t>
      </w:r>
      <w:r w:rsidR="0032121F" w:rsidRPr="009257E7">
        <w:rPr>
          <w:lang w:val="es-ES"/>
        </w:rPr>
        <w:t xml:space="preserve">los </w:t>
      </w:r>
      <w:r w:rsidRPr="009257E7">
        <w:rPr>
          <w:lang w:val="es-ES"/>
        </w:rPr>
        <w:t xml:space="preserve">Estados Unidos, el “principio </w:t>
      </w:r>
      <w:r w:rsidR="0032121F" w:rsidRPr="009257E7">
        <w:rPr>
          <w:lang w:val="es-ES"/>
        </w:rPr>
        <w:t xml:space="preserve">de </w:t>
      </w:r>
      <w:r w:rsidRPr="009257E7">
        <w:rPr>
          <w:lang w:val="es-ES"/>
        </w:rPr>
        <w:t xml:space="preserve">antidiscriminación” domina el derecho de igualdad. Según la interpretación judicial, este marco antidiscriminación solo mira si </w:t>
      </w:r>
      <w:r w:rsidR="00BA1574" w:rsidRPr="009257E7">
        <w:rPr>
          <w:lang w:val="es-ES"/>
        </w:rPr>
        <w:t>el</w:t>
      </w:r>
      <w:r w:rsidRPr="009257E7">
        <w:rPr>
          <w:lang w:val="es-ES"/>
        </w:rPr>
        <w:t xml:space="preserve"> demandante puede producir evidencia de “prueba irrefutable” que muestre que </w:t>
      </w:r>
      <w:r w:rsidR="0032121F" w:rsidRPr="009257E7">
        <w:rPr>
          <w:lang w:val="es-ES"/>
        </w:rPr>
        <w:t>el</w:t>
      </w:r>
      <w:r w:rsidRPr="009257E7">
        <w:rPr>
          <w:lang w:val="es-ES"/>
        </w:rPr>
        <w:t xml:space="preserve"> demandad</w:t>
      </w:r>
      <w:r w:rsidR="00BA1574" w:rsidRPr="009257E7">
        <w:rPr>
          <w:lang w:val="es-ES"/>
        </w:rPr>
        <w:t>o</w:t>
      </w:r>
      <w:r w:rsidRPr="009257E7">
        <w:rPr>
          <w:lang w:val="es-ES"/>
        </w:rPr>
        <w:t xml:space="preserve">, de forma individual, consciente y abierta, “tuvo la intención” de discriminar contra </w:t>
      </w:r>
      <w:r w:rsidR="0032121F" w:rsidRPr="009257E7">
        <w:rPr>
          <w:lang w:val="es-ES"/>
        </w:rPr>
        <w:t>el</w:t>
      </w:r>
      <w:r w:rsidRPr="009257E7">
        <w:rPr>
          <w:lang w:val="es-ES"/>
        </w:rPr>
        <w:t xml:space="preserve"> demandante individual. Este enfoque estrecho ignora los problemas conocidos de discriminación </w:t>
      </w:r>
      <w:proofErr w:type="spellStart"/>
      <w:r w:rsidRPr="009257E7">
        <w:rPr>
          <w:lang w:val="es-ES"/>
        </w:rPr>
        <w:t>pretextual</w:t>
      </w:r>
      <w:proofErr w:type="spellEnd"/>
      <w:r w:rsidRPr="009257E7">
        <w:rPr>
          <w:lang w:val="es-ES"/>
        </w:rPr>
        <w:t xml:space="preserve"> y el uso de sustitutos para disfrazar la discriminación intencional. Esta doctrina también </w:t>
      </w:r>
      <w:r w:rsidR="00BA1574" w:rsidRPr="009257E7">
        <w:rPr>
          <w:lang w:val="es-ES"/>
        </w:rPr>
        <w:t>sostiene</w:t>
      </w:r>
      <w:r w:rsidRPr="009257E7">
        <w:rPr>
          <w:lang w:val="es-ES"/>
        </w:rPr>
        <w:t xml:space="preserve"> que los efectos discriminatorios evidentes son, en su mayoría, irrelevantes; jurídicamente, solo importa el “propósito” manifiesto. Este encuadre judicial crea obstáculos probatorios que exculpan </w:t>
      </w:r>
      <w:r w:rsidR="007578D9" w:rsidRPr="009257E7">
        <w:rPr>
          <w:lang w:val="es-ES"/>
        </w:rPr>
        <w:t xml:space="preserve">de </w:t>
      </w:r>
      <w:r w:rsidRPr="009257E7">
        <w:rPr>
          <w:lang w:val="es-ES"/>
        </w:rPr>
        <w:t>la discriminación y refuerzan la desigualdad.</w:t>
      </w:r>
    </w:p>
    <w:p w14:paraId="5866FD19" w14:textId="2079F549" w:rsidR="00F84069" w:rsidRPr="009257E7" w:rsidRDefault="00F84069" w:rsidP="007578D9">
      <w:pPr>
        <w:pStyle w:val="NormalWeb"/>
        <w:ind w:firstLine="720"/>
        <w:rPr>
          <w:lang w:val="es-ES"/>
        </w:rPr>
      </w:pPr>
      <w:r w:rsidRPr="009257E7">
        <w:rPr>
          <w:lang w:val="es-ES"/>
        </w:rPr>
        <w:t xml:space="preserve">Este régimen doctrinal desatiende las posiciones sociales y las asimetrías </w:t>
      </w:r>
      <w:r w:rsidR="007578D9" w:rsidRPr="009257E7">
        <w:rPr>
          <w:lang w:val="es-ES"/>
        </w:rPr>
        <w:t>entr</w:t>
      </w:r>
      <w:r w:rsidRPr="009257E7">
        <w:rPr>
          <w:lang w:val="es-ES"/>
        </w:rPr>
        <w:t>e actores “diferentes”. Equipara a personas blancas con personas negras y a hombres con mujeres, como si las personas de cada grupo ya</w:t>
      </w:r>
      <w:r w:rsidR="007578D9" w:rsidRPr="009257E7">
        <w:rPr>
          <w:lang w:val="es-ES"/>
        </w:rPr>
        <w:t xml:space="preserve"> compartieran</w:t>
      </w:r>
      <w:r w:rsidRPr="009257E7">
        <w:rPr>
          <w:lang w:val="es-ES"/>
        </w:rPr>
        <w:t xml:space="preserve"> una historia y una posición de igualdad similares. La doctrina antidiscriminación venda los ojos del derecho ante la di</w:t>
      </w:r>
      <w:r w:rsidR="007578D9" w:rsidRPr="009257E7">
        <w:rPr>
          <w:lang w:val="es-ES"/>
        </w:rPr>
        <w:t>stinción</w:t>
      </w:r>
      <w:r w:rsidRPr="009257E7">
        <w:rPr>
          <w:lang w:val="es-ES"/>
        </w:rPr>
        <w:t xml:space="preserve"> entre el </w:t>
      </w:r>
      <w:proofErr w:type="gramStart"/>
      <w:r w:rsidRPr="009257E7">
        <w:rPr>
          <w:lang w:val="es-ES"/>
        </w:rPr>
        <w:t>privilegio sistémico y la subordinación sistémica</w:t>
      </w:r>
      <w:proofErr w:type="gramEnd"/>
      <w:r w:rsidRPr="009257E7">
        <w:rPr>
          <w:lang w:val="es-ES"/>
        </w:rPr>
        <w:t xml:space="preserve">. Como resultado, el principio antidiscriminación falla, por diseño judicial, al distinguir entre formas remediales e injuriosas de “discriminación”. Este fracaso permitió que las nociones judiciales de “discriminación inversa” detuvieran </w:t>
      </w:r>
      <w:r w:rsidR="003A05DF" w:rsidRPr="009257E7">
        <w:rPr>
          <w:lang w:val="es-ES"/>
        </w:rPr>
        <w:t>l</w:t>
      </w:r>
      <w:r w:rsidRPr="009257E7">
        <w:rPr>
          <w:lang w:val="es-ES"/>
        </w:rPr>
        <w:t xml:space="preserve">os </w:t>
      </w:r>
      <w:r w:rsidR="003A05DF" w:rsidRPr="009257E7">
        <w:rPr>
          <w:lang w:val="es-ES"/>
        </w:rPr>
        <w:t>remedios</w:t>
      </w:r>
      <w:r w:rsidRPr="009257E7">
        <w:rPr>
          <w:lang w:val="es-ES"/>
        </w:rPr>
        <w:t xml:space="preserve"> </w:t>
      </w:r>
      <w:r w:rsidR="003A05DF" w:rsidRPr="009257E7">
        <w:rPr>
          <w:lang w:val="es-ES"/>
        </w:rPr>
        <w:t>raciales</w:t>
      </w:r>
      <w:r w:rsidRPr="009257E7">
        <w:rPr>
          <w:lang w:val="es-ES"/>
        </w:rPr>
        <w:t xml:space="preserve"> </w:t>
      </w:r>
      <w:r w:rsidR="003A05DF" w:rsidRPr="009257E7">
        <w:rPr>
          <w:lang w:val="es-ES"/>
        </w:rPr>
        <w:t>conscientes</w:t>
      </w:r>
      <w:r w:rsidRPr="009257E7">
        <w:rPr>
          <w:lang w:val="es-ES"/>
        </w:rPr>
        <w:t xml:space="preserve"> frente a la discriminación injuriosa, como los programas de acción afirmativa promulgados mediante </w:t>
      </w:r>
      <w:r w:rsidR="003A05DF" w:rsidRPr="009257E7">
        <w:rPr>
          <w:lang w:val="es-ES"/>
        </w:rPr>
        <w:t>procedimient</w:t>
      </w:r>
      <w:r w:rsidRPr="009257E7">
        <w:rPr>
          <w:lang w:val="es-ES"/>
        </w:rPr>
        <w:t>os democráticos. Bajo el principio antidiscriminación, los remedios frente a la discriminación se trans</w:t>
      </w:r>
      <w:r w:rsidR="003A05DF" w:rsidRPr="009257E7">
        <w:rPr>
          <w:lang w:val="es-ES"/>
        </w:rPr>
        <w:t>form</w:t>
      </w:r>
      <w:r w:rsidRPr="009257E7">
        <w:rPr>
          <w:lang w:val="es-ES"/>
        </w:rPr>
        <w:t xml:space="preserve">aron en una nueva forma de discriminación; el remedio democrático se convirtió en </w:t>
      </w:r>
      <w:r w:rsidR="003A05DF" w:rsidRPr="009257E7">
        <w:rPr>
          <w:lang w:val="es-ES"/>
        </w:rPr>
        <w:t>un</w:t>
      </w:r>
      <w:r w:rsidRPr="009257E7">
        <w:rPr>
          <w:lang w:val="es-ES"/>
        </w:rPr>
        <w:t xml:space="preserve"> nuevo problema judicial. Sin embargo, el problema sistémico era y sigue siendo la subordinación. Toda cura de buena fe debe servir fines </w:t>
      </w:r>
      <w:proofErr w:type="spellStart"/>
      <w:r w:rsidRPr="009257E7">
        <w:rPr>
          <w:lang w:val="es-ES"/>
        </w:rPr>
        <w:t>antisubordinación</w:t>
      </w:r>
      <w:proofErr w:type="spellEnd"/>
      <w:r w:rsidRPr="009257E7">
        <w:rPr>
          <w:lang w:val="es-ES"/>
        </w:rPr>
        <w:t>, o la desigualdad sistémica continuará supurando a pesar de los compromisos profesados con la justicia igualitaria.</w:t>
      </w:r>
    </w:p>
    <w:p w14:paraId="02089FD2" w14:textId="23F9AA56" w:rsidR="00F84069" w:rsidRPr="009257E7" w:rsidRDefault="00F84069" w:rsidP="009549C8">
      <w:pPr>
        <w:pStyle w:val="NormalWeb"/>
        <w:ind w:firstLine="720"/>
        <w:rPr>
          <w:lang w:val="es-ES"/>
        </w:rPr>
      </w:pPr>
      <w:r w:rsidRPr="009257E7">
        <w:rPr>
          <w:lang w:val="es-ES"/>
        </w:rPr>
        <w:t xml:space="preserve">De hecho, las personas blancas y los hombres, como grupos, nunca han enfrentado bloqueos sistémicos contra su derecho al voto, a la educación, a la propiedad, al servicio en </w:t>
      </w:r>
      <w:r w:rsidR="009549C8" w:rsidRPr="009257E7">
        <w:rPr>
          <w:lang w:val="es-ES"/>
        </w:rPr>
        <w:t xml:space="preserve">los </w:t>
      </w:r>
      <w:r w:rsidRPr="009257E7">
        <w:rPr>
          <w:lang w:val="es-ES"/>
        </w:rPr>
        <w:t xml:space="preserve">jurados ni a ningún otro bien social. Mientras tanto, debido a la discriminación injuriosa, las mujeres y las personas negras han sido sometidas a exclusión y </w:t>
      </w:r>
      <w:proofErr w:type="spellStart"/>
      <w:r w:rsidRPr="009257E7">
        <w:rPr>
          <w:lang w:val="es-ES"/>
        </w:rPr>
        <w:t>desempoderamiento</w:t>
      </w:r>
      <w:proofErr w:type="spellEnd"/>
      <w:r w:rsidRPr="009257E7">
        <w:rPr>
          <w:lang w:val="es-ES"/>
        </w:rPr>
        <w:t xml:space="preserve"> sistémicos; se les han negado todos los derechos anteriores durante décadas, si no siglos. Los dos grupos en cada par obviamente no están en términos </w:t>
      </w:r>
      <w:r w:rsidR="009549C8" w:rsidRPr="009257E7">
        <w:rPr>
          <w:lang w:val="es-ES"/>
        </w:rPr>
        <w:t>de igualdad</w:t>
      </w:r>
      <w:r w:rsidRPr="009257E7">
        <w:rPr>
          <w:lang w:val="es-ES"/>
        </w:rPr>
        <w:t xml:space="preserve"> ni siquiera hoy —y, por supuesto, estos </w:t>
      </w:r>
      <w:r w:rsidRPr="009257E7">
        <w:rPr>
          <w:lang w:val="es-ES"/>
        </w:rPr>
        <w:lastRenderedPageBreak/>
        <w:t>“pares” binarios son</w:t>
      </w:r>
      <w:r w:rsidR="009549C8" w:rsidRPr="009257E7">
        <w:rPr>
          <w:lang w:val="es-ES"/>
        </w:rPr>
        <w:t>,</w:t>
      </w:r>
      <w:r w:rsidRPr="009257E7">
        <w:rPr>
          <w:lang w:val="es-ES"/>
        </w:rPr>
        <w:t xml:space="preserve"> en sí mismos</w:t>
      </w:r>
      <w:r w:rsidR="009549C8" w:rsidRPr="009257E7">
        <w:rPr>
          <w:lang w:val="es-ES"/>
        </w:rPr>
        <w:t>,</w:t>
      </w:r>
      <w:r w:rsidRPr="009257E7">
        <w:rPr>
          <w:lang w:val="es-ES"/>
        </w:rPr>
        <w:t xml:space="preserve"> una simplificación excesiva de las categorías de identidad racial y de género—.</w:t>
      </w:r>
    </w:p>
    <w:p w14:paraId="1FE7F8CF" w14:textId="0E1D7729" w:rsidR="00F84069" w:rsidRPr="009257E7" w:rsidRDefault="00F84069" w:rsidP="00C07B00">
      <w:pPr>
        <w:pStyle w:val="NormalWeb"/>
        <w:ind w:firstLine="720"/>
        <w:rPr>
          <w:lang w:val="es-ES"/>
        </w:rPr>
      </w:pPr>
      <w:r w:rsidRPr="009257E7">
        <w:rPr>
          <w:lang w:val="es-ES"/>
        </w:rPr>
        <w:t xml:space="preserve">La diferencia última entre los usos sistémicos de la identidad social para mantener sistemas de casta coloniales desde arriba y los </w:t>
      </w:r>
      <w:proofErr w:type="spellStart"/>
      <w:r w:rsidRPr="009257E7">
        <w:rPr>
          <w:lang w:val="es-ES"/>
        </w:rPr>
        <w:t>contrausos</w:t>
      </w:r>
      <w:proofErr w:type="spellEnd"/>
      <w:r w:rsidRPr="009257E7">
        <w:rPr>
          <w:lang w:val="es-ES"/>
        </w:rPr>
        <w:t xml:space="preserve"> críticos de la identidad para desmantelarlos desde abajo </w:t>
      </w:r>
      <w:r w:rsidR="00E72554" w:rsidRPr="009257E7">
        <w:rPr>
          <w:lang w:val="es-ES"/>
        </w:rPr>
        <w:t>radica</w:t>
      </w:r>
      <w:r w:rsidRPr="009257E7">
        <w:rPr>
          <w:lang w:val="es-ES"/>
        </w:rPr>
        <w:t xml:space="preserve"> en los fines sociales, o valores, que </w:t>
      </w:r>
      <w:r w:rsidR="00E72554" w:rsidRPr="009257E7">
        <w:rPr>
          <w:lang w:val="es-ES"/>
        </w:rPr>
        <w:t xml:space="preserve">persiguen </w:t>
      </w:r>
      <w:r w:rsidRPr="009257E7">
        <w:rPr>
          <w:lang w:val="es-ES"/>
        </w:rPr>
        <w:t xml:space="preserve">esos usos respectivos persiguen. Desde abajo, esos valores reflejan un compromiso con el principio </w:t>
      </w:r>
      <w:r w:rsidR="00E72554" w:rsidRPr="009257E7">
        <w:rPr>
          <w:lang w:val="es-ES"/>
        </w:rPr>
        <w:t xml:space="preserve">de </w:t>
      </w:r>
      <w:r w:rsidRPr="009257E7">
        <w:rPr>
          <w:lang w:val="es-ES"/>
        </w:rPr>
        <w:t>“</w:t>
      </w:r>
      <w:proofErr w:type="spellStart"/>
      <w:r w:rsidRPr="009257E7">
        <w:rPr>
          <w:lang w:val="es-ES"/>
        </w:rPr>
        <w:t>antisubordinación</w:t>
      </w:r>
      <w:proofErr w:type="spellEnd"/>
      <w:r w:rsidRPr="009257E7">
        <w:rPr>
          <w:lang w:val="es-ES"/>
        </w:rPr>
        <w:t>”: una concepción crítica de la justicia igualitaria</w:t>
      </w:r>
      <w:r w:rsidR="00E72554" w:rsidRPr="009257E7">
        <w:rPr>
          <w:lang w:val="es-ES"/>
        </w:rPr>
        <w:t>,</w:t>
      </w:r>
      <w:r w:rsidRPr="009257E7">
        <w:rPr>
          <w:lang w:val="es-ES"/>
        </w:rPr>
        <w:t xml:space="preserve"> diseñada desde la década de 1970 para trascender la igualdad formal y su enfoque “antidiscriminación”. La </w:t>
      </w:r>
      <w:proofErr w:type="spellStart"/>
      <w:r w:rsidRPr="009257E7">
        <w:rPr>
          <w:lang w:val="es-ES"/>
        </w:rPr>
        <w:t>antisubordinación</w:t>
      </w:r>
      <w:proofErr w:type="spellEnd"/>
      <w:r w:rsidRPr="009257E7">
        <w:rPr>
          <w:lang w:val="es-ES"/>
        </w:rPr>
        <w:t xml:space="preserve"> está orientada a ser </w:t>
      </w:r>
      <w:proofErr w:type="spellStart"/>
      <w:r w:rsidRPr="009257E7">
        <w:rPr>
          <w:lang w:val="es-ES"/>
        </w:rPr>
        <w:t>anticasta</w:t>
      </w:r>
      <w:proofErr w:type="spellEnd"/>
      <w:r w:rsidRPr="009257E7">
        <w:rPr>
          <w:lang w:val="es-ES"/>
        </w:rPr>
        <w:t>; la antidiscriminación, tal como ha sido construida judicialmente, no lo está.</w:t>
      </w:r>
    </w:p>
    <w:p w14:paraId="2140D58D" w14:textId="45AAEEEB" w:rsidR="00F84069" w:rsidRPr="009257E7" w:rsidRDefault="00F84069" w:rsidP="00973309">
      <w:pPr>
        <w:pStyle w:val="NormalWeb"/>
        <w:ind w:firstLine="720"/>
        <w:rPr>
          <w:lang w:val="es-ES"/>
        </w:rPr>
      </w:pPr>
      <w:r w:rsidRPr="009257E7">
        <w:rPr>
          <w:lang w:val="es-ES"/>
        </w:rPr>
        <w:t xml:space="preserve">El principio </w:t>
      </w:r>
      <w:proofErr w:type="spellStart"/>
      <w:r w:rsidRPr="009257E7">
        <w:rPr>
          <w:lang w:val="es-ES"/>
        </w:rPr>
        <w:t>antisubordinación</w:t>
      </w:r>
      <w:proofErr w:type="spellEnd"/>
      <w:r w:rsidRPr="009257E7">
        <w:rPr>
          <w:lang w:val="es-ES"/>
        </w:rPr>
        <w:t xml:space="preserve"> enfatiza un doble enfoque. Primero, un enfoque en los sistemas de casta y, segundo, un enfoque en los grupos realmente involucrados en ellos. Este enfoque busca desplazar el formalismo jurídico con la realidad social. El enfoque antidiscriminación se centra en </w:t>
      </w:r>
      <w:r w:rsidR="00C07B00" w:rsidRPr="009257E7">
        <w:rPr>
          <w:lang w:val="es-ES"/>
        </w:rPr>
        <w:t xml:space="preserve">los </w:t>
      </w:r>
      <w:r w:rsidRPr="009257E7">
        <w:rPr>
          <w:lang w:val="es-ES"/>
        </w:rPr>
        <w:t xml:space="preserve">individuos como átomos sociales y </w:t>
      </w:r>
      <w:r w:rsidR="00C07B00" w:rsidRPr="009257E7">
        <w:rPr>
          <w:lang w:val="es-ES"/>
        </w:rPr>
        <w:t>sostiene</w:t>
      </w:r>
      <w:r w:rsidRPr="009257E7">
        <w:rPr>
          <w:lang w:val="es-ES"/>
        </w:rPr>
        <w:t xml:space="preserve"> que la naturaleza grupal de la injusticia sistémica es anómala o “irrelevante”. En contraste, la </w:t>
      </w:r>
      <w:proofErr w:type="spellStart"/>
      <w:r w:rsidRPr="009257E7">
        <w:rPr>
          <w:lang w:val="es-ES"/>
        </w:rPr>
        <w:t>antisubordinación</w:t>
      </w:r>
      <w:proofErr w:type="spellEnd"/>
      <w:r w:rsidRPr="009257E7">
        <w:rPr>
          <w:lang w:val="es-ES"/>
        </w:rPr>
        <w:t xml:space="preserve"> </w:t>
      </w:r>
      <w:r w:rsidR="00C07B00" w:rsidRPr="009257E7">
        <w:rPr>
          <w:lang w:val="es-ES"/>
        </w:rPr>
        <w:t>sitú</w:t>
      </w:r>
      <w:r w:rsidRPr="009257E7">
        <w:rPr>
          <w:lang w:val="es-ES"/>
        </w:rPr>
        <w:t xml:space="preserve">a las castas identitarias en el centro de la injusticia colectiva y de la lucha social. Como señalan les </w:t>
      </w:r>
      <w:proofErr w:type="spellStart"/>
      <w:r w:rsidRPr="009257E7">
        <w:rPr>
          <w:lang w:val="es-ES"/>
        </w:rPr>
        <w:t>académicxs</w:t>
      </w:r>
      <w:proofErr w:type="spellEnd"/>
      <w:r w:rsidRPr="009257E7">
        <w:rPr>
          <w:lang w:val="es-ES"/>
        </w:rPr>
        <w:t xml:space="preserve"> </w:t>
      </w:r>
      <w:proofErr w:type="spellStart"/>
      <w:r w:rsidRPr="009257E7">
        <w:rPr>
          <w:lang w:val="es-ES"/>
        </w:rPr>
        <w:t>críticxs</w:t>
      </w:r>
      <w:proofErr w:type="spellEnd"/>
      <w:r w:rsidRPr="009257E7">
        <w:rPr>
          <w:lang w:val="es-ES"/>
        </w:rPr>
        <w:t xml:space="preserve"> del derecho Jerome Culp, Jr., Angela Harris y Francisco Vald</w:t>
      </w:r>
      <w:r w:rsidR="00DF1690" w:rsidRPr="009257E7">
        <w:rPr>
          <w:lang w:val="es-ES"/>
        </w:rPr>
        <w:t>é</w:t>
      </w:r>
      <w:r w:rsidRPr="009257E7">
        <w:rPr>
          <w:lang w:val="es-ES"/>
        </w:rPr>
        <w:t>s:</w:t>
      </w:r>
    </w:p>
    <w:p w14:paraId="4F4D3D1E" w14:textId="4EA76EC9" w:rsidR="00F84069" w:rsidRPr="009257E7" w:rsidRDefault="00F84069" w:rsidP="00DF1690">
      <w:pPr>
        <w:pStyle w:val="NormalWeb"/>
        <w:ind w:left="720"/>
        <w:rPr>
          <w:lang w:val="es-ES"/>
        </w:rPr>
      </w:pPr>
      <w:r w:rsidRPr="009257E7">
        <w:rPr>
          <w:lang w:val="es-ES"/>
        </w:rPr>
        <w:t xml:space="preserve">Les </w:t>
      </w:r>
      <w:proofErr w:type="spellStart"/>
      <w:r w:rsidRPr="009257E7">
        <w:rPr>
          <w:lang w:val="es-ES"/>
        </w:rPr>
        <w:t>teóricxs</w:t>
      </w:r>
      <w:proofErr w:type="spellEnd"/>
      <w:r w:rsidRPr="009257E7">
        <w:rPr>
          <w:lang w:val="es-ES"/>
        </w:rPr>
        <w:t xml:space="preserve"> </w:t>
      </w:r>
      <w:proofErr w:type="spellStart"/>
      <w:r w:rsidRPr="009257E7">
        <w:rPr>
          <w:lang w:val="es-ES"/>
        </w:rPr>
        <w:t>críticxs</w:t>
      </w:r>
      <w:proofErr w:type="spellEnd"/>
      <w:r w:rsidRPr="009257E7">
        <w:rPr>
          <w:lang w:val="es-ES"/>
        </w:rPr>
        <w:t xml:space="preserve"> de la raza comienzan, por tanto, con [...] cómo es tener</w:t>
      </w:r>
      <w:r w:rsidR="00973309" w:rsidRPr="009257E7">
        <w:rPr>
          <w:lang w:val="es-ES"/>
        </w:rPr>
        <w:t>,</w:t>
      </w:r>
      <w:r w:rsidRPr="009257E7">
        <w:rPr>
          <w:lang w:val="es-ES"/>
        </w:rPr>
        <w:t xml:space="preserve"> como parte de la experiencia cotidiana</w:t>
      </w:r>
      <w:r w:rsidR="00973309" w:rsidRPr="009257E7">
        <w:rPr>
          <w:lang w:val="es-ES"/>
        </w:rPr>
        <w:t>,</w:t>
      </w:r>
      <w:r w:rsidRPr="009257E7">
        <w:rPr>
          <w:lang w:val="es-ES"/>
        </w:rPr>
        <w:t xml:space="preserve"> la posibilidad de ser blanco de discriminación; la posibilidad, es decir, de convertirse sin</w:t>
      </w:r>
      <w:r w:rsidR="00973309" w:rsidRPr="009257E7">
        <w:rPr>
          <w:lang w:val="es-ES"/>
        </w:rPr>
        <w:t xml:space="preserve"> previo</w:t>
      </w:r>
      <w:r w:rsidRPr="009257E7">
        <w:rPr>
          <w:lang w:val="es-ES"/>
        </w:rPr>
        <w:t xml:space="preserve"> aviso en víctima de “asesinato espiritual”. [...] Ser parte de un patrón de discriminación que podemos “probar” </w:t>
      </w:r>
      <w:r w:rsidR="00973309" w:rsidRPr="009257E7">
        <w:rPr>
          <w:lang w:val="es-ES"/>
        </w:rPr>
        <w:t>a</w:t>
      </w:r>
      <w:r w:rsidRPr="009257E7">
        <w:rPr>
          <w:lang w:val="es-ES"/>
        </w:rPr>
        <w:t xml:space="preserve"> nivel agregado, pero nunca </w:t>
      </w:r>
      <w:r w:rsidR="00973309" w:rsidRPr="009257E7">
        <w:rPr>
          <w:lang w:val="es-ES"/>
        </w:rPr>
        <w:t>a</w:t>
      </w:r>
      <w:r w:rsidRPr="009257E7">
        <w:rPr>
          <w:lang w:val="es-ES"/>
        </w:rPr>
        <w:t xml:space="preserve"> nivel individual, es ser un sujeto cuya verdad experiencial siempre está en duda.</w:t>
      </w:r>
      <w:r w:rsidR="00DF1690" w:rsidRPr="009257E7">
        <w:rPr>
          <w:rStyle w:val="FootnoteReference"/>
          <w:lang w:val="es-ES"/>
        </w:rPr>
        <w:footnoteReference w:id="164"/>
      </w:r>
    </w:p>
    <w:p w14:paraId="612E78E5" w14:textId="77777777" w:rsidR="00F84069" w:rsidRPr="009257E7" w:rsidRDefault="00F84069" w:rsidP="00936780">
      <w:pPr>
        <w:pStyle w:val="NormalWeb"/>
        <w:ind w:firstLine="720"/>
        <w:rPr>
          <w:lang w:val="es-ES"/>
        </w:rPr>
      </w:pPr>
      <w:r w:rsidRPr="009257E7">
        <w:rPr>
          <w:lang w:val="es-ES"/>
        </w:rPr>
        <w:t xml:space="preserve">El enfoque antidiscriminación expresa la perspectiva y los intereses colectivizados desde arriba. En cambio, la </w:t>
      </w:r>
      <w:proofErr w:type="spellStart"/>
      <w:r w:rsidRPr="009257E7">
        <w:rPr>
          <w:lang w:val="es-ES"/>
        </w:rPr>
        <w:t>antisubordinación</w:t>
      </w:r>
      <w:proofErr w:type="spellEnd"/>
      <w:r w:rsidRPr="009257E7">
        <w:rPr>
          <w:lang w:val="es-ES"/>
        </w:rPr>
        <w:t xml:space="preserve"> expresa la visión y los intereses desde abajo. Como tal, los valores </w:t>
      </w:r>
      <w:proofErr w:type="spellStart"/>
      <w:r w:rsidRPr="009257E7">
        <w:rPr>
          <w:lang w:val="es-ES"/>
        </w:rPr>
        <w:t>antisubordinación</w:t>
      </w:r>
      <w:proofErr w:type="spellEnd"/>
      <w:r w:rsidRPr="009257E7">
        <w:rPr>
          <w:lang w:val="es-ES"/>
        </w:rPr>
        <w:t xml:space="preserve"> ayudan a anclar decisiones críticas sobre la abogacía desde abajo.</w:t>
      </w:r>
    </w:p>
    <w:p w14:paraId="4EE0D098" w14:textId="352A0B1A" w:rsidR="00F84069" w:rsidRPr="009257E7" w:rsidRDefault="00F84069" w:rsidP="00936780">
      <w:pPr>
        <w:pStyle w:val="NormalWeb"/>
        <w:ind w:firstLine="720"/>
        <w:rPr>
          <w:lang w:val="es-ES"/>
        </w:rPr>
      </w:pPr>
      <w:r w:rsidRPr="009257E7">
        <w:rPr>
          <w:lang w:val="es-ES"/>
        </w:rPr>
        <w:t xml:space="preserve">Construir una conciencia compartida de intereses grupales “diferentes” dentro de los grupos basados en la identidad y entre ellos forma parte de la construcción de </w:t>
      </w:r>
      <w:r w:rsidR="00936780" w:rsidRPr="009257E7">
        <w:rPr>
          <w:lang w:val="es-ES"/>
        </w:rPr>
        <w:t xml:space="preserve">la </w:t>
      </w:r>
      <w:r w:rsidRPr="009257E7">
        <w:rPr>
          <w:lang w:val="es-ES"/>
        </w:rPr>
        <w:t xml:space="preserve">solidaridad. Los cambios en la abogacía y el activismo </w:t>
      </w:r>
      <w:r w:rsidR="00936780" w:rsidRPr="009257E7">
        <w:rPr>
          <w:lang w:val="es-ES"/>
        </w:rPr>
        <w:t>en</w:t>
      </w:r>
      <w:r w:rsidRPr="009257E7">
        <w:rPr>
          <w:lang w:val="es-ES"/>
        </w:rPr>
        <w:t xml:space="preserve"> </w:t>
      </w:r>
      <w:r w:rsidR="00936780" w:rsidRPr="009257E7">
        <w:rPr>
          <w:lang w:val="es-ES"/>
        </w:rPr>
        <w:t>torno a</w:t>
      </w:r>
      <w:r w:rsidRPr="009257E7">
        <w:rPr>
          <w:lang w:val="es-ES"/>
        </w:rPr>
        <w:t xml:space="preserve"> l</w:t>
      </w:r>
      <w:r w:rsidR="00936780" w:rsidRPr="009257E7">
        <w:rPr>
          <w:lang w:val="es-ES"/>
        </w:rPr>
        <w:t>o</w:t>
      </w:r>
      <w:r w:rsidRPr="009257E7">
        <w:rPr>
          <w:lang w:val="es-ES"/>
        </w:rPr>
        <w:t>s “</w:t>
      </w:r>
      <w:proofErr w:type="spellStart"/>
      <w:r w:rsidRPr="009257E7">
        <w:rPr>
          <w:lang w:val="es-ES"/>
        </w:rPr>
        <w:t>Dreamers</w:t>
      </w:r>
      <w:proofErr w:type="spellEnd"/>
      <w:r w:rsidRPr="009257E7">
        <w:rPr>
          <w:lang w:val="es-ES"/>
        </w:rPr>
        <w:t>” ofrecen un ejemplo adecuado en el contexto migratorio. L</w:t>
      </w:r>
      <w:r w:rsidR="00936780" w:rsidRPr="009257E7">
        <w:rPr>
          <w:lang w:val="es-ES"/>
        </w:rPr>
        <w:t>o</w:t>
      </w:r>
      <w:r w:rsidRPr="009257E7">
        <w:rPr>
          <w:lang w:val="es-ES"/>
        </w:rPr>
        <w:t xml:space="preserve">s </w:t>
      </w:r>
      <w:proofErr w:type="spellStart"/>
      <w:r w:rsidRPr="009257E7">
        <w:rPr>
          <w:lang w:val="es-ES"/>
        </w:rPr>
        <w:t>Dreamers</w:t>
      </w:r>
      <w:proofErr w:type="spellEnd"/>
      <w:r w:rsidRPr="009257E7">
        <w:rPr>
          <w:lang w:val="es-ES"/>
        </w:rPr>
        <w:t xml:space="preserve"> son jóvenes adult</w:t>
      </w:r>
      <w:r w:rsidR="00936780" w:rsidRPr="009257E7">
        <w:rPr>
          <w:lang w:val="es-ES"/>
        </w:rPr>
        <w:t>o</w:t>
      </w:r>
      <w:r w:rsidRPr="009257E7">
        <w:rPr>
          <w:lang w:val="es-ES"/>
        </w:rPr>
        <w:t>s indocumentad</w:t>
      </w:r>
      <w:r w:rsidR="00936780" w:rsidRPr="009257E7">
        <w:rPr>
          <w:lang w:val="es-ES"/>
        </w:rPr>
        <w:t>o</w:t>
      </w:r>
      <w:r w:rsidRPr="009257E7">
        <w:rPr>
          <w:lang w:val="es-ES"/>
        </w:rPr>
        <w:t>s que, desde alrededor de 2001, h</w:t>
      </w:r>
      <w:r w:rsidR="00936780" w:rsidRPr="009257E7">
        <w:rPr>
          <w:lang w:val="es-ES"/>
        </w:rPr>
        <w:t>an hecho</w:t>
      </w:r>
      <w:r w:rsidRPr="009257E7">
        <w:rPr>
          <w:lang w:val="es-ES"/>
        </w:rPr>
        <w:t xml:space="preserve"> campaña a favor de la ley federal </w:t>
      </w:r>
      <w:proofErr w:type="spellStart"/>
      <w:r w:rsidRPr="009257E7">
        <w:rPr>
          <w:rStyle w:val="Emphasis"/>
          <w:lang w:val="es-ES"/>
        </w:rPr>
        <w:t>Development</w:t>
      </w:r>
      <w:proofErr w:type="spellEnd"/>
      <w:r w:rsidRPr="009257E7">
        <w:rPr>
          <w:rStyle w:val="Emphasis"/>
          <w:lang w:val="es-ES"/>
        </w:rPr>
        <w:t xml:space="preserve">, </w:t>
      </w:r>
      <w:proofErr w:type="spellStart"/>
      <w:r w:rsidRPr="009257E7">
        <w:rPr>
          <w:rStyle w:val="Emphasis"/>
          <w:lang w:val="es-ES"/>
        </w:rPr>
        <w:t>Relief</w:t>
      </w:r>
      <w:proofErr w:type="spellEnd"/>
      <w:r w:rsidRPr="009257E7">
        <w:rPr>
          <w:rStyle w:val="Emphasis"/>
          <w:lang w:val="es-ES"/>
        </w:rPr>
        <w:t xml:space="preserve"> and </w:t>
      </w:r>
      <w:proofErr w:type="spellStart"/>
      <w:r w:rsidRPr="009257E7">
        <w:rPr>
          <w:rStyle w:val="Emphasis"/>
          <w:lang w:val="es-ES"/>
        </w:rPr>
        <w:t>Education</w:t>
      </w:r>
      <w:proofErr w:type="spellEnd"/>
      <w:r w:rsidRPr="009257E7">
        <w:rPr>
          <w:rStyle w:val="Emphasis"/>
          <w:lang w:val="es-ES"/>
        </w:rPr>
        <w:t xml:space="preserve"> </w:t>
      </w:r>
      <w:proofErr w:type="spellStart"/>
      <w:r w:rsidRPr="009257E7">
        <w:rPr>
          <w:rStyle w:val="Emphasis"/>
          <w:lang w:val="es-ES"/>
        </w:rPr>
        <w:t>for</w:t>
      </w:r>
      <w:proofErr w:type="spellEnd"/>
      <w:r w:rsidRPr="009257E7">
        <w:rPr>
          <w:rStyle w:val="Emphasis"/>
          <w:lang w:val="es-ES"/>
        </w:rPr>
        <w:t xml:space="preserve"> Alien Minors</w:t>
      </w:r>
      <w:r w:rsidRPr="009257E7">
        <w:rPr>
          <w:lang w:val="es-ES"/>
        </w:rPr>
        <w:t xml:space="preserve"> —DREAM </w:t>
      </w:r>
      <w:proofErr w:type="spellStart"/>
      <w:r w:rsidRPr="009257E7">
        <w:rPr>
          <w:lang w:val="es-ES"/>
        </w:rPr>
        <w:t>Act</w:t>
      </w:r>
      <w:proofErr w:type="spellEnd"/>
      <w:r w:rsidRPr="009257E7">
        <w:rPr>
          <w:lang w:val="es-ES"/>
        </w:rPr>
        <w:t xml:space="preserve">—, destinada a crear una vía hacia la ciudadanía para muchas personas que llegaron a Estados Unidos durante la niñez. La ley nunca fue aprobada. Como señala la socióloga Ala </w:t>
      </w:r>
      <w:proofErr w:type="spellStart"/>
      <w:r w:rsidRPr="009257E7">
        <w:rPr>
          <w:lang w:val="es-ES"/>
        </w:rPr>
        <w:t>Sirriyeh</w:t>
      </w:r>
      <w:proofErr w:type="spellEnd"/>
      <w:r w:rsidRPr="009257E7">
        <w:rPr>
          <w:lang w:val="es-ES"/>
        </w:rPr>
        <w:t>, en las etapas iniciales, l</w:t>
      </w:r>
      <w:r w:rsidR="00730B9B" w:rsidRPr="009257E7">
        <w:rPr>
          <w:lang w:val="es-ES"/>
        </w:rPr>
        <w:t>o</w:t>
      </w:r>
      <w:r w:rsidRPr="009257E7">
        <w:rPr>
          <w:lang w:val="es-ES"/>
        </w:rPr>
        <w:t xml:space="preserve">s </w:t>
      </w:r>
      <w:proofErr w:type="spellStart"/>
      <w:r w:rsidRPr="009257E7">
        <w:rPr>
          <w:lang w:val="es-ES"/>
        </w:rPr>
        <w:t>Dreamers</w:t>
      </w:r>
      <w:proofErr w:type="spellEnd"/>
      <w:r w:rsidRPr="009257E7">
        <w:rPr>
          <w:lang w:val="es-ES"/>
        </w:rPr>
        <w:t xml:space="preserve"> argumentaban que merecían la ciudadanía porque eran “inocentes, asimilades, les más brillantes y les mejores”. Ese argumento fue criticado por excluir a muches jóvenes indocumentades y separar a les </w:t>
      </w:r>
      <w:proofErr w:type="spellStart"/>
      <w:r w:rsidRPr="009257E7">
        <w:rPr>
          <w:lang w:val="es-ES"/>
        </w:rPr>
        <w:t>Dreamers</w:t>
      </w:r>
      <w:proofErr w:type="spellEnd"/>
      <w:r w:rsidRPr="009257E7">
        <w:rPr>
          <w:lang w:val="es-ES"/>
        </w:rPr>
        <w:t xml:space="preserve"> de otres que luchaban por la ciudadanía plena:</w:t>
      </w:r>
      <w:r w:rsidR="00936780" w:rsidRPr="009257E7">
        <w:rPr>
          <w:lang w:val="es-ES"/>
        </w:rPr>
        <w:t xml:space="preserve"> </w:t>
      </w:r>
    </w:p>
    <w:p w14:paraId="21AF242C" w14:textId="0ABF1DEE" w:rsidR="00F84069" w:rsidRPr="009257E7" w:rsidRDefault="00F84069" w:rsidP="00730B9B">
      <w:pPr>
        <w:pStyle w:val="NormalWeb"/>
        <w:ind w:left="720"/>
        <w:rPr>
          <w:lang w:val="es-ES"/>
        </w:rPr>
      </w:pPr>
      <w:r w:rsidRPr="009257E7">
        <w:rPr>
          <w:lang w:val="es-ES"/>
        </w:rPr>
        <w:t>[L]a gobernanza neoliberal ha alterado profundamente la naturaleza de la ciudadanía [...] [al] vigilar la división entre ciudadan</w:t>
      </w:r>
      <w:r w:rsidR="00730B9B" w:rsidRPr="009257E7">
        <w:rPr>
          <w:lang w:val="es-ES"/>
        </w:rPr>
        <w:t>o</w:t>
      </w:r>
      <w:r w:rsidRPr="009257E7">
        <w:rPr>
          <w:lang w:val="es-ES"/>
        </w:rPr>
        <w:t>s productiv</w:t>
      </w:r>
      <w:r w:rsidR="00730B9B" w:rsidRPr="009257E7">
        <w:rPr>
          <w:lang w:val="es-ES"/>
        </w:rPr>
        <w:t>o</w:t>
      </w:r>
      <w:r w:rsidRPr="009257E7">
        <w:rPr>
          <w:lang w:val="es-ES"/>
        </w:rPr>
        <w:t>s “merecedores” y “ciudadan</w:t>
      </w:r>
      <w:r w:rsidR="00730B9B" w:rsidRPr="009257E7">
        <w:rPr>
          <w:lang w:val="es-ES"/>
        </w:rPr>
        <w:t>o</w:t>
      </w:r>
      <w:r w:rsidRPr="009257E7">
        <w:rPr>
          <w:lang w:val="es-ES"/>
        </w:rPr>
        <w:t xml:space="preserve">s </w:t>
      </w:r>
      <w:r w:rsidRPr="009257E7">
        <w:rPr>
          <w:lang w:val="es-ES"/>
        </w:rPr>
        <w:lastRenderedPageBreak/>
        <w:t>fallid</w:t>
      </w:r>
      <w:r w:rsidR="00730B9B" w:rsidRPr="009257E7">
        <w:rPr>
          <w:lang w:val="es-ES"/>
        </w:rPr>
        <w:t>o</w:t>
      </w:r>
      <w:r w:rsidRPr="009257E7">
        <w:rPr>
          <w:lang w:val="es-ES"/>
        </w:rPr>
        <w:t>s”</w:t>
      </w:r>
      <w:r w:rsidR="00730B9B" w:rsidRPr="009257E7">
        <w:rPr>
          <w:lang w:val="es-ES"/>
        </w:rPr>
        <w:t>,</w:t>
      </w:r>
      <w:r w:rsidRPr="009257E7">
        <w:rPr>
          <w:lang w:val="es-ES"/>
        </w:rPr>
        <w:t xml:space="preserve"> “no merecedores”. Esta transformación de la ciudadanía golpea con fuerza a poblaciones ya marginadas. [...] [L]a atención descansa en decisiones individuales, en lugar de causas estructurales; el objetivo es producir ciudadan</w:t>
      </w:r>
      <w:r w:rsidR="00730B9B" w:rsidRPr="009257E7">
        <w:rPr>
          <w:lang w:val="es-ES"/>
        </w:rPr>
        <w:t>o</w:t>
      </w:r>
      <w:r w:rsidRPr="009257E7">
        <w:rPr>
          <w:lang w:val="es-ES"/>
        </w:rPr>
        <w:t>s que tomen las “decisiones correctas”.</w:t>
      </w:r>
      <w:r w:rsidR="005A5781" w:rsidRPr="009257E7">
        <w:rPr>
          <w:rStyle w:val="FootnoteReference"/>
          <w:lang w:val="es-ES"/>
        </w:rPr>
        <w:footnoteReference w:id="165"/>
      </w:r>
    </w:p>
    <w:p w14:paraId="570B745D" w14:textId="5756861B" w:rsidR="00F84069" w:rsidRPr="009257E7" w:rsidRDefault="00F84069" w:rsidP="005A5781">
      <w:pPr>
        <w:pStyle w:val="NormalWeb"/>
        <w:ind w:firstLine="720"/>
        <w:rPr>
          <w:lang w:val="es-ES"/>
        </w:rPr>
      </w:pPr>
      <w:r w:rsidRPr="009257E7">
        <w:rPr>
          <w:lang w:val="es-ES"/>
        </w:rPr>
        <w:t>Con el tiempo, sin embargo, l</w:t>
      </w:r>
      <w:r w:rsidR="005A5781" w:rsidRPr="009257E7">
        <w:rPr>
          <w:lang w:val="es-ES"/>
        </w:rPr>
        <w:t>o</w:t>
      </w:r>
      <w:r w:rsidRPr="009257E7">
        <w:rPr>
          <w:lang w:val="es-ES"/>
        </w:rPr>
        <w:t xml:space="preserve">s </w:t>
      </w:r>
      <w:proofErr w:type="spellStart"/>
      <w:r w:rsidRPr="009257E7">
        <w:rPr>
          <w:lang w:val="es-ES"/>
        </w:rPr>
        <w:t>Dreamers</w:t>
      </w:r>
      <w:proofErr w:type="spellEnd"/>
      <w:r w:rsidRPr="009257E7">
        <w:rPr>
          <w:lang w:val="es-ES"/>
        </w:rPr>
        <w:t xml:space="preserve"> rechazaron la idea de que la ciudadanía debiera otorgarse solo a quienes tienen “mérito” y negarse a quienes no lo tienen, cuando las nociones de mérito fueron creadas para excluir a muchos grupos con base en identidades sociales como la </w:t>
      </w:r>
      <w:proofErr w:type="spellStart"/>
      <w:r w:rsidRPr="009257E7">
        <w:rPr>
          <w:lang w:val="es-ES"/>
        </w:rPr>
        <w:t>indigeneidad</w:t>
      </w:r>
      <w:proofErr w:type="spellEnd"/>
      <w:r w:rsidRPr="009257E7">
        <w:rPr>
          <w:lang w:val="es-ES"/>
        </w:rPr>
        <w:t xml:space="preserve">, la clase, la raza, la religión, la </w:t>
      </w:r>
      <w:proofErr w:type="spellStart"/>
      <w:r w:rsidRPr="009257E7">
        <w:rPr>
          <w:lang w:val="es-ES"/>
        </w:rPr>
        <w:t>dis</w:t>
      </w:r>
      <w:proofErr w:type="spellEnd"/>
      <w:r w:rsidRPr="009257E7">
        <w:rPr>
          <w:lang w:val="es-ES"/>
        </w:rPr>
        <w:t>/capacidad y la orientación sexual. En cambio, l</w:t>
      </w:r>
      <w:r w:rsidR="00193D20" w:rsidRPr="009257E7">
        <w:rPr>
          <w:lang w:val="es-ES"/>
        </w:rPr>
        <w:t>o</w:t>
      </w:r>
      <w:r w:rsidRPr="009257E7">
        <w:rPr>
          <w:lang w:val="es-ES"/>
        </w:rPr>
        <w:t xml:space="preserve">s </w:t>
      </w:r>
      <w:proofErr w:type="spellStart"/>
      <w:r w:rsidRPr="009257E7">
        <w:rPr>
          <w:lang w:val="es-ES"/>
        </w:rPr>
        <w:t>Dreamers</w:t>
      </w:r>
      <w:proofErr w:type="spellEnd"/>
      <w:r w:rsidRPr="009257E7">
        <w:rPr>
          <w:lang w:val="es-ES"/>
        </w:rPr>
        <w:t xml:space="preserve"> eligieron un camino de construcción de </w:t>
      </w:r>
      <w:r w:rsidR="00193D20" w:rsidRPr="009257E7">
        <w:rPr>
          <w:lang w:val="es-ES"/>
        </w:rPr>
        <w:t xml:space="preserve">la </w:t>
      </w:r>
      <w:r w:rsidRPr="009257E7">
        <w:rPr>
          <w:lang w:val="es-ES"/>
        </w:rPr>
        <w:t>solidaridad. Este cambio implicó afirmar el derecho a la inclusión política incluso antes de alcanzar la ciudadanía y establecer conexiones con luchas históricas y contemporáneas de otros grupos marginados:</w:t>
      </w:r>
    </w:p>
    <w:p w14:paraId="6D7BFF74" w14:textId="14472AA0" w:rsidR="00F84069" w:rsidRPr="009257E7" w:rsidRDefault="00F84069" w:rsidP="00193D20">
      <w:pPr>
        <w:pStyle w:val="NormalWeb"/>
        <w:ind w:left="720"/>
        <w:rPr>
          <w:lang w:val="es-ES"/>
        </w:rPr>
      </w:pPr>
      <w:r w:rsidRPr="009257E7">
        <w:rPr>
          <w:lang w:val="es-ES"/>
        </w:rPr>
        <w:t>[H]ay ejemplos útiles de solidaridades expresadas en los mensajes y acciones del movimiento de jóvenes indocumentad</w:t>
      </w:r>
      <w:r w:rsidR="007E29AB" w:rsidRPr="009257E7">
        <w:rPr>
          <w:lang w:val="es-ES"/>
        </w:rPr>
        <w:t>o</w:t>
      </w:r>
      <w:r w:rsidRPr="009257E7">
        <w:rPr>
          <w:lang w:val="es-ES"/>
        </w:rPr>
        <w:t>s en torno a la raza, particularmente en campañas recientes que critican la criminalización y el complejo industrial migratorio. [...]</w:t>
      </w:r>
    </w:p>
    <w:p w14:paraId="49040604" w14:textId="583F003B" w:rsidR="00F84069" w:rsidRPr="009257E7" w:rsidRDefault="00F84069" w:rsidP="00193D20">
      <w:pPr>
        <w:pStyle w:val="NormalWeb"/>
        <w:ind w:left="720"/>
        <w:rPr>
          <w:lang w:val="es-ES"/>
        </w:rPr>
      </w:pPr>
      <w:r w:rsidRPr="009257E7">
        <w:rPr>
          <w:lang w:val="es-ES"/>
        </w:rPr>
        <w:t>[...] Al cuestionar qué “América” reclamaban como propia y bajo qué términos, [est</w:t>
      </w:r>
      <w:r w:rsidR="007E29AB" w:rsidRPr="009257E7">
        <w:rPr>
          <w:lang w:val="es-ES"/>
        </w:rPr>
        <w:t>o</w:t>
      </w:r>
      <w:r w:rsidRPr="009257E7">
        <w:rPr>
          <w:lang w:val="es-ES"/>
        </w:rPr>
        <w:t xml:space="preserve">s jóvenes] presentaron una narrativa distinta de la ciudadanía y la historia estadounidenses. Esta no era la “nación de inmigrantes” celebratoria </w:t>
      </w:r>
      <w:r w:rsidR="007E29AB" w:rsidRPr="009257E7">
        <w:rPr>
          <w:lang w:val="es-ES"/>
        </w:rPr>
        <w:t>en la qu</w:t>
      </w:r>
      <w:r w:rsidRPr="009257E7">
        <w:rPr>
          <w:lang w:val="es-ES"/>
        </w:rPr>
        <w:t>e l</w:t>
      </w:r>
      <w:r w:rsidR="007E29AB" w:rsidRPr="009257E7">
        <w:rPr>
          <w:lang w:val="es-ES"/>
        </w:rPr>
        <w:t>o</w:t>
      </w:r>
      <w:r w:rsidRPr="009257E7">
        <w:rPr>
          <w:lang w:val="es-ES"/>
        </w:rPr>
        <w:t xml:space="preserve">s inmigrantes trabajadores podían alcanzar el </w:t>
      </w:r>
      <w:r w:rsidR="007E29AB" w:rsidRPr="009257E7">
        <w:rPr>
          <w:lang w:val="es-ES"/>
        </w:rPr>
        <w:t>s</w:t>
      </w:r>
      <w:r w:rsidRPr="009257E7">
        <w:rPr>
          <w:lang w:val="es-ES"/>
        </w:rPr>
        <w:t xml:space="preserve">ueño </w:t>
      </w:r>
      <w:r w:rsidR="007E29AB" w:rsidRPr="009257E7">
        <w:rPr>
          <w:lang w:val="es-ES"/>
        </w:rPr>
        <w:t>a</w:t>
      </w:r>
      <w:r w:rsidRPr="009257E7">
        <w:rPr>
          <w:lang w:val="es-ES"/>
        </w:rPr>
        <w:t xml:space="preserve">mericano. En cambio, </w:t>
      </w:r>
      <w:r w:rsidR="007E29AB" w:rsidRPr="009257E7">
        <w:rPr>
          <w:lang w:val="es-ES"/>
        </w:rPr>
        <w:t xml:space="preserve">los </w:t>
      </w:r>
      <w:r w:rsidRPr="009257E7">
        <w:rPr>
          <w:lang w:val="es-ES"/>
        </w:rPr>
        <w:t>Estados Unidos fue</w:t>
      </w:r>
      <w:r w:rsidR="007E29AB" w:rsidRPr="009257E7">
        <w:rPr>
          <w:lang w:val="es-ES"/>
        </w:rPr>
        <w:t>ron</w:t>
      </w:r>
      <w:r w:rsidRPr="009257E7">
        <w:rPr>
          <w:lang w:val="es-ES"/>
        </w:rPr>
        <w:t xml:space="preserve"> </w:t>
      </w:r>
      <w:r w:rsidR="007E29AB" w:rsidRPr="009257E7">
        <w:rPr>
          <w:lang w:val="es-ES"/>
        </w:rPr>
        <w:t>retrat</w:t>
      </w:r>
      <w:r w:rsidRPr="009257E7">
        <w:rPr>
          <w:lang w:val="es-ES"/>
        </w:rPr>
        <w:t>ado</w:t>
      </w:r>
      <w:r w:rsidR="007E29AB" w:rsidRPr="009257E7">
        <w:rPr>
          <w:lang w:val="es-ES"/>
        </w:rPr>
        <w:t>s</w:t>
      </w:r>
      <w:r w:rsidRPr="009257E7">
        <w:rPr>
          <w:lang w:val="es-ES"/>
        </w:rPr>
        <w:t xml:space="preserve"> como un lugar de lucha y sufrimiento. Mediante relatos y acciones directas que recurr</w:t>
      </w:r>
      <w:r w:rsidR="007E29AB" w:rsidRPr="009257E7">
        <w:rPr>
          <w:lang w:val="es-ES"/>
        </w:rPr>
        <w:t>ía</w:t>
      </w:r>
      <w:r w:rsidRPr="009257E7">
        <w:rPr>
          <w:lang w:val="es-ES"/>
        </w:rPr>
        <w:t xml:space="preserve">n a </w:t>
      </w:r>
      <w:r w:rsidR="007E29AB" w:rsidRPr="009257E7">
        <w:rPr>
          <w:lang w:val="es-ES"/>
        </w:rPr>
        <w:t xml:space="preserve">las </w:t>
      </w:r>
      <w:r w:rsidRPr="009257E7">
        <w:rPr>
          <w:lang w:val="es-ES"/>
        </w:rPr>
        <w:t xml:space="preserve">historias de resistencia de pueblos oprimidos en </w:t>
      </w:r>
      <w:r w:rsidR="007E29AB" w:rsidRPr="009257E7">
        <w:rPr>
          <w:lang w:val="es-ES"/>
        </w:rPr>
        <w:t xml:space="preserve">los </w:t>
      </w:r>
      <w:r w:rsidRPr="009257E7">
        <w:rPr>
          <w:lang w:val="es-ES"/>
        </w:rPr>
        <w:t>Estados Unidos, l</w:t>
      </w:r>
      <w:r w:rsidR="007E29AB" w:rsidRPr="009257E7">
        <w:rPr>
          <w:lang w:val="es-ES"/>
        </w:rPr>
        <w:t>o</w:t>
      </w:r>
      <w:r w:rsidRPr="009257E7">
        <w:rPr>
          <w:lang w:val="es-ES"/>
        </w:rPr>
        <w:t>s jóvenes indocumentad</w:t>
      </w:r>
      <w:r w:rsidR="007E29AB" w:rsidRPr="009257E7">
        <w:rPr>
          <w:lang w:val="es-ES"/>
        </w:rPr>
        <w:t>o</w:t>
      </w:r>
      <w:r w:rsidRPr="009257E7">
        <w:rPr>
          <w:lang w:val="es-ES"/>
        </w:rPr>
        <w:t>s se narraron a sí mism</w:t>
      </w:r>
      <w:r w:rsidR="007E29AB" w:rsidRPr="009257E7">
        <w:rPr>
          <w:lang w:val="es-ES"/>
        </w:rPr>
        <w:t>o</w:t>
      </w:r>
      <w:r w:rsidRPr="009257E7">
        <w:rPr>
          <w:lang w:val="es-ES"/>
        </w:rPr>
        <w:t xml:space="preserve">s </w:t>
      </w:r>
      <w:r w:rsidR="007E29AB" w:rsidRPr="009257E7">
        <w:rPr>
          <w:lang w:val="es-ES"/>
        </w:rPr>
        <w:t>en</w:t>
      </w:r>
      <w:r w:rsidRPr="009257E7">
        <w:rPr>
          <w:lang w:val="es-ES"/>
        </w:rPr>
        <w:t xml:space="preserve"> la cronología de esta historia alternativa estadounidense de protesta y </w:t>
      </w:r>
      <w:r w:rsidR="007E29AB" w:rsidRPr="009257E7">
        <w:rPr>
          <w:lang w:val="es-ES"/>
        </w:rPr>
        <w:t xml:space="preserve">de </w:t>
      </w:r>
      <w:r w:rsidRPr="009257E7">
        <w:rPr>
          <w:lang w:val="es-ES"/>
        </w:rPr>
        <w:t xml:space="preserve">lucha contra la injusticia. Al hacerlo, ampliaron la comunidad a la que se dirigían, mirando más allá del sujeto neoliberal blanco e identificando terreno común con </w:t>
      </w:r>
      <w:r w:rsidR="007E29AB" w:rsidRPr="009257E7">
        <w:rPr>
          <w:lang w:val="es-ES"/>
        </w:rPr>
        <w:t xml:space="preserve">los </w:t>
      </w:r>
      <w:r w:rsidRPr="009257E7">
        <w:rPr>
          <w:lang w:val="es-ES"/>
        </w:rPr>
        <w:t>ciudadan</w:t>
      </w:r>
      <w:r w:rsidR="007E29AB" w:rsidRPr="009257E7">
        <w:rPr>
          <w:lang w:val="es-ES"/>
        </w:rPr>
        <w:t>o</w:t>
      </w:r>
      <w:r w:rsidRPr="009257E7">
        <w:rPr>
          <w:lang w:val="es-ES"/>
        </w:rPr>
        <w:t>s marginad</w:t>
      </w:r>
      <w:r w:rsidR="007E29AB" w:rsidRPr="009257E7">
        <w:rPr>
          <w:lang w:val="es-ES"/>
        </w:rPr>
        <w:t>o</w:t>
      </w:r>
      <w:r w:rsidRPr="009257E7">
        <w:rPr>
          <w:lang w:val="es-ES"/>
        </w:rPr>
        <w:t>s. [...]</w:t>
      </w:r>
    </w:p>
    <w:p w14:paraId="3A67B17A" w14:textId="100A5733" w:rsidR="00F84069" w:rsidRPr="009257E7" w:rsidRDefault="00F84069" w:rsidP="007E29AB">
      <w:pPr>
        <w:pStyle w:val="NormalWeb"/>
        <w:ind w:left="720"/>
        <w:rPr>
          <w:lang w:val="es-ES"/>
        </w:rPr>
      </w:pPr>
      <w:r w:rsidRPr="009257E7">
        <w:rPr>
          <w:lang w:val="es-ES"/>
        </w:rPr>
        <w:t xml:space="preserve">[Por ejemplo, </w:t>
      </w:r>
      <w:r w:rsidR="007E29AB" w:rsidRPr="009257E7">
        <w:rPr>
          <w:lang w:val="es-ES"/>
        </w:rPr>
        <w:t>un abogado indocumentado] [...] hizo campaña contra la detención de personas indocumentadas, pero también por los derechos de ciudadanos estadounidenses e inmigrantes atrapados en el sistema de justicia penal [...] [usando] una narrativa de resistencia frente a la opresión sistémica de raza y clase que excluía tanto a personas indocumentadas como a ciudadanos</w:t>
      </w:r>
      <w:r w:rsidRPr="009257E7">
        <w:rPr>
          <w:lang w:val="es-ES"/>
        </w:rPr>
        <w:t xml:space="preserve"> legales estadounidenses de los derechos y beneficios de la ciudadanía en la práctica.</w:t>
      </w:r>
      <w:r w:rsidR="00ED4F4D" w:rsidRPr="009257E7">
        <w:rPr>
          <w:rStyle w:val="FootnoteReference"/>
          <w:lang w:val="es-ES"/>
        </w:rPr>
        <w:footnoteReference w:id="166"/>
      </w:r>
    </w:p>
    <w:p w14:paraId="37106FFC" w14:textId="3E6CA501" w:rsidR="00F84069" w:rsidRPr="009257E7" w:rsidRDefault="00F84069" w:rsidP="00ED4F4D">
      <w:pPr>
        <w:pStyle w:val="NormalWeb"/>
        <w:ind w:firstLine="720"/>
        <w:rPr>
          <w:lang w:val="es-ES"/>
        </w:rPr>
      </w:pPr>
      <w:r w:rsidRPr="009257E7">
        <w:rPr>
          <w:lang w:val="es-ES"/>
        </w:rPr>
        <w:t>Al cambiar su marco de abogacía, l</w:t>
      </w:r>
      <w:r w:rsidR="00ED4F4D" w:rsidRPr="009257E7">
        <w:rPr>
          <w:lang w:val="es-ES"/>
        </w:rPr>
        <w:t>o</w:t>
      </w:r>
      <w:r w:rsidRPr="009257E7">
        <w:rPr>
          <w:lang w:val="es-ES"/>
        </w:rPr>
        <w:t xml:space="preserve">s </w:t>
      </w:r>
      <w:proofErr w:type="spellStart"/>
      <w:r w:rsidRPr="009257E7">
        <w:rPr>
          <w:lang w:val="es-ES"/>
        </w:rPr>
        <w:t>Dreamers</w:t>
      </w:r>
      <w:proofErr w:type="spellEnd"/>
      <w:r w:rsidRPr="009257E7">
        <w:rPr>
          <w:lang w:val="es-ES"/>
        </w:rPr>
        <w:t xml:space="preserve"> construyeron solidaridad dentro de grupos de inmigrantes “diferentes” y entre ellos, como un paso hacia acciones </w:t>
      </w:r>
      <w:proofErr w:type="spellStart"/>
      <w:r w:rsidRPr="009257E7">
        <w:rPr>
          <w:lang w:val="es-ES"/>
        </w:rPr>
        <w:t>coalicionales</w:t>
      </w:r>
      <w:proofErr w:type="spellEnd"/>
      <w:r w:rsidRPr="009257E7">
        <w:rPr>
          <w:lang w:val="es-ES"/>
        </w:rPr>
        <w:t>. Existen otros ejemplos, tanto en Estados Unidos como más allá. Construir solidaridad desde abajo para la acción colectiva sostenida es una necesidad práctica y también lo correcto. Para ilustrar este punto, el reverendo William Barber II inició las manifestaciones de Moral Monday en la Asamblea General de Carolina del Norte</w:t>
      </w:r>
      <w:r w:rsidR="00ED4F4D" w:rsidRPr="009257E7">
        <w:rPr>
          <w:lang w:val="es-ES"/>
        </w:rPr>
        <w:t>,</w:t>
      </w:r>
      <w:r w:rsidRPr="009257E7">
        <w:rPr>
          <w:lang w:val="es-ES"/>
        </w:rPr>
        <w:t xml:space="preserve"> en 2013. Durante los años siguientes, decenas de miles de personas participaron en protestas destinadas a impedir que la mayoría conservadora de la legislatura promulgara políticas para suprimir el voto, reducir el acceso a la atención médica, </w:t>
      </w:r>
      <w:r w:rsidRPr="009257E7">
        <w:rPr>
          <w:lang w:val="es-ES"/>
        </w:rPr>
        <w:lastRenderedPageBreak/>
        <w:t xml:space="preserve">eliminar </w:t>
      </w:r>
      <w:r w:rsidR="007A02E5" w:rsidRPr="009257E7">
        <w:rPr>
          <w:lang w:val="es-ES"/>
        </w:rPr>
        <w:t xml:space="preserve">las </w:t>
      </w:r>
      <w:r w:rsidRPr="009257E7">
        <w:rPr>
          <w:lang w:val="es-ES"/>
        </w:rPr>
        <w:t>protecciones salariales y</w:t>
      </w:r>
      <w:r w:rsidR="007A02E5" w:rsidRPr="009257E7">
        <w:rPr>
          <w:lang w:val="es-ES"/>
        </w:rPr>
        <w:t>,</w:t>
      </w:r>
      <w:r w:rsidRPr="009257E7">
        <w:rPr>
          <w:lang w:val="es-ES"/>
        </w:rPr>
        <w:t xml:space="preserve"> de otras formas</w:t>
      </w:r>
      <w:r w:rsidR="007A02E5" w:rsidRPr="009257E7">
        <w:rPr>
          <w:lang w:val="es-ES"/>
        </w:rPr>
        <w:t>, reforzar</w:t>
      </w:r>
      <w:r w:rsidRPr="009257E7">
        <w:rPr>
          <w:lang w:val="es-ES"/>
        </w:rPr>
        <w:t xml:space="preserve"> el poder elitista. En 2017, el reverendo Barber fue nombrado líder de </w:t>
      </w:r>
      <w:proofErr w:type="spellStart"/>
      <w:r w:rsidRPr="009257E7">
        <w:rPr>
          <w:rStyle w:val="Emphasis"/>
          <w:lang w:val="es-ES"/>
        </w:rPr>
        <w:t>Repairers</w:t>
      </w:r>
      <w:proofErr w:type="spellEnd"/>
      <w:r w:rsidRPr="009257E7">
        <w:rPr>
          <w:rStyle w:val="Emphasis"/>
          <w:lang w:val="es-ES"/>
        </w:rPr>
        <w:t xml:space="preserve"> </w:t>
      </w:r>
      <w:proofErr w:type="spellStart"/>
      <w:r w:rsidRPr="009257E7">
        <w:rPr>
          <w:rStyle w:val="Emphasis"/>
          <w:lang w:val="es-ES"/>
        </w:rPr>
        <w:t>of</w:t>
      </w:r>
      <w:proofErr w:type="spellEnd"/>
      <w:r w:rsidRPr="009257E7">
        <w:rPr>
          <w:rStyle w:val="Emphasis"/>
          <w:lang w:val="es-ES"/>
        </w:rPr>
        <w:t xml:space="preserve"> </w:t>
      </w:r>
      <w:proofErr w:type="spellStart"/>
      <w:r w:rsidRPr="009257E7">
        <w:rPr>
          <w:rStyle w:val="Emphasis"/>
          <w:lang w:val="es-ES"/>
        </w:rPr>
        <w:t>the</w:t>
      </w:r>
      <w:proofErr w:type="spellEnd"/>
      <w:r w:rsidRPr="009257E7">
        <w:rPr>
          <w:rStyle w:val="Emphasis"/>
          <w:lang w:val="es-ES"/>
        </w:rPr>
        <w:t xml:space="preserve"> Breach</w:t>
      </w:r>
      <w:r w:rsidRPr="009257E7">
        <w:rPr>
          <w:lang w:val="es-ES"/>
        </w:rPr>
        <w:t xml:space="preserve">, una coalición nacional de organizaciones de justicia social basadas en la fe que opera con un marco identitario intencionalmente consciente de la clase e interseccional. </w:t>
      </w:r>
      <w:proofErr w:type="spellStart"/>
      <w:r w:rsidRPr="009257E7">
        <w:rPr>
          <w:rStyle w:val="Emphasis"/>
          <w:lang w:val="es-ES"/>
        </w:rPr>
        <w:t>Repairers</w:t>
      </w:r>
      <w:proofErr w:type="spellEnd"/>
      <w:r w:rsidRPr="009257E7">
        <w:rPr>
          <w:rStyle w:val="Emphasis"/>
          <w:lang w:val="es-ES"/>
        </w:rPr>
        <w:t xml:space="preserve"> </w:t>
      </w:r>
      <w:proofErr w:type="spellStart"/>
      <w:r w:rsidRPr="009257E7">
        <w:rPr>
          <w:rStyle w:val="Emphasis"/>
          <w:lang w:val="es-ES"/>
        </w:rPr>
        <w:t>of</w:t>
      </w:r>
      <w:proofErr w:type="spellEnd"/>
      <w:r w:rsidRPr="009257E7">
        <w:rPr>
          <w:rStyle w:val="Emphasis"/>
          <w:lang w:val="es-ES"/>
        </w:rPr>
        <w:t xml:space="preserve"> </w:t>
      </w:r>
      <w:proofErr w:type="spellStart"/>
      <w:r w:rsidRPr="009257E7">
        <w:rPr>
          <w:rStyle w:val="Emphasis"/>
          <w:lang w:val="es-ES"/>
        </w:rPr>
        <w:t>the</w:t>
      </w:r>
      <w:proofErr w:type="spellEnd"/>
      <w:r w:rsidRPr="009257E7">
        <w:rPr>
          <w:rStyle w:val="Emphasis"/>
          <w:lang w:val="es-ES"/>
        </w:rPr>
        <w:t xml:space="preserve"> Breach</w:t>
      </w:r>
      <w:r w:rsidRPr="009257E7">
        <w:rPr>
          <w:lang w:val="es-ES"/>
        </w:rPr>
        <w:t xml:space="preserve"> y el </w:t>
      </w:r>
      <w:r w:rsidRPr="009257E7">
        <w:rPr>
          <w:rStyle w:val="Emphasis"/>
          <w:lang w:val="es-ES"/>
        </w:rPr>
        <w:t xml:space="preserve">Kairos Center </w:t>
      </w:r>
      <w:proofErr w:type="spellStart"/>
      <w:r w:rsidRPr="009257E7">
        <w:rPr>
          <w:rStyle w:val="Emphasis"/>
          <w:lang w:val="es-ES"/>
        </w:rPr>
        <w:t>for</w:t>
      </w:r>
      <w:proofErr w:type="spellEnd"/>
      <w:r w:rsidRPr="009257E7">
        <w:rPr>
          <w:rStyle w:val="Emphasis"/>
          <w:lang w:val="es-ES"/>
        </w:rPr>
        <w:t xml:space="preserve"> </w:t>
      </w:r>
      <w:proofErr w:type="spellStart"/>
      <w:r w:rsidRPr="009257E7">
        <w:rPr>
          <w:rStyle w:val="Emphasis"/>
          <w:lang w:val="es-ES"/>
        </w:rPr>
        <w:t>Religions</w:t>
      </w:r>
      <w:proofErr w:type="spellEnd"/>
      <w:r w:rsidRPr="009257E7">
        <w:rPr>
          <w:rStyle w:val="Emphasis"/>
          <w:lang w:val="es-ES"/>
        </w:rPr>
        <w:t xml:space="preserve">, </w:t>
      </w:r>
      <w:proofErr w:type="spellStart"/>
      <w:r w:rsidRPr="009257E7">
        <w:rPr>
          <w:rStyle w:val="Emphasis"/>
          <w:lang w:val="es-ES"/>
        </w:rPr>
        <w:t>Rights</w:t>
      </w:r>
      <w:proofErr w:type="spellEnd"/>
      <w:r w:rsidRPr="009257E7">
        <w:rPr>
          <w:rStyle w:val="Emphasis"/>
          <w:lang w:val="es-ES"/>
        </w:rPr>
        <w:t>, and Social Justice</w:t>
      </w:r>
      <w:r w:rsidR="00F12F09" w:rsidRPr="009257E7">
        <w:rPr>
          <w:rStyle w:val="FootnoteReference"/>
          <w:lang w:val="es-ES"/>
        </w:rPr>
        <w:footnoteReference w:id="167"/>
      </w:r>
      <w:r w:rsidRPr="009257E7">
        <w:rPr>
          <w:lang w:val="es-ES"/>
        </w:rPr>
        <w:t xml:space="preserve"> comenzaron una “Poor </w:t>
      </w:r>
      <w:proofErr w:type="spellStart"/>
      <w:r w:rsidRPr="009257E7">
        <w:rPr>
          <w:lang w:val="es-ES"/>
        </w:rPr>
        <w:t>People’s</w:t>
      </w:r>
      <w:proofErr w:type="spellEnd"/>
      <w:r w:rsidRPr="009257E7">
        <w:rPr>
          <w:lang w:val="es-ES"/>
        </w:rPr>
        <w:t xml:space="preserve"> </w:t>
      </w:r>
      <w:proofErr w:type="spellStart"/>
      <w:r w:rsidRPr="009257E7">
        <w:rPr>
          <w:lang w:val="es-ES"/>
        </w:rPr>
        <w:t>Campaign</w:t>
      </w:r>
      <w:proofErr w:type="spellEnd"/>
      <w:r w:rsidRPr="009257E7">
        <w:rPr>
          <w:lang w:val="es-ES"/>
        </w:rPr>
        <w:t>”</w:t>
      </w:r>
      <w:r w:rsidR="00840B54" w:rsidRPr="009257E7">
        <w:rPr>
          <w:rStyle w:val="FootnoteReference"/>
          <w:lang w:val="es-ES"/>
        </w:rPr>
        <w:footnoteReference w:id="168"/>
      </w:r>
      <w:r w:rsidRPr="009257E7">
        <w:rPr>
          <w:lang w:val="es-ES"/>
        </w:rPr>
        <w:t xml:space="preserve"> contemporánea, modelada a partir del trabajo de justicia económica del reverendo Martin Luther King Jr. y otres en la década de 1960. Entre otros principios, la </w:t>
      </w:r>
      <w:r w:rsidRPr="009257E7">
        <w:rPr>
          <w:rStyle w:val="Emphasis"/>
          <w:lang w:val="es-ES"/>
        </w:rPr>
        <w:t xml:space="preserve">Poor </w:t>
      </w:r>
      <w:proofErr w:type="spellStart"/>
      <w:r w:rsidRPr="009257E7">
        <w:rPr>
          <w:rStyle w:val="Emphasis"/>
          <w:lang w:val="es-ES"/>
        </w:rPr>
        <w:t>People’s</w:t>
      </w:r>
      <w:proofErr w:type="spellEnd"/>
      <w:r w:rsidRPr="009257E7">
        <w:rPr>
          <w:rStyle w:val="Emphasis"/>
          <w:lang w:val="es-ES"/>
        </w:rPr>
        <w:t xml:space="preserve"> </w:t>
      </w:r>
      <w:proofErr w:type="spellStart"/>
      <w:r w:rsidRPr="009257E7">
        <w:rPr>
          <w:rStyle w:val="Emphasis"/>
          <w:lang w:val="es-ES"/>
        </w:rPr>
        <w:t>Campaign</w:t>
      </w:r>
      <w:proofErr w:type="spellEnd"/>
      <w:r w:rsidRPr="009257E7">
        <w:rPr>
          <w:lang w:val="es-ES"/>
        </w:rPr>
        <w:t xml:space="preserve"> </w:t>
      </w:r>
      <w:r w:rsidR="00840B54" w:rsidRPr="009257E7">
        <w:rPr>
          <w:lang w:val="es-ES"/>
        </w:rPr>
        <w:t>se</w:t>
      </w:r>
      <w:r w:rsidRPr="009257E7">
        <w:rPr>
          <w:lang w:val="es-ES"/>
        </w:rPr>
        <w:t xml:space="preserve"> </w:t>
      </w:r>
      <w:r w:rsidR="00840B54" w:rsidRPr="009257E7">
        <w:rPr>
          <w:lang w:val="es-ES"/>
        </w:rPr>
        <w:t>adhiere</w:t>
      </w:r>
      <w:r w:rsidRPr="009257E7">
        <w:rPr>
          <w:lang w:val="es-ES"/>
        </w:rPr>
        <w:t xml:space="preserve"> a la </w:t>
      </w:r>
      <w:r w:rsidR="00840B54" w:rsidRPr="009257E7">
        <w:rPr>
          <w:lang w:val="es-ES"/>
        </w:rPr>
        <w:t>idea</w:t>
      </w:r>
      <w:r w:rsidRPr="009257E7">
        <w:rPr>
          <w:lang w:val="es-ES"/>
        </w:rPr>
        <w:t xml:space="preserve"> de que “la igual protección bajo la ley no es negociable”</w:t>
      </w:r>
      <w:r w:rsidR="00FB748E" w:rsidRPr="009257E7">
        <w:rPr>
          <w:rStyle w:val="FootnoteReference"/>
          <w:lang w:val="es-ES"/>
        </w:rPr>
        <w:footnoteReference w:id="169"/>
      </w:r>
      <w:r w:rsidRPr="009257E7">
        <w:rPr>
          <w:lang w:val="es-ES"/>
        </w:rPr>
        <w:t>.</w:t>
      </w:r>
    </w:p>
    <w:p w14:paraId="0CA4E826" w14:textId="06837770" w:rsidR="00F84069" w:rsidRPr="009257E7" w:rsidRDefault="00F84069" w:rsidP="00FB748E">
      <w:pPr>
        <w:pStyle w:val="NormalWeb"/>
        <w:ind w:firstLine="720"/>
        <w:rPr>
          <w:lang w:val="es-ES"/>
        </w:rPr>
      </w:pPr>
      <w:r w:rsidRPr="009257E7">
        <w:rPr>
          <w:lang w:val="es-ES"/>
        </w:rPr>
        <w:t xml:space="preserve">En el contexto de ese trabajo, el reverendo Barber ha llamado a una “conversación adulta sobre la raza” que aborde la subordinación racial y los intereses de clase para promover la solidaridad, al reconocer que “la pobreza y la igualdad económica no pueden entenderse separadas de una sociedad construida sobre la supremacía blanca”. Barber también llama a les abogades y </w:t>
      </w:r>
      <w:r w:rsidR="00CC2773" w:rsidRPr="009257E7">
        <w:rPr>
          <w:lang w:val="es-ES"/>
        </w:rPr>
        <w:t xml:space="preserve">les </w:t>
      </w:r>
      <w:r w:rsidRPr="009257E7">
        <w:rPr>
          <w:lang w:val="es-ES"/>
        </w:rPr>
        <w:t xml:space="preserve">activistas a usar métodos de investigación crítica que recurran a la historia y “vean la raza” de la manera consciente del color destacada por les </w:t>
      </w:r>
      <w:proofErr w:type="spellStart"/>
      <w:r w:rsidRPr="009257E7">
        <w:rPr>
          <w:lang w:val="es-ES"/>
        </w:rPr>
        <w:t>académicxs</w:t>
      </w:r>
      <w:proofErr w:type="spellEnd"/>
      <w:r w:rsidRPr="009257E7">
        <w:rPr>
          <w:lang w:val="es-ES"/>
        </w:rPr>
        <w:t xml:space="preserve"> anteriores. La información derivada de esa investigación ayuda a “construir solidaridad” al enmarcar </w:t>
      </w:r>
      <w:r w:rsidR="00CC2773" w:rsidRPr="009257E7">
        <w:rPr>
          <w:lang w:val="es-ES"/>
        </w:rPr>
        <w:t xml:space="preserve">las </w:t>
      </w:r>
      <w:r w:rsidRPr="009257E7">
        <w:rPr>
          <w:lang w:val="es-ES"/>
        </w:rPr>
        <w:t>intersecciones de intereses grupales colectivos basad</w:t>
      </w:r>
      <w:r w:rsidR="00CC2773" w:rsidRPr="009257E7">
        <w:rPr>
          <w:lang w:val="es-ES"/>
        </w:rPr>
        <w:t>a</w:t>
      </w:r>
      <w:r w:rsidRPr="009257E7">
        <w:rPr>
          <w:lang w:val="es-ES"/>
        </w:rPr>
        <w:t>s en identidades sociales. Barber sugiere que la investigación desde abajo debe destacar la miopía de trabajar “en silos, con personas negras en un extremo luchando contra la supresión del voto y personas blancas en el otro extremo luchando contra el neoliberalismo [económico]”. Considérese cómo el reverendo Barber conecta la investigación, los intereses colectivos y la solidaridad basada en la identidad con una abogacía efectiva frente a las cinco “enfermedades fatales” de la democracia y la sociedad:</w:t>
      </w:r>
    </w:p>
    <w:p w14:paraId="2D6AA5DD" w14:textId="77777777" w:rsidR="00F84069" w:rsidRPr="009257E7" w:rsidRDefault="00F84069" w:rsidP="00047D42">
      <w:pPr>
        <w:pStyle w:val="NormalWeb"/>
        <w:ind w:left="720"/>
        <w:rPr>
          <w:lang w:val="es-ES"/>
        </w:rPr>
      </w:pPr>
      <w:r w:rsidRPr="009257E7">
        <w:rPr>
          <w:lang w:val="es-ES"/>
        </w:rPr>
        <w:t xml:space="preserve">Ahora mismo, en la </w:t>
      </w:r>
      <w:r w:rsidRPr="009257E7">
        <w:rPr>
          <w:rStyle w:val="Emphasis"/>
          <w:lang w:val="es-ES"/>
        </w:rPr>
        <w:t xml:space="preserve">Poor </w:t>
      </w:r>
      <w:proofErr w:type="spellStart"/>
      <w:r w:rsidRPr="009257E7">
        <w:rPr>
          <w:rStyle w:val="Emphasis"/>
          <w:lang w:val="es-ES"/>
        </w:rPr>
        <w:t>People’s</w:t>
      </w:r>
      <w:proofErr w:type="spellEnd"/>
      <w:r w:rsidRPr="009257E7">
        <w:rPr>
          <w:rStyle w:val="Emphasis"/>
          <w:lang w:val="es-ES"/>
        </w:rPr>
        <w:t xml:space="preserve"> </w:t>
      </w:r>
      <w:proofErr w:type="spellStart"/>
      <w:r w:rsidRPr="009257E7">
        <w:rPr>
          <w:rStyle w:val="Emphasis"/>
          <w:lang w:val="es-ES"/>
        </w:rPr>
        <w:t>Campaign</w:t>
      </w:r>
      <w:proofErr w:type="spellEnd"/>
      <w:r w:rsidRPr="009257E7">
        <w:rPr>
          <w:lang w:val="es-ES"/>
        </w:rPr>
        <w:t>, decimos que hay cinco enfermedades potencialmente fatales que afectan esta democracia: racismo sistémico, pobreza sistémica, devastación ecológica, economía de guerra y la narrativa moral falsa y distorsionada del nacionalismo religioso que da cobertura a las otras cuatro enfermedades sociales.</w:t>
      </w:r>
    </w:p>
    <w:p w14:paraId="6F69E1A1" w14:textId="4BDC5443" w:rsidR="00F84069" w:rsidRPr="009257E7" w:rsidRDefault="00F84069" w:rsidP="00047D42">
      <w:pPr>
        <w:pStyle w:val="NormalWeb"/>
        <w:ind w:left="720"/>
        <w:rPr>
          <w:lang w:val="es-ES"/>
        </w:rPr>
      </w:pPr>
      <w:r w:rsidRPr="009257E7">
        <w:rPr>
          <w:lang w:val="es-ES"/>
        </w:rPr>
        <w:t>[...] [T]</w:t>
      </w:r>
      <w:proofErr w:type="spellStart"/>
      <w:r w:rsidRPr="009257E7">
        <w:rPr>
          <w:lang w:val="es-ES"/>
        </w:rPr>
        <w:t>enemos</w:t>
      </w:r>
      <w:proofErr w:type="spellEnd"/>
      <w:r w:rsidRPr="009257E7">
        <w:rPr>
          <w:lang w:val="es-ES"/>
        </w:rPr>
        <w:t xml:space="preserve"> que contar con investigadores que puedan conectar las cinco y ayudar a las personas a entender que no se puede hablar de avance</w:t>
      </w:r>
      <w:r w:rsidR="00047D42" w:rsidRPr="009257E7">
        <w:rPr>
          <w:lang w:val="es-ES"/>
        </w:rPr>
        <w:t>s</w:t>
      </w:r>
      <w:r w:rsidRPr="009257E7">
        <w:rPr>
          <w:lang w:val="es-ES"/>
        </w:rPr>
        <w:t xml:space="preserve"> económico</w:t>
      </w:r>
      <w:r w:rsidR="00047D42" w:rsidRPr="009257E7">
        <w:rPr>
          <w:lang w:val="es-ES"/>
        </w:rPr>
        <w:t>s</w:t>
      </w:r>
      <w:r w:rsidRPr="009257E7">
        <w:rPr>
          <w:lang w:val="es-ES"/>
        </w:rPr>
        <w:t>, salarios dignos y sacar a las personas pobres de la pobreza si no se atiende, por ejemplo, el racismo sistémico de la supresión del voto. [...]</w:t>
      </w:r>
    </w:p>
    <w:p w14:paraId="4C01CF3B" w14:textId="1A187B08" w:rsidR="00F84069" w:rsidRPr="009257E7" w:rsidRDefault="00F84069" w:rsidP="00047D42">
      <w:pPr>
        <w:pStyle w:val="NormalWeb"/>
        <w:ind w:left="720"/>
        <w:rPr>
          <w:lang w:val="es-ES"/>
        </w:rPr>
      </w:pPr>
      <w:r w:rsidRPr="009257E7">
        <w:rPr>
          <w:lang w:val="es-ES"/>
        </w:rPr>
        <w:t>La investigación y las revoluciones van de la mano. [...] L</w:t>
      </w:r>
      <w:r w:rsidR="00047D42" w:rsidRPr="009257E7">
        <w:rPr>
          <w:lang w:val="es-ES"/>
        </w:rPr>
        <w:t>o</w:t>
      </w:r>
      <w:r w:rsidRPr="009257E7">
        <w:rPr>
          <w:lang w:val="es-ES"/>
        </w:rPr>
        <w:t>s revolucionari</w:t>
      </w:r>
      <w:r w:rsidR="00047D42" w:rsidRPr="009257E7">
        <w:rPr>
          <w:lang w:val="es-ES"/>
        </w:rPr>
        <w:t>o</w:t>
      </w:r>
      <w:r w:rsidRPr="009257E7">
        <w:rPr>
          <w:lang w:val="es-ES"/>
        </w:rPr>
        <w:t>s tienen que ser reeducades por la investigación, porque eso les ayuda a pensar más allá de la mentalidad predominante de la sociedad mayor.</w:t>
      </w:r>
    </w:p>
    <w:p w14:paraId="7C77D9EE" w14:textId="6C68241A" w:rsidR="00F84069" w:rsidRPr="009257E7" w:rsidRDefault="00F84069" w:rsidP="00047D42">
      <w:pPr>
        <w:pStyle w:val="NormalWeb"/>
        <w:ind w:left="720"/>
        <w:rPr>
          <w:lang w:val="es-ES"/>
        </w:rPr>
      </w:pPr>
      <w:r w:rsidRPr="009257E7">
        <w:rPr>
          <w:lang w:val="es-ES"/>
        </w:rPr>
        <w:lastRenderedPageBreak/>
        <w:t xml:space="preserve">Por ejemplo, la mayoría de las personas no se da cuenta de que la supresión del voto en este momento es más </w:t>
      </w:r>
      <w:r w:rsidR="00047D42" w:rsidRPr="009257E7">
        <w:rPr>
          <w:lang w:val="es-ES"/>
        </w:rPr>
        <w:t xml:space="preserve">bien </w:t>
      </w:r>
      <w:r w:rsidRPr="009257E7">
        <w:rPr>
          <w:lang w:val="es-ES"/>
        </w:rPr>
        <w:t xml:space="preserve">un asunto blanco que un asunto negro. La investigación muestra que los estados que han participado en la supresión racializada del voto están entre los más pobres de la nación. Así que las personas electas mediante la supresión racializada del voto aprueban políticas que perjudican principalmente a </w:t>
      </w:r>
      <w:r w:rsidR="00047D42" w:rsidRPr="009257E7">
        <w:rPr>
          <w:lang w:val="es-ES"/>
        </w:rPr>
        <w:t xml:space="preserve">las </w:t>
      </w:r>
      <w:r w:rsidRPr="009257E7">
        <w:rPr>
          <w:lang w:val="es-ES"/>
        </w:rPr>
        <w:t>personas blancas, porque todavía son la mayoría de la población en esos estados. Perdemos con demasiada frecuencia en estos asuntos porque trabajamos en silos</w:t>
      </w:r>
      <w:r w:rsidR="00047D42" w:rsidRPr="009257E7">
        <w:rPr>
          <w:lang w:val="es-ES"/>
        </w:rPr>
        <w:t>:</w:t>
      </w:r>
      <w:r w:rsidRPr="009257E7">
        <w:rPr>
          <w:lang w:val="es-ES"/>
        </w:rPr>
        <w:t xml:space="preserve"> personas negras en un extremo luchan contra la supresión del voto y personas blancas en el otro extremo luchan contra el neoliberalismo. Trabajamos en silos porque hemos sido condicionad</w:t>
      </w:r>
      <w:r w:rsidR="00047D42" w:rsidRPr="009257E7">
        <w:rPr>
          <w:lang w:val="es-ES"/>
        </w:rPr>
        <w:t>o</w:t>
      </w:r>
      <w:r w:rsidRPr="009257E7">
        <w:rPr>
          <w:lang w:val="es-ES"/>
        </w:rPr>
        <w:t>s a pensar que son asuntos separados, cuando en realidad están todos conectados.</w:t>
      </w:r>
      <w:r w:rsidR="00157DB2" w:rsidRPr="009257E7">
        <w:rPr>
          <w:rStyle w:val="FootnoteReference"/>
          <w:lang w:val="es-ES"/>
        </w:rPr>
        <w:footnoteReference w:id="170"/>
      </w:r>
    </w:p>
    <w:p w14:paraId="1CF074F3" w14:textId="1962A32D" w:rsidR="00F84069" w:rsidRPr="009257E7" w:rsidRDefault="00F84069" w:rsidP="00157DB2">
      <w:pPr>
        <w:pStyle w:val="NormalWeb"/>
        <w:ind w:firstLine="720"/>
        <w:rPr>
          <w:lang w:val="es-ES"/>
        </w:rPr>
      </w:pPr>
      <w:r w:rsidRPr="009257E7">
        <w:rPr>
          <w:lang w:val="es-ES"/>
        </w:rPr>
        <w:t xml:space="preserve">Las protestas de política pública de Moral </w:t>
      </w:r>
      <w:proofErr w:type="spellStart"/>
      <w:r w:rsidRPr="009257E7">
        <w:rPr>
          <w:lang w:val="es-ES"/>
        </w:rPr>
        <w:t>Mondays</w:t>
      </w:r>
      <w:proofErr w:type="spellEnd"/>
      <w:r w:rsidRPr="009257E7">
        <w:rPr>
          <w:lang w:val="es-ES"/>
        </w:rPr>
        <w:t xml:space="preserve"> y la </w:t>
      </w:r>
      <w:r w:rsidRPr="009257E7">
        <w:rPr>
          <w:rStyle w:val="Emphasis"/>
          <w:lang w:val="es-ES"/>
        </w:rPr>
        <w:t xml:space="preserve">Poor </w:t>
      </w:r>
      <w:proofErr w:type="spellStart"/>
      <w:r w:rsidRPr="009257E7">
        <w:rPr>
          <w:rStyle w:val="Emphasis"/>
          <w:lang w:val="es-ES"/>
        </w:rPr>
        <w:t>People’s</w:t>
      </w:r>
      <w:proofErr w:type="spellEnd"/>
      <w:r w:rsidRPr="009257E7">
        <w:rPr>
          <w:rStyle w:val="Emphasis"/>
          <w:lang w:val="es-ES"/>
        </w:rPr>
        <w:t xml:space="preserve"> </w:t>
      </w:r>
      <w:proofErr w:type="spellStart"/>
      <w:r w:rsidRPr="009257E7">
        <w:rPr>
          <w:rStyle w:val="Emphasis"/>
          <w:lang w:val="es-ES"/>
        </w:rPr>
        <w:t>Campaign</w:t>
      </w:r>
      <w:proofErr w:type="spellEnd"/>
      <w:r w:rsidRPr="009257E7">
        <w:rPr>
          <w:lang w:val="es-ES"/>
        </w:rPr>
        <w:t xml:space="preserve"> buscan trazar un camino hacia una toma de decisiones basada en principios y sujeta a rendición de cuentas bajo el derecho: hacia la justicia igualitaria. En el curso de planificar y ejecutar una lucha sostenida, logran </w:t>
      </w:r>
      <w:r w:rsidR="00157DB2" w:rsidRPr="009257E7">
        <w:rPr>
          <w:lang w:val="es-ES"/>
        </w:rPr>
        <w:t xml:space="preserve">un </w:t>
      </w:r>
      <w:r w:rsidRPr="009257E7">
        <w:rPr>
          <w:lang w:val="es-ES"/>
        </w:rPr>
        <w:t xml:space="preserve">progreso incremental: </w:t>
      </w:r>
      <w:r w:rsidR="00157DB2" w:rsidRPr="009257E7">
        <w:rPr>
          <w:lang w:val="es-ES"/>
        </w:rPr>
        <w:t xml:space="preserve">la </w:t>
      </w:r>
      <w:r w:rsidRPr="009257E7">
        <w:rPr>
          <w:lang w:val="es-ES"/>
        </w:rPr>
        <w:t>transformación mediante</w:t>
      </w:r>
      <w:r w:rsidR="00157DB2" w:rsidRPr="009257E7">
        <w:rPr>
          <w:lang w:val="es-ES"/>
        </w:rPr>
        <w:t xml:space="preserve"> la</w:t>
      </w:r>
      <w:r w:rsidRPr="009257E7">
        <w:rPr>
          <w:lang w:val="es-ES"/>
        </w:rPr>
        <w:t xml:space="preserve"> reforma. Al mismo tiempo, construyen solidaridad para el poder colectivo en ciclos continuos de progresión y regresión. Al hacerlo, reconocen los papeles interrelacionados de </w:t>
      </w:r>
      <w:r w:rsidR="00157DB2" w:rsidRPr="009257E7">
        <w:rPr>
          <w:lang w:val="es-ES"/>
        </w:rPr>
        <w:t xml:space="preserve">las </w:t>
      </w:r>
      <w:r w:rsidRPr="009257E7">
        <w:rPr>
          <w:lang w:val="es-ES"/>
        </w:rPr>
        <w:t>identidades,</w:t>
      </w:r>
      <w:r w:rsidR="00157DB2" w:rsidRPr="009257E7">
        <w:rPr>
          <w:lang w:val="es-ES"/>
        </w:rPr>
        <w:t xml:space="preserve"> los</w:t>
      </w:r>
      <w:r w:rsidRPr="009257E7">
        <w:rPr>
          <w:lang w:val="es-ES"/>
        </w:rPr>
        <w:t xml:space="preserve"> grupos, </w:t>
      </w:r>
      <w:r w:rsidR="00157DB2" w:rsidRPr="009257E7">
        <w:rPr>
          <w:lang w:val="es-ES"/>
        </w:rPr>
        <w:t xml:space="preserve">los </w:t>
      </w:r>
      <w:r w:rsidRPr="009257E7">
        <w:rPr>
          <w:lang w:val="es-ES"/>
        </w:rPr>
        <w:t>intereses y</w:t>
      </w:r>
      <w:r w:rsidR="00157DB2" w:rsidRPr="009257E7">
        <w:rPr>
          <w:lang w:val="es-ES"/>
        </w:rPr>
        <w:t xml:space="preserve"> el</w:t>
      </w:r>
      <w:r w:rsidRPr="009257E7">
        <w:rPr>
          <w:lang w:val="es-ES"/>
        </w:rPr>
        <w:t xml:space="preserve"> poder —IGIP— en las luchas sistémicas.</w:t>
      </w:r>
      <w:r w:rsidR="00157DB2" w:rsidRPr="009257E7">
        <w:rPr>
          <w:lang w:val="es-ES"/>
        </w:rPr>
        <w:t xml:space="preserve"> </w:t>
      </w:r>
    </w:p>
    <w:p w14:paraId="69BF36A3" w14:textId="7709BE2E" w:rsidR="008F5B70" w:rsidRPr="009257E7" w:rsidRDefault="008F5B70" w:rsidP="00EA6922">
      <w:pPr>
        <w:pStyle w:val="NormalWeb"/>
        <w:ind w:firstLine="720"/>
        <w:rPr>
          <w:lang w:val="es-ES"/>
        </w:rPr>
      </w:pPr>
      <w:r w:rsidRPr="009257E7">
        <w:rPr>
          <w:b/>
          <w:bCs/>
          <w:lang w:val="es-ES"/>
        </w:rPr>
        <w:br/>
        <w:t>4.6 Usar el marco IGIP: identidades, grupos, intereses y poder</w:t>
      </w:r>
    </w:p>
    <w:p w14:paraId="3D6E7270" w14:textId="7DA9A560" w:rsidR="0054072C" w:rsidRPr="009257E7" w:rsidRDefault="0054072C" w:rsidP="00DC325A">
      <w:pPr>
        <w:pStyle w:val="NormalWeb"/>
        <w:ind w:firstLine="720"/>
        <w:rPr>
          <w:lang w:val="es-ES"/>
        </w:rPr>
      </w:pPr>
      <w:r w:rsidRPr="009257E7">
        <w:rPr>
          <w:lang w:val="es-ES"/>
        </w:rPr>
        <w:t>La supremacía es el poder de controlar y se ha construido mediante la manipulación de identidades e ideologías. Debido a que las identidades son medios y vías de poder y control, las personas y los grupos asociaron innumerables intereses con identidades sociales “diferentes”: intereses en acceder a oportunidades y</w:t>
      </w:r>
      <w:r w:rsidR="00DC325A" w:rsidRPr="009257E7">
        <w:rPr>
          <w:lang w:val="es-ES"/>
        </w:rPr>
        <w:t xml:space="preserve"> en</w:t>
      </w:r>
      <w:r w:rsidRPr="009257E7">
        <w:rPr>
          <w:lang w:val="es-ES"/>
        </w:rPr>
        <w:t xml:space="preserve"> escapar de la opresión. Estas dinámicas de casta son necesariamente colectivas: la supremacía es un proyecto grupal que no puede </w:t>
      </w:r>
      <w:r w:rsidR="00085028" w:rsidRPr="009257E7">
        <w:rPr>
          <w:lang w:val="es-ES"/>
        </w:rPr>
        <w:t>alcanz</w:t>
      </w:r>
      <w:r w:rsidRPr="009257E7">
        <w:rPr>
          <w:lang w:val="es-ES"/>
        </w:rPr>
        <w:t xml:space="preserve">arse </w:t>
      </w:r>
      <w:r w:rsidR="00085028" w:rsidRPr="009257E7">
        <w:rPr>
          <w:lang w:val="es-ES"/>
        </w:rPr>
        <w:t>únicamente</w:t>
      </w:r>
      <w:r w:rsidRPr="009257E7">
        <w:rPr>
          <w:lang w:val="es-ES"/>
        </w:rPr>
        <w:t xml:space="preserve"> </w:t>
      </w:r>
      <w:r w:rsidR="00085028" w:rsidRPr="009257E7">
        <w:rPr>
          <w:lang w:val="es-ES"/>
        </w:rPr>
        <w:t>a</w:t>
      </w:r>
      <w:r w:rsidRPr="009257E7">
        <w:rPr>
          <w:lang w:val="es-ES"/>
        </w:rPr>
        <w:t xml:space="preserve"> nivel individual. Como resultado, el sistema del Estado de derecho establece una combinación volátil de cuatro elementos que convergen para crear y arraigar el Desafío Crítico de usar el derecho para la justicia. Para perpetuar este statu quo, el derecho</w:t>
      </w:r>
      <w:r w:rsidR="00085028" w:rsidRPr="009257E7">
        <w:rPr>
          <w:lang w:val="es-ES"/>
        </w:rPr>
        <w:t>,</w:t>
      </w:r>
      <w:r w:rsidRPr="009257E7">
        <w:rPr>
          <w:lang w:val="es-ES"/>
        </w:rPr>
        <w:t xml:space="preserve"> como sistema</w:t>
      </w:r>
      <w:r w:rsidR="00085028" w:rsidRPr="009257E7">
        <w:rPr>
          <w:lang w:val="es-ES"/>
        </w:rPr>
        <w:t>,</w:t>
      </w:r>
      <w:r w:rsidRPr="009257E7">
        <w:rPr>
          <w:lang w:val="es-ES"/>
        </w:rPr>
        <w:t xml:space="preserve"> niega la relevancia de estos cuatro elementos </w:t>
      </w:r>
      <w:r w:rsidR="00085028" w:rsidRPr="009257E7">
        <w:rPr>
          <w:lang w:val="es-ES"/>
        </w:rPr>
        <w:t>en</w:t>
      </w:r>
      <w:r w:rsidRPr="009257E7">
        <w:rPr>
          <w:lang w:val="es-ES"/>
        </w:rPr>
        <w:t xml:space="preserve"> los remedios frente a la injusticia y la desigualdad. Estos cuatro elementos ausentes de la abogacía tradicional —IGIP— son: identidades, grupos, intereses y poder.</w:t>
      </w:r>
    </w:p>
    <w:p w14:paraId="5128FC1E" w14:textId="2DD3E438" w:rsidR="0054072C" w:rsidRPr="009257E7" w:rsidRDefault="0054072C" w:rsidP="0054072C">
      <w:pPr>
        <w:pStyle w:val="NormalWeb"/>
        <w:numPr>
          <w:ilvl w:val="0"/>
          <w:numId w:val="5"/>
        </w:numPr>
        <w:rPr>
          <w:lang w:val="es-ES"/>
        </w:rPr>
      </w:pPr>
      <w:r w:rsidRPr="009257E7">
        <w:rPr>
          <w:lang w:val="es-ES"/>
        </w:rPr>
        <w:t xml:space="preserve">Por identidades </w:t>
      </w:r>
      <w:r w:rsidR="00085028" w:rsidRPr="009257E7">
        <w:rPr>
          <w:lang w:val="es-ES"/>
        </w:rPr>
        <w:t>sociales nos referimos a marcadores como el género, la raza, la etnicidad, la orientación sexual, entre</w:t>
      </w:r>
      <w:r w:rsidRPr="009257E7">
        <w:rPr>
          <w:lang w:val="es-ES"/>
        </w:rPr>
        <w:t xml:space="preserve"> otros. Las identidades sociales no son naturales ni inmutables, sino construidas socialmente para servir intereses, por lo general para elevar a quienes tienen ciertos marcadores y subordinar a quienes son “diferentes”. Los rasgos o experiencias asociados con individuos que comparten una identidad no son iguales para todes l</w:t>
      </w:r>
      <w:r w:rsidR="006F184B" w:rsidRPr="009257E7">
        <w:rPr>
          <w:lang w:val="es-ES"/>
        </w:rPr>
        <w:t>o</w:t>
      </w:r>
      <w:r w:rsidRPr="009257E7">
        <w:rPr>
          <w:lang w:val="es-ES"/>
        </w:rPr>
        <w:t xml:space="preserve">s integrantes del grupo; por tanto, las identidades no son “esencialistas”. Las identidades no operan de forma aislada, sino que son múltiples e “interseccionales”, tanto </w:t>
      </w:r>
      <w:r w:rsidR="006F184B" w:rsidRPr="009257E7">
        <w:rPr>
          <w:lang w:val="es-ES"/>
        </w:rPr>
        <w:t>a</w:t>
      </w:r>
      <w:r w:rsidRPr="009257E7">
        <w:rPr>
          <w:lang w:val="es-ES"/>
        </w:rPr>
        <w:t xml:space="preserve"> nivel individual como </w:t>
      </w:r>
      <w:r w:rsidR="006F184B" w:rsidRPr="009257E7">
        <w:rPr>
          <w:lang w:val="es-ES"/>
        </w:rPr>
        <w:t xml:space="preserve">a nivel </w:t>
      </w:r>
      <w:r w:rsidRPr="009257E7">
        <w:rPr>
          <w:lang w:val="es-ES"/>
        </w:rPr>
        <w:t>social.</w:t>
      </w:r>
    </w:p>
    <w:p w14:paraId="2C5CE50A" w14:textId="6376D236" w:rsidR="0054072C" w:rsidRPr="009257E7" w:rsidRDefault="0054072C" w:rsidP="0054072C">
      <w:pPr>
        <w:pStyle w:val="NormalWeb"/>
        <w:numPr>
          <w:ilvl w:val="0"/>
          <w:numId w:val="5"/>
        </w:numPr>
        <w:rPr>
          <w:lang w:val="es-ES"/>
        </w:rPr>
      </w:pPr>
      <w:r w:rsidRPr="009257E7">
        <w:rPr>
          <w:lang w:val="es-ES"/>
        </w:rPr>
        <w:lastRenderedPageBreak/>
        <w:t xml:space="preserve">Las identidades sociales definen la pertenencia a </w:t>
      </w:r>
      <w:r w:rsidR="006F184B" w:rsidRPr="009257E7">
        <w:rPr>
          <w:lang w:val="es-ES"/>
        </w:rPr>
        <w:t xml:space="preserve">los </w:t>
      </w:r>
      <w:r w:rsidRPr="009257E7">
        <w:rPr>
          <w:lang w:val="es-ES"/>
        </w:rPr>
        <w:t xml:space="preserve">grupos sociales. Las identidades sociales </w:t>
      </w:r>
      <w:r w:rsidR="006F184B" w:rsidRPr="009257E7">
        <w:rPr>
          <w:lang w:val="es-ES"/>
        </w:rPr>
        <w:t>adquier</w:t>
      </w:r>
      <w:r w:rsidRPr="009257E7">
        <w:rPr>
          <w:lang w:val="es-ES"/>
        </w:rPr>
        <w:t xml:space="preserve">en significado, se </w:t>
      </w:r>
      <w:r w:rsidR="006F184B" w:rsidRPr="009257E7">
        <w:rPr>
          <w:lang w:val="es-ES"/>
        </w:rPr>
        <w:t>jerarquizan</w:t>
      </w:r>
      <w:r w:rsidRPr="009257E7">
        <w:rPr>
          <w:lang w:val="es-ES"/>
        </w:rPr>
        <w:t xml:space="preserve"> y se </w:t>
      </w:r>
      <w:r w:rsidR="006F184B" w:rsidRPr="009257E7">
        <w:rPr>
          <w:lang w:val="es-ES"/>
        </w:rPr>
        <w:t>emple</w:t>
      </w:r>
      <w:r w:rsidRPr="009257E7">
        <w:rPr>
          <w:lang w:val="es-ES"/>
        </w:rPr>
        <w:t>an para clasificar a</w:t>
      </w:r>
      <w:r w:rsidR="006F184B" w:rsidRPr="009257E7">
        <w:rPr>
          <w:lang w:val="es-ES"/>
        </w:rPr>
        <w:t xml:space="preserve"> los</w:t>
      </w:r>
      <w:r w:rsidRPr="009257E7">
        <w:rPr>
          <w:lang w:val="es-ES"/>
        </w:rPr>
        <w:t xml:space="preserve"> individuos en grupos sociales. Por ejemplo, </w:t>
      </w:r>
      <w:proofErr w:type="gramStart"/>
      <w:r w:rsidRPr="009257E7">
        <w:rPr>
          <w:lang w:val="es-ES"/>
        </w:rPr>
        <w:t>hombre cis y mujer cis</w:t>
      </w:r>
      <w:proofErr w:type="gramEnd"/>
      <w:r w:rsidRPr="009257E7">
        <w:rPr>
          <w:lang w:val="es-ES"/>
        </w:rPr>
        <w:t xml:space="preserve"> son dos de muchas identidades de género; si la sociedad determina que usted es hombre cis, se le coloca en el grupo de “hombres cis</w:t>
      </w:r>
      <w:r w:rsidR="001D4469" w:rsidRPr="009257E7">
        <w:rPr>
          <w:lang w:val="es-ES"/>
        </w:rPr>
        <w:t>”</w:t>
      </w:r>
      <w:r w:rsidRPr="009257E7">
        <w:rPr>
          <w:lang w:val="es-ES"/>
        </w:rPr>
        <w:t xml:space="preserve">. De manera similar, las identidades se usan para crear grupos sociales identificados como mujeres, personas negras, personas blancas, personas </w:t>
      </w:r>
      <w:r w:rsidR="001D4469" w:rsidRPr="009257E7">
        <w:rPr>
          <w:lang w:val="es-ES"/>
        </w:rPr>
        <w:t>mayore</w:t>
      </w:r>
      <w:r w:rsidRPr="009257E7">
        <w:rPr>
          <w:lang w:val="es-ES"/>
        </w:rPr>
        <w:t xml:space="preserve">s, personas jóvenes, etc. En este proceso, los grupos “elitistas” son dominantes y privilegiados, y reciben ventajas basadas en la identidad; los “otros” grupos sociales son subordinados y desfavorecidos. Entre las élites racializadas y </w:t>
      </w:r>
      <w:proofErr w:type="spellStart"/>
      <w:r w:rsidRPr="009257E7">
        <w:rPr>
          <w:lang w:val="es-ES"/>
        </w:rPr>
        <w:t>generizadas</w:t>
      </w:r>
      <w:proofErr w:type="spellEnd"/>
      <w:r w:rsidRPr="009257E7">
        <w:rPr>
          <w:lang w:val="es-ES"/>
        </w:rPr>
        <w:t xml:space="preserve">, algunas </w:t>
      </w:r>
      <w:r w:rsidR="001D4469" w:rsidRPr="009257E7">
        <w:rPr>
          <w:lang w:val="es-ES"/>
        </w:rPr>
        <w:t>pose</w:t>
      </w:r>
      <w:r w:rsidRPr="009257E7">
        <w:rPr>
          <w:lang w:val="es-ES"/>
        </w:rPr>
        <w:t xml:space="preserve">en gran riqueza y poder, mientras que otras </w:t>
      </w:r>
      <w:r w:rsidR="001D4469" w:rsidRPr="009257E7">
        <w:rPr>
          <w:lang w:val="es-ES"/>
        </w:rPr>
        <w:t>dispon</w:t>
      </w:r>
      <w:r w:rsidRPr="009257E7">
        <w:rPr>
          <w:lang w:val="es-ES"/>
        </w:rPr>
        <w:t xml:space="preserve">en </w:t>
      </w:r>
      <w:r w:rsidR="001D4469" w:rsidRPr="009257E7">
        <w:rPr>
          <w:lang w:val="es-ES"/>
        </w:rPr>
        <w:t>de</w:t>
      </w:r>
      <w:r w:rsidRPr="009257E7">
        <w:rPr>
          <w:lang w:val="es-ES"/>
        </w:rPr>
        <w:t xml:space="preserve"> menos recursos materiales. Al igual que los grupos desde abajo, las cúspides también son interseccionales y no esencialistas. Además de los grupos sociales basados en la identidad, les abogades también trabajan con tipos variados de grupos, en especial colectivos organizados que actúan en luchas sociales. En la abogacía sistémica, los grupos importantes incluyen </w:t>
      </w:r>
      <w:r w:rsidR="0005444C" w:rsidRPr="009257E7">
        <w:rPr>
          <w:lang w:val="es-ES"/>
        </w:rPr>
        <w:t>divers</w:t>
      </w:r>
      <w:r w:rsidRPr="009257E7">
        <w:rPr>
          <w:lang w:val="es-ES"/>
        </w:rPr>
        <w:t xml:space="preserve">os tipos de comunidades intencionales, como congregaciones, grupos comunitarios, sindicatos y cooperativas, </w:t>
      </w:r>
      <w:r w:rsidR="0005444C" w:rsidRPr="009257E7">
        <w:rPr>
          <w:lang w:val="es-ES"/>
        </w:rPr>
        <w:t>así com</w:t>
      </w:r>
      <w:r w:rsidRPr="009257E7">
        <w:rPr>
          <w:lang w:val="es-ES"/>
        </w:rPr>
        <w:t>o cualquier número de organizaciones de abogacía, ya sean altamente organizadas o relativamente incipientes.</w:t>
      </w:r>
    </w:p>
    <w:p w14:paraId="02CB77D2" w14:textId="026D6532" w:rsidR="0054072C" w:rsidRPr="009257E7" w:rsidRDefault="0054072C" w:rsidP="0054072C">
      <w:pPr>
        <w:pStyle w:val="NormalWeb"/>
        <w:numPr>
          <w:ilvl w:val="0"/>
          <w:numId w:val="5"/>
        </w:numPr>
        <w:rPr>
          <w:lang w:val="es-ES"/>
        </w:rPr>
      </w:pPr>
      <w:r w:rsidRPr="009257E7">
        <w:rPr>
          <w:lang w:val="es-ES"/>
        </w:rPr>
        <w:t>Debido a que las desigualdades s</w:t>
      </w:r>
      <w:r w:rsidR="0005444C" w:rsidRPr="009257E7">
        <w:rPr>
          <w:lang w:val="es-ES"/>
        </w:rPr>
        <w:t>e manifiesta</w:t>
      </w:r>
      <w:r w:rsidRPr="009257E7">
        <w:rPr>
          <w:lang w:val="es-ES"/>
        </w:rPr>
        <w:t xml:space="preserve">n de manera consistente </w:t>
      </w:r>
      <w:r w:rsidR="0005444C" w:rsidRPr="009257E7">
        <w:rPr>
          <w:lang w:val="es-ES"/>
        </w:rPr>
        <w:t>en</w:t>
      </w:r>
      <w:r w:rsidRPr="009257E7">
        <w:rPr>
          <w:lang w:val="es-ES"/>
        </w:rPr>
        <w:t xml:space="preserve"> grupos sociales amplios basados en la identidad, </w:t>
      </w:r>
      <w:r w:rsidR="0005444C" w:rsidRPr="009257E7">
        <w:rPr>
          <w:lang w:val="es-ES"/>
        </w:rPr>
        <w:t>est</w:t>
      </w:r>
      <w:r w:rsidRPr="009257E7">
        <w:rPr>
          <w:lang w:val="es-ES"/>
        </w:rPr>
        <w:t>os grupos tienen intereses colectivos. Los intereses grupales pueden converger</w:t>
      </w:r>
      <w:r w:rsidR="00E61C25" w:rsidRPr="009257E7">
        <w:rPr>
          <w:rStyle w:val="FootnoteReference"/>
          <w:lang w:val="es-ES"/>
        </w:rPr>
        <w:footnoteReference w:id="171"/>
      </w:r>
      <w:r w:rsidRPr="009257E7">
        <w:rPr>
          <w:lang w:val="es-ES"/>
        </w:rPr>
        <w:t xml:space="preserve"> o divergir, y pueden incluir cualquier cosa valorada por el grupo, ya sea tangible o intangible. Algunos indicadores que reflejan diversos intereses potenciales </w:t>
      </w:r>
      <w:r w:rsidR="00725B36" w:rsidRPr="009257E7">
        <w:rPr>
          <w:lang w:val="es-ES"/>
        </w:rPr>
        <w:t>incluyen el</w:t>
      </w:r>
      <w:r w:rsidRPr="009257E7">
        <w:rPr>
          <w:lang w:val="es-ES"/>
        </w:rPr>
        <w:t xml:space="preserve"> ingreso, </w:t>
      </w:r>
      <w:r w:rsidR="00725B36" w:rsidRPr="009257E7">
        <w:rPr>
          <w:lang w:val="es-ES"/>
        </w:rPr>
        <w:t xml:space="preserve">la </w:t>
      </w:r>
      <w:r w:rsidRPr="009257E7">
        <w:rPr>
          <w:lang w:val="es-ES"/>
        </w:rPr>
        <w:t>riqueza,</w:t>
      </w:r>
      <w:r w:rsidR="00725B36" w:rsidRPr="009257E7">
        <w:rPr>
          <w:lang w:val="es-ES"/>
        </w:rPr>
        <w:t xml:space="preserve"> la</w:t>
      </w:r>
      <w:r w:rsidRPr="009257E7">
        <w:rPr>
          <w:lang w:val="es-ES"/>
        </w:rPr>
        <w:t xml:space="preserve"> mortalidad infantil y </w:t>
      </w:r>
      <w:r w:rsidR="00725B36" w:rsidRPr="009257E7">
        <w:rPr>
          <w:lang w:val="es-ES"/>
        </w:rPr>
        <w:t xml:space="preserve">el </w:t>
      </w:r>
      <w:r w:rsidRPr="009257E7">
        <w:rPr>
          <w:lang w:val="es-ES"/>
        </w:rPr>
        <w:t xml:space="preserve">acceso </w:t>
      </w:r>
      <w:r w:rsidR="00725B36" w:rsidRPr="009257E7">
        <w:rPr>
          <w:lang w:val="es-ES"/>
        </w:rPr>
        <w:t>a la educación</w:t>
      </w:r>
      <w:r w:rsidRPr="009257E7">
        <w:rPr>
          <w:lang w:val="es-ES"/>
        </w:rPr>
        <w:t xml:space="preserve">, </w:t>
      </w:r>
      <w:r w:rsidR="00725B36" w:rsidRPr="009257E7">
        <w:rPr>
          <w:lang w:val="es-ES"/>
        </w:rPr>
        <w:t>entre</w:t>
      </w:r>
      <w:r w:rsidRPr="009257E7">
        <w:rPr>
          <w:lang w:val="es-ES"/>
        </w:rPr>
        <w:t xml:space="preserve"> </w:t>
      </w:r>
      <w:r w:rsidR="00725B36" w:rsidRPr="009257E7">
        <w:rPr>
          <w:lang w:val="es-ES"/>
        </w:rPr>
        <w:t>otros</w:t>
      </w:r>
      <w:r w:rsidRPr="009257E7">
        <w:rPr>
          <w:lang w:val="es-ES"/>
        </w:rPr>
        <w:t>. Debido a que estos marcadores varían según la identidad social, los grupos desde abajo generalmente tienen interés en el cambio y el progreso</w:t>
      </w:r>
      <w:r w:rsidR="00E80380" w:rsidRPr="009257E7">
        <w:rPr>
          <w:lang w:val="es-ES"/>
        </w:rPr>
        <w:t>,</w:t>
      </w:r>
      <w:r w:rsidRPr="009257E7">
        <w:rPr>
          <w:lang w:val="es-ES"/>
        </w:rPr>
        <w:t xml:space="preserve"> y las cúspides, por el contrario, tienen interés en preservar el statu quo que l</w:t>
      </w:r>
      <w:r w:rsidR="00E80380" w:rsidRPr="009257E7">
        <w:rPr>
          <w:lang w:val="es-ES"/>
        </w:rPr>
        <w:t>o</w:t>
      </w:r>
      <w:r w:rsidRPr="009257E7">
        <w:rPr>
          <w:lang w:val="es-ES"/>
        </w:rPr>
        <w:t xml:space="preserve">s privilegia. Tanto las cúspides como los grupos de abajo organizan </w:t>
      </w:r>
      <w:r w:rsidR="00E80380" w:rsidRPr="009257E7">
        <w:rPr>
          <w:lang w:val="es-ES"/>
        </w:rPr>
        <w:t xml:space="preserve">sus propios </w:t>
      </w:r>
      <w:r w:rsidRPr="009257E7">
        <w:rPr>
          <w:lang w:val="es-ES"/>
        </w:rPr>
        <w:t>grupos para promover sus intereses personales y colectivos.</w:t>
      </w:r>
    </w:p>
    <w:p w14:paraId="52C055D5" w14:textId="49131842" w:rsidR="0054072C" w:rsidRPr="009257E7" w:rsidRDefault="0054072C" w:rsidP="0054072C">
      <w:pPr>
        <w:pStyle w:val="NormalWeb"/>
        <w:numPr>
          <w:ilvl w:val="0"/>
          <w:numId w:val="5"/>
        </w:numPr>
        <w:rPr>
          <w:lang w:val="es-ES"/>
        </w:rPr>
      </w:pPr>
      <w:r w:rsidRPr="009257E7">
        <w:rPr>
          <w:lang w:val="es-ES"/>
        </w:rPr>
        <w:t xml:space="preserve">El poder es, en términos simples, la capacidad de obtener los resultados deseados. El poder surge y se despliega de formas y maneras </w:t>
      </w:r>
      <w:r w:rsidR="00E80380" w:rsidRPr="009257E7">
        <w:rPr>
          <w:lang w:val="es-ES"/>
        </w:rPr>
        <w:t>divers</w:t>
      </w:r>
      <w:r w:rsidRPr="009257E7">
        <w:rPr>
          <w:lang w:val="es-ES"/>
        </w:rPr>
        <w:t xml:space="preserve">as que mutan y se adaptan </w:t>
      </w:r>
      <w:r w:rsidR="00E80380" w:rsidRPr="009257E7">
        <w:rPr>
          <w:lang w:val="es-ES"/>
        </w:rPr>
        <w:t>constantemente</w:t>
      </w:r>
      <w:r w:rsidRPr="009257E7">
        <w:rPr>
          <w:lang w:val="es-ES"/>
        </w:rPr>
        <w:t xml:space="preserve">. Los grupos buscan construir y ejercer poder colectivo en todas sus formas para alcanzar objetivos específicos y generales, ya sea a corto o largo plazo. Las élites gobernantes y sus aliades usan el poder para ganar batallas discretas día a día y de generación en generación, para construir su propio poder en el camino y para suprimir la capacidad de acción organizada de los grupos desde abajo. Los grupos subordinados y sus abogades también buscan lograr mejoras discretas mientras construyen poder desde abajo </w:t>
      </w:r>
      <w:r w:rsidR="00546688" w:rsidRPr="009257E7">
        <w:rPr>
          <w:lang w:val="es-ES"/>
        </w:rPr>
        <w:t>con</w:t>
      </w:r>
      <w:r w:rsidRPr="009257E7">
        <w:rPr>
          <w:lang w:val="es-ES"/>
        </w:rPr>
        <w:t xml:space="preserve"> fines transformadores.</w:t>
      </w:r>
    </w:p>
    <w:p w14:paraId="37A99C1B" w14:textId="7C3A800A" w:rsidR="0054072C" w:rsidRPr="009257E7" w:rsidRDefault="0054072C" w:rsidP="00546688">
      <w:pPr>
        <w:pStyle w:val="NormalWeb"/>
        <w:ind w:firstLine="360"/>
        <w:rPr>
          <w:lang w:val="es-ES"/>
        </w:rPr>
      </w:pPr>
      <w:r w:rsidRPr="009257E7">
        <w:rPr>
          <w:lang w:val="es-ES"/>
        </w:rPr>
        <w:t xml:space="preserve">Sin embargo, los papeles interactivos de las identidades, los grupos, los intereses y el poder en el derecho son negados, ignorados o contenidos de forma rutinaria porque las élites gobernantes buscan convencer a otres de que sus victorias fueron logradas justamente: de acuerdo con reglas justas establecidas por un sistema jurídico basado en principios y sujeto a rendición de cuentas, no mediante </w:t>
      </w:r>
      <w:r w:rsidR="004E381A" w:rsidRPr="009257E7">
        <w:rPr>
          <w:lang w:val="es-ES"/>
        </w:rPr>
        <w:t>privilegios</w:t>
      </w:r>
      <w:r w:rsidRPr="009257E7">
        <w:rPr>
          <w:lang w:val="es-ES"/>
        </w:rPr>
        <w:t xml:space="preserve"> injusto</w:t>
      </w:r>
      <w:r w:rsidR="004E381A" w:rsidRPr="009257E7">
        <w:rPr>
          <w:lang w:val="es-ES"/>
        </w:rPr>
        <w:t>s</w:t>
      </w:r>
      <w:r w:rsidRPr="009257E7">
        <w:rPr>
          <w:lang w:val="es-ES"/>
        </w:rPr>
        <w:t xml:space="preserve"> o poder crudo. Para construir y mantener </w:t>
      </w:r>
      <w:r w:rsidRPr="009257E7">
        <w:rPr>
          <w:lang w:val="es-ES"/>
        </w:rPr>
        <w:lastRenderedPageBreak/>
        <w:t>este Desafío Crítico, el sistema jurídico establece las “reglas del juego” para la toma de decisiones democráticas y adjudicativas</w:t>
      </w:r>
      <w:r w:rsidR="004E381A" w:rsidRPr="009257E7">
        <w:rPr>
          <w:lang w:val="es-ES"/>
        </w:rPr>
        <w:t>,</w:t>
      </w:r>
      <w:r w:rsidRPr="009257E7">
        <w:rPr>
          <w:lang w:val="es-ES"/>
        </w:rPr>
        <w:t xml:space="preserve"> y crea justificaciones que disfrazan manipulaciones que favorecen a las élites. De esta manera, los patrones de injusticia sistémica se arraigan, </w:t>
      </w:r>
      <w:r w:rsidR="004E381A" w:rsidRPr="009257E7">
        <w:rPr>
          <w:lang w:val="es-ES"/>
        </w:rPr>
        <w:t xml:space="preserve">se </w:t>
      </w:r>
      <w:r w:rsidRPr="009257E7">
        <w:rPr>
          <w:lang w:val="es-ES"/>
        </w:rPr>
        <w:t>normalizan e inculcan.</w:t>
      </w:r>
    </w:p>
    <w:p w14:paraId="00D68C7B" w14:textId="07D13088" w:rsidR="0054072C" w:rsidRPr="009257E7" w:rsidRDefault="0054072C" w:rsidP="004E381A">
      <w:pPr>
        <w:pStyle w:val="NormalWeb"/>
        <w:ind w:firstLine="360"/>
        <w:rPr>
          <w:lang w:val="es-ES"/>
        </w:rPr>
      </w:pPr>
      <w:r w:rsidRPr="009257E7">
        <w:rPr>
          <w:lang w:val="es-ES"/>
        </w:rPr>
        <w:t xml:space="preserve">Las castas arraigadas de hoy </w:t>
      </w:r>
      <w:r w:rsidR="00E56E55" w:rsidRPr="009257E7">
        <w:rPr>
          <w:lang w:val="es-ES"/>
        </w:rPr>
        <w:t xml:space="preserve">son el </w:t>
      </w:r>
      <w:r w:rsidRPr="009257E7">
        <w:rPr>
          <w:lang w:val="es-ES"/>
        </w:rPr>
        <w:t>resulta</w:t>
      </w:r>
      <w:r w:rsidR="00E56E55" w:rsidRPr="009257E7">
        <w:rPr>
          <w:lang w:val="es-ES"/>
        </w:rPr>
        <w:t>do</w:t>
      </w:r>
      <w:r w:rsidRPr="009257E7">
        <w:rPr>
          <w:lang w:val="es-ES"/>
        </w:rPr>
        <w:t xml:space="preserve"> de siglos de manipulación desde arriba, mediante el uso de estos cuatro elementos dentro del derecho y como derecho para producir, imponer y ocultar el Desafío Crítico que se examina aquí. Un sistema de castas de jerarquías grupales “eleva y empodera a </w:t>
      </w:r>
      <w:r w:rsidR="00E56E55" w:rsidRPr="009257E7">
        <w:rPr>
          <w:lang w:val="es-ES"/>
        </w:rPr>
        <w:t xml:space="preserve">los </w:t>
      </w:r>
      <w:r w:rsidRPr="009257E7">
        <w:rPr>
          <w:lang w:val="es-ES"/>
        </w:rPr>
        <w:t>integrantes de una ‘casta dominante’ a expensas perpetuas de una ‘casta subordinada’”</w:t>
      </w:r>
      <w:r w:rsidR="00E56E55" w:rsidRPr="009257E7">
        <w:rPr>
          <w:rStyle w:val="FootnoteReference"/>
          <w:lang w:val="es-ES"/>
        </w:rPr>
        <w:footnoteReference w:id="172"/>
      </w:r>
      <w:r w:rsidRPr="009257E7">
        <w:rPr>
          <w:lang w:val="es-ES"/>
        </w:rPr>
        <w:t xml:space="preserve">. Como detalla Isabel Wilkerson, periodista negra y ganadora del Premio Pulitzer, sobre los orígenes, intereses y evolución de los sistemas de castas en </w:t>
      </w:r>
      <w:r w:rsidR="00E56E55" w:rsidRPr="009257E7">
        <w:rPr>
          <w:lang w:val="es-ES"/>
        </w:rPr>
        <w:t xml:space="preserve">los </w:t>
      </w:r>
      <w:r w:rsidRPr="009257E7">
        <w:rPr>
          <w:lang w:val="es-ES"/>
        </w:rPr>
        <w:t>Estados Unidos:</w:t>
      </w:r>
    </w:p>
    <w:p w14:paraId="41D807E6" w14:textId="7350CEEF" w:rsidR="0054072C" w:rsidRPr="009257E7" w:rsidRDefault="0054072C" w:rsidP="006E7B12">
      <w:pPr>
        <w:pStyle w:val="NormalWeb"/>
        <w:ind w:left="720"/>
        <w:rPr>
          <w:lang w:val="es-ES"/>
        </w:rPr>
      </w:pPr>
      <w:r w:rsidRPr="009257E7">
        <w:rPr>
          <w:lang w:val="es-ES"/>
        </w:rPr>
        <w:t xml:space="preserve">La creación de un sistema de castas fue un proceso </w:t>
      </w:r>
      <w:r w:rsidR="00E56E55" w:rsidRPr="009257E7">
        <w:rPr>
          <w:lang w:val="es-ES"/>
        </w:rPr>
        <w:t>para</w:t>
      </w:r>
      <w:r w:rsidRPr="009257E7">
        <w:rPr>
          <w:lang w:val="es-ES"/>
        </w:rPr>
        <w:t xml:space="preserve"> poner a prueba los límites de las categorías humanas. [...] Cuando l</w:t>
      </w:r>
      <w:r w:rsidR="00E56E55" w:rsidRPr="009257E7">
        <w:rPr>
          <w:lang w:val="es-ES"/>
        </w:rPr>
        <w:t>o</w:t>
      </w:r>
      <w:r w:rsidRPr="009257E7">
        <w:rPr>
          <w:lang w:val="es-ES"/>
        </w:rPr>
        <w:t>s african</w:t>
      </w:r>
      <w:r w:rsidR="00E56E55" w:rsidRPr="009257E7">
        <w:rPr>
          <w:lang w:val="es-ES"/>
        </w:rPr>
        <w:t>o</w:t>
      </w:r>
      <w:r w:rsidRPr="009257E7">
        <w:rPr>
          <w:lang w:val="es-ES"/>
        </w:rPr>
        <w:t xml:space="preserve">s comenzaron a convertirse al cristianismo, plantearon un desafío a la jerarquía </w:t>
      </w:r>
      <w:r w:rsidR="00E56E55" w:rsidRPr="009257E7">
        <w:rPr>
          <w:lang w:val="es-ES"/>
        </w:rPr>
        <w:t>religiosa</w:t>
      </w:r>
      <w:r w:rsidRPr="009257E7">
        <w:rPr>
          <w:lang w:val="es-ES"/>
        </w:rPr>
        <w:t xml:space="preserve"> [hasta que la raza la sustituyó para mantener a las personas negras en la parte inferior]. Sus esfuerzos por reclamar </w:t>
      </w:r>
      <w:r w:rsidR="003F36FB" w:rsidRPr="009257E7">
        <w:rPr>
          <w:lang w:val="es-ES"/>
        </w:rPr>
        <w:t xml:space="preserve">una </w:t>
      </w:r>
      <w:r w:rsidRPr="009257E7">
        <w:rPr>
          <w:lang w:val="es-ES"/>
        </w:rPr>
        <w:t>participación plena en las colonias se oponían directamente al hambre europe</w:t>
      </w:r>
      <w:r w:rsidR="003F36FB" w:rsidRPr="009257E7">
        <w:rPr>
          <w:lang w:val="es-ES"/>
        </w:rPr>
        <w:t>o</w:t>
      </w:r>
      <w:r w:rsidRPr="009257E7">
        <w:rPr>
          <w:lang w:val="es-ES"/>
        </w:rPr>
        <w:t xml:space="preserve"> de mano de obra más barata y dócil para extraer la mayor riqueza del Nuevo Mundo. [...]</w:t>
      </w:r>
    </w:p>
    <w:p w14:paraId="17B3EBC2" w14:textId="01A4E724" w:rsidR="0054072C" w:rsidRPr="009257E7" w:rsidRDefault="0054072C" w:rsidP="006E7B12">
      <w:pPr>
        <w:pStyle w:val="NormalWeb"/>
        <w:ind w:left="720"/>
        <w:rPr>
          <w:lang w:val="es-ES"/>
        </w:rPr>
      </w:pPr>
      <w:r w:rsidRPr="009257E7">
        <w:rPr>
          <w:lang w:val="es-ES"/>
        </w:rPr>
        <w:t>L</w:t>
      </w:r>
      <w:r w:rsidR="003F36FB" w:rsidRPr="009257E7">
        <w:rPr>
          <w:lang w:val="es-ES"/>
        </w:rPr>
        <w:t>o</w:t>
      </w:r>
      <w:r w:rsidRPr="009257E7">
        <w:rPr>
          <w:lang w:val="es-ES"/>
        </w:rPr>
        <w:t>s colonizadores no habían podido esclavizar a la población [indígena] en su propio territorio y creyeron haber resuelto el problema laboral con l</w:t>
      </w:r>
      <w:r w:rsidR="003F36FB" w:rsidRPr="009257E7">
        <w:rPr>
          <w:lang w:val="es-ES"/>
        </w:rPr>
        <w:t>o</w:t>
      </w:r>
      <w:r w:rsidRPr="009257E7">
        <w:rPr>
          <w:lang w:val="es-ES"/>
        </w:rPr>
        <w:t>s african</w:t>
      </w:r>
      <w:r w:rsidR="003F36FB" w:rsidRPr="009257E7">
        <w:rPr>
          <w:lang w:val="es-ES"/>
        </w:rPr>
        <w:t>o</w:t>
      </w:r>
      <w:r w:rsidRPr="009257E7">
        <w:rPr>
          <w:lang w:val="es-ES"/>
        </w:rPr>
        <w:t>s que importaron. Con poca utilidad para l</w:t>
      </w:r>
      <w:r w:rsidR="003F36FB" w:rsidRPr="009257E7">
        <w:rPr>
          <w:lang w:val="es-ES"/>
        </w:rPr>
        <w:t>o</w:t>
      </w:r>
      <w:r w:rsidRPr="009257E7">
        <w:rPr>
          <w:lang w:val="es-ES"/>
        </w:rPr>
        <w:t>s habitantes [indígenas], l</w:t>
      </w:r>
      <w:r w:rsidR="003F36FB" w:rsidRPr="009257E7">
        <w:rPr>
          <w:lang w:val="es-ES"/>
        </w:rPr>
        <w:t>o</w:t>
      </w:r>
      <w:r w:rsidRPr="009257E7">
        <w:rPr>
          <w:lang w:val="es-ES"/>
        </w:rPr>
        <w:t xml:space="preserve">s colonizadores comenzaron a exiliarles de sus tierras ancestrales y del sistema de castas </w:t>
      </w:r>
      <w:r w:rsidR="003F36FB" w:rsidRPr="009257E7">
        <w:rPr>
          <w:lang w:val="es-ES"/>
        </w:rPr>
        <w:t>que emergía</w:t>
      </w:r>
      <w:r w:rsidRPr="009257E7">
        <w:rPr>
          <w:lang w:val="es-ES"/>
        </w:rPr>
        <w:t>.</w:t>
      </w:r>
    </w:p>
    <w:p w14:paraId="6C683150" w14:textId="55209B98" w:rsidR="0054072C" w:rsidRPr="009257E7" w:rsidRDefault="0054072C" w:rsidP="006E7B12">
      <w:pPr>
        <w:pStyle w:val="NormalWeb"/>
        <w:ind w:left="720"/>
        <w:rPr>
          <w:lang w:val="es-ES"/>
        </w:rPr>
      </w:pPr>
      <w:r w:rsidRPr="009257E7">
        <w:rPr>
          <w:lang w:val="es-ES"/>
        </w:rPr>
        <w:t>Esto dejó a l</w:t>
      </w:r>
      <w:r w:rsidR="003F36FB" w:rsidRPr="009257E7">
        <w:rPr>
          <w:lang w:val="es-ES"/>
        </w:rPr>
        <w:t>o</w:t>
      </w:r>
      <w:r w:rsidRPr="009257E7">
        <w:rPr>
          <w:lang w:val="es-ES"/>
        </w:rPr>
        <w:t>s african</w:t>
      </w:r>
      <w:r w:rsidR="003F36FB" w:rsidRPr="009257E7">
        <w:rPr>
          <w:lang w:val="es-ES"/>
        </w:rPr>
        <w:t>o</w:t>
      </w:r>
      <w:r w:rsidRPr="009257E7">
        <w:rPr>
          <w:lang w:val="es-ES"/>
        </w:rPr>
        <w:t>s firmemente en la parte inferior [</w:t>
      </w:r>
      <w:r w:rsidR="00552D24" w:rsidRPr="009257E7">
        <w:rPr>
          <w:lang w:val="es-ES"/>
        </w:rPr>
        <w:t>tanto</w:t>
      </w:r>
      <w:r w:rsidRPr="009257E7">
        <w:rPr>
          <w:lang w:val="es-ES"/>
        </w:rPr>
        <w:t xml:space="preserve"> </w:t>
      </w:r>
      <w:r w:rsidR="00552D24" w:rsidRPr="009257E7">
        <w:rPr>
          <w:lang w:val="es-ES"/>
        </w:rPr>
        <w:t>durante como</w:t>
      </w:r>
      <w:r w:rsidRPr="009257E7">
        <w:rPr>
          <w:lang w:val="es-ES"/>
        </w:rPr>
        <w:t xml:space="preserve"> después de la esclavitud]. [...]</w:t>
      </w:r>
    </w:p>
    <w:p w14:paraId="7438C0F9" w14:textId="4CC95D6E" w:rsidR="0054072C" w:rsidRPr="009257E7" w:rsidRDefault="0054072C" w:rsidP="006E7B12">
      <w:pPr>
        <w:pStyle w:val="NormalWeb"/>
        <w:ind w:left="720"/>
        <w:rPr>
          <w:lang w:val="es-ES"/>
        </w:rPr>
      </w:pPr>
      <w:r w:rsidRPr="009257E7">
        <w:rPr>
          <w:lang w:val="es-ES"/>
        </w:rPr>
        <w:t>El sistema de casta dominante [más tarde] diseñó un laberinto de leyes para mantener a las personas recién liberadas en el peldaño más bajo</w:t>
      </w:r>
      <w:r w:rsidR="00552D24" w:rsidRPr="009257E7">
        <w:rPr>
          <w:lang w:val="es-ES"/>
        </w:rPr>
        <w:t>,</w:t>
      </w:r>
      <w:r w:rsidRPr="009257E7">
        <w:rPr>
          <w:lang w:val="es-ES"/>
        </w:rPr>
        <w:t xml:space="preserve"> con una fuerza cada vez mayor, mientras una </w:t>
      </w:r>
      <w:r w:rsidR="00552D24" w:rsidRPr="009257E7">
        <w:rPr>
          <w:lang w:val="es-ES"/>
        </w:rPr>
        <w:t xml:space="preserve">nueva </w:t>
      </w:r>
      <w:r w:rsidRPr="009257E7">
        <w:rPr>
          <w:lang w:val="es-ES"/>
        </w:rPr>
        <w:t>pseudociencia popular llamada eugenesia trabajaba para justificar la degradación renovada. Las personas en el peldaño inferior podían ser golpeadas o asesinadas con impunidad por cualquier transgresión del sistema de castas, como no bajarse de la acera con suficiente rapidez [para una persona blanca] o intentar votar. [...]</w:t>
      </w:r>
    </w:p>
    <w:p w14:paraId="404FF47D" w14:textId="073177F7" w:rsidR="0054072C" w:rsidRPr="009257E7" w:rsidRDefault="0054072C" w:rsidP="006E7B12">
      <w:pPr>
        <w:pStyle w:val="NormalWeb"/>
        <w:ind w:left="720"/>
        <w:rPr>
          <w:lang w:val="es-ES"/>
        </w:rPr>
      </w:pPr>
      <w:r w:rsidRPr="009257E7">
        <w:rPr>
          <w:lang w:val="es-ES"/>
        </w:rPr>
        <w:t>Así, cada nueva oleada inmigrante —l</w:t>
      </w:r>
      <w:r w:rsidR="006E7B12" w:rsidRPr="009257E7">
        <w:rPr>
          <w:lang w:val="es-ES"/>
        </w:rPr>
        <w:t>o</w:t>
      </w:r>
      <w:r w:rsidRPr="009257E7">
        <w:rPr>
          <w:lang w:val="es-ES"/>
        </w:rPr>
        <w:t>s ancestr</w:t>
      </w:r>
      <w:r w:rsidR="006E7B12" w:rsidRPr="009257E7">
        <w:rPr>
          <w:lang w:val="es-ES"/>
        </w:rPr>
        <w:t>o</w:t>
      </w:r>
      <w:r w:rsidRPr="009257E7">
        <w:rPr>
          <w:lang w:val="es-ES"/>
        </w:rPr>
        <w:t>s de la mayoría de l</w:t>
      </w:r>
      <w:r w:rsidR="006E7B12" w:rsidRPr="009257E7">
        <w:rPr>
          <w:lang w:val="es-ES"/>
        </w:rPr>
        <w:t>o</w:t>
      </w:r>
      <w:r w:rsidRPr="009257E7">
        <w:rPr>
          <w:lang w:val="es-ES"/>
        </w:rPr>
        <w:t xml:space="preserve">s estadounidenses actuales— entró en una jerarquía preexistente, bipolar en su </w:t>
      </w:r>
      <w:r w:rsidR="006E7B12" w:rsidRPr="009257E7">
        <w:rPr>
          <w:lang w:val="es-ES"/>
        </w:rPr>
        <w:t>estructura</w:t>
      </w:r>
      <w:r w:rsidRPr="009257E7">
        <w:rPr>
          <w:lang w:val="es-ES"/>
        </w:rPr>
        <w:t>, surgida de la esclavitud y organizada con los extremos de la pigmentación humana en polos opuestos. [...]</w:t>
      </w:r>
    </w:p>
    <w:p w14:paraId="566325C4" w14:textId="15AFC55E" w:rsidR="0054072C" w:rsidRPr="009257E7" w:rsidRDefault="0054072C" w:rsidP="006E7B12">
      <w:pPr>
        <w:pStyle w:val="NormalWeb"/>
        <w:ind w:left="720"/>
        <w:rPr>
          <w:lang w:val="es-ES"/>
        </w:rPr>
      </w:pPr>
      <w:r w:rsidRPr="009257E7">
        <w:rPr>
          <w:lang w:val="es-ES"/>
        </w:rPr>
        <w:t xml:space="preserve">Para obtener </w:t>
      </w:r>
      <w:r w:rsidR="006E7B12" w:rsidRPr="009257E7">
        <w:rPr>
          <w:lang w:val="es-ES"/>
        </w:rPr>
        <w:t xml:space="preserve">la </w:t>
      </w:r>
      <w:r w:rsidRPr="009257E7">
        <w:rPr>
          <w:lang w:val="es-ES"/>
        </w:rPr>
        <w:t>aceptación, cada nueva llegada de inmigrantes tuvo que entrar en un pacto silencioso e implícito de separación y distanciamiento respecto de la casta más baja establecida. Volverse blanc</w:t>
      </w:r>
      <w:r w:rsidR="00736A6B" w:rsidRPr="009257E7">
        <w:rPr>
          <w:lang w:val="es-ES"/>
        </w:rPr>
        <w:t>o</w:t>
      </w:r>
      <w:r w:rsidRPr="009257E7">
        <w:rPr>
          <w:lang w:val="es-ES"/>
        </w:rPr>
        <w:t xml:space="preserve"> significaba definirse como lo más alejado de su opuesto: </w:t>
      </w:r>
      <w:r w:rsidR="00736A6B" w:rsidRPr="009257E7">
        <w:rPr>
          <w:lang w:val="es-ES"/>
        </w:rPr>
        <w:t xml:space="preserve">el </w:t>
      </w:r>
      <w:r w:rsidRPr="009257E7">
        <w:rPr>
          <w:lang w:val="es-ES"/>
        </w:rPr>
        <w:t>negr</w:t>
      </w:r>
      <w:r w:rsidR="00736A6B" w:rsidRPr="009257E7">
        <w:rPr>
          <w:lang w:val="es-ES"/>
        </w:rPr>
        <w:t>o</w:t>
      </w:r>
      <w:r w:rsidRPr="009257E7">
        <w:rPr>
          <w:lang w:val="es-ES"/>
        </w:rPr>
        <w:t xml:space="preserve">. Podían establecer su nuevo estatus [...] al participar en la violencia contra </w:t>
      </w:r>
      <w:r w:rsidRPr="009257E7">
        <w:rPr>
          <w:lang w:val="es-ES"/>
        </w:rPr>
        <w:lastRenderedPageBreak/>
        <w:t>[personas negras] para demostrar que eran dign</w:t>
      </w:r>
      <w:r w:rsidR="00736A6B" w:rsidRPr="009257E7">
        <w:rPr>
          <w:lang w:val="es-ES"/>
        </w:rPr>
        <w:t>o</w:t>
      </w:r>
      <w:r w:rsidRPr="009257E7">
        <w:rPr>
          <w:lang w:val="es-ES"/>
        </w:rPr>
        <w:t xml:space="preserve">s de </w:t>
      </w:r>
      <w:r w:rsidR="00937F04" w:rsidRPr="009257E7">
        <w:rPr>
          <w:lang w:val="es-ES"/>
        </w:rPr>
        <w:t>ser</w:t>
      </w:r>
      <w:r w:rsidRPr="009257E7">
        <w:rPr>
          <w:lang w:val="es-ES"/>
        </w:rPr>
        <w:t xml:space="preserve"> a</w:t>
      </w:r>
      <w:r w:rsidR="00937F04" w:rsidRPr="009257E7">
        <w:rPr>
          <w:lang w:val="es-ES"/>
        </w:rPr>
        <w:t>dmitidos en</w:t>
      </w:r>
      <w:r w:rsidRPr="009257E7">
        <w:rPr>
          <w:lang w:val="es-ES"/>
        </w:rPr>
        <w:t xml:space="preserve"> la casta dominante.</w:t>
      </w:r>
      <w:r w:rsidR="00937F04" w:rsidRPr="009257E7">
        <w:rPr>
          <w:rStyle w:val="FootnoteReference"/>
          <w:lang w:val="es-ES"/>
        </w:rPr>
        <w:footnoteReference w:id="173"/>
      </w:r>
    </w:p>
    <w:p w14:paraId="34ACBF8C" w14:textId="20F72380" w:rsidR="0054072C" w:rsidRPr="009257E7" w:rsidRDefault="0054072C" w:rsidP="00340619">
      <w:pPr>
        <w:pStyle w:val="NormalWeb"/>
        <w:ind w:firstLine="720"/>
        <w:rPr>
          <w:lang w:val="es-ES"/>
        </w:rPr>
      </w:pPr>
      <w:r w:rsidRPr="009257E7">
        <w:rPr>
          <w:lang w:val="es-ES"/>
        </w:rPr>
        <w:t xml:space="preserve">En Estados Unidos </w:t>
      </w:r>
      <w:r w:rsidR="00340619" w:rsidRPr="009257E7">
        <w:rPr>
          <w:lang w:val="es-ES"/>
        </w:rPr>
        <w:t>(</w:t>
      </w:r>
      <w:r w:rsidRPr="009257E7">
        <w:rPr>
          <w:lang w:val="es-ES"/>
        </w:rPr>
        <w:t>y en otros lugares o sistemas</w:t>
      </w:r>
      <w:r w:rsidR="00340619" w:rsidRPr="009257E7">
        <w:rPr>
          <w:lang w:val="es-ES"/>
        </w:rPr>
        <w:t>)</w:t>
      </w:r>
      <w:r w:rsidRPr="009257E7">
        <w:rPr>
          <w:lang w:val="es-ES"/>
        </w:rPr>
        <w:t>, las castas son jerarquías grupales caracterizadas por su profundo</w:t>
      </w:r>
      <w:r w:rsidR="00340619" w:rsidRPr="009257E7">
        <w:rPr>
          <w:lang w:val="es-ES"/>
        </w:rPr>
        <w:t xml:space="preserve"> arraigo</w:t>
      </w:r>
      <w:r w:rsidRPr="009257E7">
        <w:rPr>
          <w:lang w:val="es-ES"/>
        </w:rPr>
        <w:t xml:space="preserve"> en ideologías supremacistas que sujetan tanto el derecho como la sociedad; ideologías que impregnan la vida como cultura y como fuerza. Los sistemas de castas buscan una dominación desde arriba completa, absoluta y totalizante, y una obediencia desde abajo. Esta aspiración elitista equivale a </w:t>
      </w:r>
      <w:r w:rsidR="00340619" w:rsidRPr="009257E7">
        <w:rPr>
          <w:lang w:val="es-ES"/>
        </w:rPr>
        <w:t xml:space="preserve">una </w:t>
      </w:r>
      <w:r w:rsidRPr="009257E7">
        <w:rPr>
          <w:lang w:val="es-ES"/>
        </w:rPr>
        <w:t xml:space="preserve">“hegemonía”: un statu quo incuestionado e incuestionable que, al menos algunas personas de los grupos desde </w:t>
      </w:r>
      <w:proofErr w:type="gramStart"/>
      <w:r w:rsidRPr="009257E7">
        <w:rPr>
          <w:lang w:val="es-ES"/>
        </w:rPr>
        <w:t>abajo,</w:t>
      </w:r>
      <w:proofErr w:type="gramEnd"/>
      <w:r w:rsidRPr="009257E7">
        <w:rPr>
          <w:lang w:val="es-ES"/>
        </w:rPr>
        <w:t xml:space="preserve"> apoyan de forma voluntaria y sincera, con lo cual participan en la perpetuación de su propia subordinación —y la de otres—, tanto </w:t>
      </w:r>
      <w:r w:rsidR="00DD56A2" w:rsidRPr="009257E7">
        <w:rPr>
          <w:lang w:val="es-ES"/>
        </w:rPr>
        <w:t xml:space="preserve">a nivel </w:t>
      </w:r>
      <w:r w:rsidRPr="009257E7">
        <w:rPr>
          <w:lang w:val="es-ES"/>
        </w:rPr>
        <w:t>personal como colectiv</w:t>
      </w:r>
      <w:r w:rsidR="00DD56A2" w:rsidRPr="009257E7">
        <w:rPr>
          <w:lang w:val="es-ES"/>
        </w:rPr>
        <w:t>o</w:t>
      </w:r>
      <w:r w:rsidRPr="009257E7">
        <w:rPr>
          <w:lang w:val="es-ES"/>
        </w:rPr>
        <w:t>.</w:t>
      </w:r>
    </w:p>
    <w:p w14:paraId="623D348D" w14:textId="2D47384F" w:rsidR="0054072C" w:rsidRPr="009257E7" w:rsidRDefault="0054072C" w:rsidP="00E740D0">
      <w:pPr>
        <w:pStyle w:val="NormalWeb"/>
        <w:ind w:firstLine="720"/>
        <w:rPr>
          <w:lang w:val="es-ES"/>
        </w:rPr>
      </w:pPr>
      <w:r w:rsidRPr="009257E7">
        <w:rPr>
          <w:lang w:val="es-ES"/>
        </w:rPr>
        <w:t>Pero la injusticia sistémica nunca ha sido aceptada por las mayorías de los grupos más afectados por ella. En consecuencia, la resistencia y la lucha social son rasgos distintivos de las sociedades modernas. Así como la injusticia sistémica y los problemas sociales son continuos, también lo son la resistencia y la lucha contra ellos. El derecho desempeña inevitablemente un papel decisivo en esta disputa continua. Sobre este trasfondo, lo que llamamos Justicia Crítica es una justicia medida por las realidades sociales vividas de igualdad material, no simplemente por las “generalidades brillantes”</w:t>
      </w:r>
      <w:r w:rsidR="00E740D0" w:rsidRPr="009257E7">
        <w:rPr>
          <w:rStyle w:val="FootnoteReference"/>
          <w:lang w:val="es-ES"/>
        </w:rPr>
        <w:footnoteReference w:id="174"/>
      </w:r>
      <w:r w:rsidRPr="009257E7">
        <w:rPr>
          <w:lang w:val="es-ES"/>
        </w:rPr>
        <w:t xml:space="preserve"> de la doctrina y </w:t>
      </w:r>
      <w:r w:rsidR="00467933" w:rsidRPr="009257E7">
        <w:rPr>
          <w:lang w:val="es-ES"/>
        </w:rPr>
        <w:t>d</w:t>
      </w:r>
      <w:r w:rsidRPr="009257E7">
        <w:rPr>
          <w:lang w:val="es-ES"/>
        </w:rPr>
        <w:t>el procedimiento jurídicos</w:t>
      </w:r>
      <w:r w:rsidR="00467933" w:rsidRPr="009257E7">
        <w:rPr>
          <w:lang w:val="es-ES"/>
        </w:rPr>
        <w:t>,</w:t>
      </w:r>
      <w:r w:rsidRPr="009257E7">
        <w:rPr>
          <w:lang w:val="es-ES"/>
        </w:rPr>
        <w:t xml:space="preserve"> como palabras en el papel.</w:t>
      </w:r>
    </w:p>
    <w:p w14:paraId="6115E521" w14:textId="34124142" w:rsidR="0054072C" w:rsidRPr="009257E7" w:rsidRDefault="0054072C" w:rsidP="00E740D0">
      <w:pPr>
        <w:pStyle w:val="NormalWeb"/>
        <w:ind w:firstLine="720"/>
        <w:rPr>
          <w:lang w:val="es-ES"/>
        </w:rPr>
      </w:pPr>
      <w:r w:rsidRPr="009257E7">
        <w:rPr>
          <w:lang w:val="es-ES"/>
        </w:rPr>
        <w:t>Al comprometerse con sus ideales gemelos de democracia sujeta a rendición de cuentas y adjudicación basada en principios, el derecho</w:t>
      </w:r>
      <w:r w:rsidR="00E740D0" w:rsidRPr="009257E7">
        <w:rPr>
          <w:lang w:val="es-ES"/>
        </w:rPr>
        <w:t>,</w:t>
      </w:r>
      <w:r w:rsidRPr="009257E7">
        <w:rPr>
          <w:lang w:val="es-ES"/>
        </w:rPr>
        <w:t xml:space="preserve"> como sistema</w:t>
      </w:r>
      <w:r w:rsidR="00E740D0" w:rsidRPr="009257E7">
        <w:rPr>
          <w:lang w:val="es-ES"/>
        </w:rPr>
        <w:t>,</w:t>
      </w:r>
      <w:r w:rsidRPr="009257E7">
        <w:rPr>
          <w:lang w:val="es-ES"/>
        </w:rPr>
        <w:t xml:space="preserve"> se presenta formalmente como una herramienta para la justicia imparcial en disputas “públicas” —democracia— y “privadas” —adjudicación—. </w:t>
      </w:r>
      <w:r w:rsidR="00E740D0" w:rsidRPr="009257E7">
        <w:rPr>
          <w:lang w:val="es-ES"/>
        </w:rPr>
        <w:t>A</w:t>
      </w:r>
      <w:r w:rsidRPr="009257E7">
        <w:rPr>
          <w:lang w:val="es-ES"/>
        </w:rPr>
        <w:t xml:space="preserve">l hacer que las desigualdades grupales parezcan normales, inevitables e incluso merecidas, el derecho también es, en la práctica, una herramienta para legalizar la injusticia colectivizada: sistemas de castas que desplazan el propio Estado de derecho. El statu quo resultante de hoy es el </w:t>
      </w:r>
      <w:r w:rsidR="00E740D0" w:rsidRPr="009257E7">
        <w:rPr>
          <w:lang w:val="es-ES"/>
        </w:rPr>
        <w:t>d</w:t>
      </w:r>
      <w:r w:rsidRPr="009257E7">
        <w:rPr>
          <w:lang w:val="es-ES"/>
        </w:rPr>
        <w:t xml:space="preserve">esafío Crítico para les abogades sistémiques, tanto en Estados Unidos como en otros lugares. Para perforar y superar sus complejidades, les abogades usan el marco IGIP para </w:t>
      </w:r>
      <w:r w:rsidR="00E740D0" w:rsidRPr="009257E7">
        <w:rPr>
          <w:lang w:val="es-ES"/>
        </w:rPr>
        <w:t xml:space="preserve">cartografiar </w:t>
      </w:r>
      <w:r w:rsidRPr="009257E7">
        <w:rPr>
          <w:lang w:val="es-ES"/>
        </w:rPr>
        <w:t>las castas y sus operaciones. De esta forma, están en mejores condiciones para apuntar a los resultados y a su transformación. IGIP es un marco para comprender cómo contextos particulares de injusticia sistémica llegaron a ser así, y cómo les abogades pueden apoyar a grupos subordinados que trabajan para desentrañarlos y deshacerlos.</w:t>
      </w:r>
    </w:p>
    <w:p w14:paraId="2340A4DD" w14:textId="65EDC1D6" w:rsidR="00E57680" w:rsidRPr="009257E7" w:rsidRDefault="00E57680">
      <w:pPr>
        <w:rPr>
          <w:rFonts w:ascii="Times New Roman" w:eastAsia="Times New Roman" w:hAnsi="Times New Roman" w:cs="Times New Roman"/>
          <w:b/>
          <w:bCs/>
          <w:kern w:val="0"/>
          <w:lang w:val="es-ES"/>
          <w14:ligatures w14:val="none"/>
        </w:rPr>
      </w:pPr>
    </w:p>
    <w:p w14:paraId="58BA0549" w14:textId="77777777" w:rsidR="0054072C" w:rsidRPr="009257E7" w:rsidRDefault="0054072C">
      <w:pPr>
        <w:rPr>
          <w:rFonts w:ascii="Times New Roman" w:eastAsia="Times New Roman" w:hAnsi="Times New Roman" w:cs="Times New Roman"/>
          <w:b/>
          <w:bCs/>
          <w:kern w:val="0"/>
          <w:lang w:val="es-ES"/>
          <w14:ligatures w14:val="none"/>
        </w:rPr>
      </w:pPr>
      <w:r w:rsidRPr="009257E7">
        <w:rPr>
          <w:rFonts w:ascii="Times New Roman" w:eastAsia="Times New Roman" w:hAnsi="Times New Roman" w:cs="Times New Roman"/>
          <w:b/>
          <w:bCs/>
          <w:kern w:val="0"/>
          <w:lang w:val="es-ES"/>
          <w14:ligatures w14:val="none"/>
        </w:rPr>
        <w:lastRenderedPageBreak/>
        <w:br w:type="page"/>
      </w:r>
    </w:p>
    <w:p w14:paraId="67A00B0A" w14:textId="0434A89A" w:rsidR="008F5B70" w:rsidRPr="009257E7" w:rsidRDefault="008F5B70" w:rsidP="008F5B70">
      <w:pPr>
        <w:spacing w:before="100" w:beforeAutospacing="1" w:after="100" w:afterAutospacing="1" w:line="240" w:lineRule="auto"/>
        <w:outlineLvl w:val="2"/>
        <w:rPr>
          <w:rFonts w:ascii="Times New Roman" w:eastAsia="Times New Roman" w:hAnsi="Times New Roman" w:cs="Times New Roman"/>
          <w:b/>
          <w:bCs/>
          <w:kern w:val="0"/>
          <w:lang w:val="es-ES"/>
          <w14:ligatures w14:val="none"/>
        </w:rPr>
      </w:pPr>
      <w:r w:rsidRPr="009257E7">
        <w:rPr>
          <w:rFonts w:ascii="Times New Roman" w:eastAsia="Times New Roman" w:hAnsi="Times New Roman" w:cs="Times New Roman"/>
          <w:b/>
          <w:bCs/>
          <w:kern w:val="0"/>
          <w:lang w:val="es-ES"/>
          <w14:ligatures w14:val="none"/>
        </w:rPr>
        <w:lastRenderedPageBreak/>
        <w:t xml:space="preserve">Capítulo 5: </w:t>
      </w:r>
      <w:r w:rsidR="00547279" w:rsidRPr="009257E7">
        <w:rPr>
          <w:rFonts w:ascii="Times New Roman" w:eastAsia="Times New Roman" w:hAnsi="Times New Roman" w:cs="Times New Roman"/>
          <w:b/>
          <w:bCs/>
          <w:kern w:val="0"/>
          <w:lang w:val="es-ES"/>
          <w14:ligatures w14:val="none"/>
        </w:rPr>
        <w:t xml:space="preserve">Utilizar </w:t>
      </w:r>
      <w:r w:rsidRPr="009257E7">
        <w:rPr>
          <w:rFonts w:ascii="Times New Roman" w:eastAsia="Times New Roman" w:hAnsi="Times New Roman" w:cs="Times New Roman"/>
          <w:b/>
          <w:bCs/>
          <w:kern w:val="0"/>
          <w:lang w:val="es-ES"/>
          <w14:ligatures w14:val="none"/>
        </w:rPr>
        <w:t>el conocimiento crítico para apoyar luchas desde abajo</w:t>
      </w:r>
    </w:p>
    <w:p w14:paraId="50A29EFF" w14:textId="77777777" w:rsidR="001D4F1C" w:rsidRPr="009257E7" w:rsidRDefault="001D4F1C" w:rsidP="001D4F1C">
      <w:pPr>
        <w:spacing w:before="100" w:beforeAutospacing="1" w:after="100" w:afterAutospacing="1" w:line="240" w:lineRule="auto"/>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i/>
          <w:iCs/>
          <w:kern w:val="0"/>
          <w:lang w:val="es-ES"/>
          <w14:ligatures w14:val="none"/>
        </w:rPr>
        <w:t>El poder nunca retrocede, excepto frente a más poder.</w:t>
      </w:r>
      <w:r w:rsidRPr="009257E7">
        <w:rPr>
          <w:rFonts w:ascii="Times New Roman" w:eastAsia="Times New Roman" w:hAnsi="Times New Roman" w:cs="Times New Roman"/>
          <w:i/>
          <w:iCs/>
          <w:kern w:val="0"/>
          <w:lang w:val="es-ES"/>
          <w14:ligatures w14:val="none"/>
        </w:rPr>
        <w:br/>
      </w:r>
      <w:r w:rsidRPr="009257E7">
        <w:rPr>
          <w:rFonts w:ascii="Times New Roman" w:eastAsia="Times New Roman" w:hAnsi="Times New Roman" w:cs="Times New Roman"/>
          <w:kern w:val="0"/>
          <w:lang w:val="es-ES"/>
          <w14:ligatures w14:val="none"/>
        </w:rPr>
        <w:t>—Malcolm X</w:t>
      </w:r>
    </w:p>
    <w:p w14:paraId="60DA3F7D" w14:textId="77777777" w:rsidR="00547279" w:rsidRPr="009257E7" w:rsidRDefault="001D4F1C" w:rsidP="00547279">
      <w:pPr>
        <w:spacing w:before="100" w:beforeAutospacing="1" w:after="100" w:afterAutospacing="1" w:line="240" w:lineRule="auto"/>
        <w:outlineLvl w:val="1"/>
        <w:rPr>
          <w:rFonts w:ascii="Times New Roman" w:eastAsia="Times New Roman" w:hAnsi="Times New Roman" w:cs="Times New Roman"/>
          <w:b/>
          <w:bCs/>
          <w:kern w:val="0"/>
          <w:lang w:val="es-ES"/>
          <w14:ligatures w14:val="none"/>
        </w:rPr>
      </w:pPr>
      <w:r w:rsidRPr="009257E7">
        <w:rPr>
          <w:rFonts w:ascii="Times New Roman" w:eastAsia="Times New Roman" w:hAnsi="Times New Roman" w:cs="Times New Roman"/>
          <w:b/>
          <w:bCs/>
          <w:kern w:val="0"/>
          <w:lang w:val="es-ES"/>
          <w14:ligatures w14:val="none"/>
        </w:rPr>
        <w:t>INTRODUCCIÓN</w:t>
      </w:r>
    </w:p>
    <w:p w14:paraId="5525CC8A" w14:textId="50F33A54" w:rsidR="001D4F1C" w:rsidRPr="009257E7" w:rsidRDefault="006D37FA" w:rsidP="00547279">
      <w:pPr>
        <w:spacing w:before="100" w:beforeAutospacing="1" w:after="100" w:afterAutospacing="1" w:line="240" w:lineRule="auto"/>
        <w:ind w:firstLine="720"/>
        <w:outlineLvl w:val="1"/>
        <w:rPr>
          <w:rFonts w:ascii="Times New Roman" w:eastAsia="Times New Roman" w:hAnsi="Times New Roman" w:cs="Times New Roman"/>
          <w:b/>
          <w:bCs/>
          <w:kern w:val="0"/>
          <w:lang w:val="es-ES"/>
          <w14:ligatures w14:val="none"/>
        </w:rPr>
      </w:pPr>
      <w:r w:rsidRPr="009257E7">
        <w:rPr>
          <w:rFonts w:ascii="Times New Roman" w:eastAsia="Times New Roman" w:hAnsi="Times New Roman" w:cs="Times New Roman"/>
          <w:kern w:val="0"/>
          <w:lang w:val="es-ES"/>
          <w14:ligatures w14:val="none"/>
        </w:rPr>
        <w:t>Los grupos marginados desarrollan y ejercen e</w:t>
      </w:r>
      <w:r w:rsidR="001D4F1C" w:rsidRPr="009257E7">
        <w:rPr>
          <w:rFonts w:ascii="Times New Roman" w:eastAsia="Times New Roman" w:hAnsi="Times New Roman" w:cs="Times New Roman"/>
          <w:kern w:val="0"/>
          <w:lang w:val="es-ES"/>
          <w14:ligatures w14:val="none"/>
        </w:rPr>
        <w:t xml:space="preserve">l poder desde abajo para desafiar el statu quo, incluido el de redefinir conceptos fundacionales y reescribir las “reglas básicas” que influyen en los resultados sistémicos. Las reglas básicas son especialmente importantes </w:t>
      </w:r>
      <w:r w:rsidR="00580F7D" w:rsidRPr="009257E7">
        <w:rPr>
          <w:rFonts w:ascii="Times New Roman" w:eastAsia="Times New Roman" w:hAnsi="Times New Roman" w:cs="Times New Roman"/>
          <w:kern w:val="0"/>
          <w:lang w:val="es-ES"/>
          <w14:ligatures w14:val="none"/>
        </w:rPr>
        <w:t>en</w:t>
      </w:r>
      <w:r w:rsidR="001D4F1C" w:rsidRPr="009257E7">
        <w:rPr>
          <w:rFonts w:ascii="Times New Roman" w:eastAsia="Times New Roman" w:hAnsi="Times New Roman" w:cs="Times New Roman"/>
          <w:kern w:val="0"/>
          <w:lang w:val="es-ES"/>
          <w14:ligatures w14:val="none"/>
        </w:rPr>
        <w:t xml:space="preserve"> las luchas </w:t>
      </w:r>
      <w:r w:rsidRPr="009257E7">
        <w:rPr>
          <w:rFonts w:ascii="Times New Roman" w:eastAsia="Times New Roman" w:hAnsi="Times New Roman" w:cs="Times New Roman"/>
          <w:kern w:val="0"/>
          <w:lang w:val="es-ES"/>
          <w14:ligatures w14:val="none"/>
        </w:rPr>
        <w:t>a</w:t>
      </w:r>
      <w:r w:rsidR="001D4F1C" w:rsidRPr="009257E7">
        <w:rPr>
          <w:rFonts w:ascii="Times New Roman" w:eastAsia="Times New Roman" w:hAnsi="Times New Roman" w:cs="Times New Roman"/>
          <w:kern w:val="0"/>
          <w:lang w:val="es-ES"/>
          <w14:ligatures w14:val="none"/>
        </w:rPr>
        <w:t xml:space="preserve"> largo plazo porque establecen los términos de todos los demás encuentros y sus consecuencias. En efecto, estos términos suelen estar sesgados y preparan el escenario para resultados particulares. En términos operativos, las reglas básicas configuran la estructura de incentivos —y desincentivos— para las decisiones y acciones de todes les participantes, es decir, de todes les jugadores. Les jugadores repetides tienen la ventaja porque cuentan con experiencia interna, herramientas, </w:t>
      </w:r>
      <w:r w:rsidR="001E1E91" w:rsidRPr="009257E7">
        <w:rPr>
          <w:rFonts w:ascii="Times New Roman" w:eastAsia="Times New Roman" w:hAnsi="Times New Roman" w:cs="Times New Roman"/>
          <w:kern w:val="0"/>
          <w:lang w:val="es-ES"/>
          <w14:ligatures w14:val="none"/>
        </w:rPr>
        <w:t>actuaciones</w:t>
      </w:r>
      <w:r w:rsidR="001D4F1C" w:rsidRPr="009257E7">
        <w:rPr>
          <w:rFonts w:ascii="Times New Roman" w:eastAsia="Times New Roman" w:hAnsi="Times New Roman" w:cs="Times New Roman"/>
          <w:kern w:val="0"/>
          <w:lang w:val="es-ES"/>
          <w14:ligatures w14:val="none"/>
        </w:rPr>
        <w:t xml:space="preserve"> y contactos, que en conjunto equivalen a poder: el poder de comprender contextos, aprovechar oportunidades, anticiparse a adversaries, realinear intereses, reformular incentivos y, de ese modo, orientar decisiones sistémicas.</w:t>
      </w:r>
    </w:p>
    <w:p w14:paraId="26249FED" w14:textId="5968C539" w:rsidR="001D4F1C" w:rsidRPr="009257E7" w:rsidRDefault="001D4F1C" w:rsidP="001A45AE">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 xml:space="preserve">El poder desde abajo, en cambio, recurre al principio </w:t>
      </w:r>
      <w:r w:rsidR="00580F7D" w:rsidRPr="009257E7">
        <w:rPr>
          <w:rFonts w:ascii="Times New Roman" w:eastAsia="Times New Roman" w:hAnsi="Times New Roman" w:cs="Times New Roman"/>
          <w:kern w:val="0"/>
          <w:lang w:val="es-ES"/>
          <w14:ligatures w14:val="none"/>
        </w:rPr>
        <w:t xml:space="preserve">de </w:t>
      </w:r>
      <w:proofErr w:type="spellStart"/>
      <w:r w:rsidRPr="009257E7">
        <w:rPr>
          <w:rFonts w:ascii="Times New Roman" w:eastAsia="Times New Roman" w:hAnsi="Times New Roman" w:cs="Times New Roman"/>
          <w:kern w:val="0"/>
          <w:lang w:val="es-ES"/>
          <w14:ligatures w14:val="none"/>
        </w:rPr>
        <w:t>antisubordinación</w:t>
      </w:r>
      <w:proofErr w:type="spellEnd"/>
      <w:r w:rsidRPr="009257E7">
        <w:rPr>
          <w:rFonts w:ascii="Times New Roman" w:eastAsia="Times New Roman" w:hAnsi="Times New Roman" w:cs="Times New Roman"/>
          <w:kern w:val="0"/>
          <w:lang w:val="es-ES"/>
          <w14:ligatures w14:val="none"/>
        </w:rPr>
        <w:t xml:space="preserve"> en el desarrollo de organizaciones y </w:t>
      </w:r>
      <w:r w:rsidR="00580F7D" w:rsidRPr="009257E7">
        <w:rPr>
          <w:rFonts w:ascii="Times New Roman" w:eastAsia="Times New Roman" w:hAnsi="Times New Roman" w:cs="Times New Roman"/>
          <w:kern w:val="0"/>
          <w:lang w:val="es-ES"/>
          <w14:ligatures w14:val="none"/>
        </w:rPr>
        <w:t xml:space="preserve">de </w:t>
      </w:r>
      <w:r w:rsidRPr="009257E7">
        <w:rPr>
          <w:rFonts w:ascii="Times New Roman" w:eastAsia="Times New Roman" w:hAnsi="Times New Roman" w:cs="Times New Roman"/>
          <w:kern w:val="0"/>
          <w:lang w:val="es-ES"/>
          <w14:ligatures w14:val="none"/>
        </w:rPr>
        <w:t xml:space="preserve">“coaliciones críticas”. Los grupos desde abajo buscan ser capaces de desafiar los términos fundacionales, cultivar </w:t>
      </w:r>
      <w:r w:rsidR="00580F7D" w:rsidRPr="009257E7">
        <w:rPr>
          <w:rFonts w:ascii="Times New Roman" w:eastAsia="Times New Roman" w:hAnsi="Times New Roman" w:cs="Times New Roman"/>
          <w:kern w:val="0"/>
          <w:lang w:val="es-ES"/>
          <w14:ligatures w14:val="none"/>
        </w:rPr>
        <w:t xml:space="preserve">la </w:t>
      </w:r>
      <w:r w:rsidRPr="009257E7">
        <w:rPr>
          <w:rFonts w:ascii="Times New Roman" w:eastAsia="Times New Roman" w:hAnsi="Times New Roman" w:cs="Times New Roman"/>
          <w:kern w:val="0"/>
          <w:lang w:val="es-ES"/>
          <w14:ligatures w14:val="none"/>
        </w:rPr>
        <w:t xml:space="preserve">solidaridad </w:t>
      </w:r>
      <w:r w:rsidR="00580F7D" w:rsidRPr="009257E7">
        <w:rPr>
          <w:rFonts w:ascii="Times New Roman" w:eastAsia="Times New Roman" w:hAnsi="Times New Roman" w:cs="Times New Roman"/>
          <w:kern w:val="0"/>
          <w:lang w:val="es-ES"/>
          <w14:ligatures w14:val="none"/>
        </w:rPr>
        <w:t>a</w:t>
      </w:r>
      <w:r w:rsidRPr="009257E7">
        <w:rPr>
          <w:rFonts w:ascii="Times New Roman" w:eastAsia="Times New Roman" w:hAnsi="Times New Roman" w:cs="Times New Roman"/>
          <w:kern w:val="0"/>
          <w:lang w:val="es-ES"/>
          <w14:ligatures w14:val="none"/>
        </w:rPr>
        <w:t xml:space="preserve"> largo plazo e influir en los resultados sistémicos. La lucha construye no solo </w:t>
      </w:r>
      <w:r w:rsidR="002C6F39" w:rsidRPr="009257E7">
        <w:rPr>
          <w:rFonts w:ascii="Times New Roman" w:eastAsia="Times New Roman" w:hAnsi="Times New Roman" w:cs="Times New Roman"/>
          <w:kern w:val="0"/>
          <w:lang w:val="es-ES"/>
          <w14:ligatures w14:val="none"/>
        </w:rPr>
        <w:t xml:space="preserve">el </w:t>
      </w:r>
      <w:r w:rsidRPr="009257E7">
        <w:rPr>
          <w:rFonts w:ascii="Times New Roman" w:eastAsia="Times New Roman" w:hAnsi="Times New Roman" w:cs="Times New Roman"/>
          <w:kern w:val="0"/>
          <w:lang w:val="es-ES"/>
          <w14:ligatures w14:val="none"/>
        </w:rPr>
        <w:t>progreso hacia la justicia igualitaria, sino también relaciones de familiaridad mutua, confianza y cooperación, que, a su vez, ayudan a fortalecer a los grupos para rondas futuras de lucha. Cada ronda de lucha busca preservar los logros alcanzados y ampliarlos.</w:t>
      </w:r>
    </w:p>
    <w:p w14:paraId="6618201C" w14:textId="5CA46482" w:rsidR="001D4F1C" w:rsidRPr="009257E7" w:rsidRDefault="001D4F1C" w:rsidP="009F00F9">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 xml:space="preserve">En general, el Desafío Crítico existe porque los abusos acumulativos y colectivos del poder han desplazado el compromiso profesado del derecho con la justicia igualitaria, mientras </w:t>
      </w:r>
      <w:r w:rsidR="00CB0BA0" w:rsidRPr="009257E7">
        <w:rPr>
          <w:rFonts w:ascii="Times New Roman" w:eastAsia="Times New Roman" w:hAnsi="Times New Roman" w:cs="Times New Roman"/>
          <w:kern w:val="0"/>
          <w:lang w:val="es-ES"/>
          <w14:ligatures w14:val="none"/>
        </w:rPr>
        <w:t>se niega</w:t>
      </w:r>
      <w:r w:rsidRPr="009257E7">
        <w:rPr>
          <w:rFonts w:ascii="Times New Roman" w:eastAsia="Times New Roman" w:hAnsi="Times New Roman" w:cs="Times New Roman"/>
          <w:kern w:val="0"/>
          <w:lang w:val="es-ES"/>
          <w14:ligatures w14:val="none"/>
        </w:rPr>
        <w:t xml:space="preserve"> que haya </w:t>
      </w:r>
      <w:r w:rsidR="00CB0BA0" w:rsidRPr="009257E7">
        <w:rPr>
          <w:rFonts w:ascii="Times New Roman" w:eastAsia="Times New Roman" w:hAnsi="Times New Roman" w:cs="Times New Roman"/>
          <w:kern w:val="0"/>
          <w:lang w:val="es-ES"/>
          <w14:ligatures w14:val="none"/>
        </w:rPr>
        <w:t>hab</w:t>
      </w:r>
      <w:r w:rsidRPr="009257E7">
        <w:rPr>
          <w:rFonts w:ascii="Times New Roman" w:eastAsia="Times New Roman" w:hAnsi="Times New Roman" w:cs="Times New Roman"/>
          <w:kern w:val="0"/>
          <w:lang w:val="es-ES"/>
          <w14:ligatures w14:val="none"/>
        </w:rPr>
        <w:t xml:space="preserve">ido algún resultado injusto. En los conflictos resultantes, todos los grupos buscan construir poder: tanto las cúspides como los grupos desde abajo. Es importante destacar que los grupos construyen poder para </w:t>
      </w:r>
      <w:r w:rsidR="00580F7D" w:rsidRPr="009257E7">
        <w:rPr>
          <w:rFonts w:ascii="Times New Roman" w:eastAsia="Times New Roman" w:hAnsi="Times New Roman" w:cs="Times New Roman"/>
          <w:kern w:val="0"/>
          <w:lang w:val="es-ES"/>
          <w14:ligatures w14:val="none"/>
        </w:rPr>
        <w:t>ejercerlo</w:t>
      </w:r>
      <w:r w:rsidRPr="009257E7">
        <w:rPr>
          <w:rFonts w:ascii="Times New Roman" w:eastAsia="Times New Roman" w:hAnsi="Times New Roman" w:cs="Times New Roman"/>
          <w:kern w:val="0"/>
          <w:lang w:val="es-ES"/>
          <w14:ligatures w14:val="none"/>
        </w:rPr>
        <w:t xml:space="preserve">; el poder es tanto un medio como un fin. Como ocurre con otros músculos, se usa el poder o se pierde. Construir y usar </w:t>
      </w:r>
      <w:r w:rsidR="00580F7D" w:rsidRPr="009257E7">
        <w:rPr>
          <w:rFonts w:ascii="Times New Roman" w:eastAsia="Times New Roman" w:hAnsi="Times New Roman" w:cs="Times New Roman"/>
          <w:kern w:val="0"/>
          <w:lang w:val="es-ES"/>
          <w14:ligatures w14:val="none"/>
        </w:rPr>
        <w:t xml:space="preserve">el </w:t>
      </w:r>
      <w:r w:rsidRPr="009257E7">
        <w:rPr>
          <w:rFonts w:ascii="Times New Roman" w:eastAsia="Times New Roman" w:hAnsi="Times New Roman" w:cs="Times New Roman"/>
          <w:kern w:val="0"/>
          <w:lang w:val="es-ES"/>
          <w14:ligatures w14:val="none"/>
        </w:rPr>
        <w:t xml:space="preserve">poder se refuerzan mutuamente. Por esta razón, los grupos dominantes se han organizado </w:t>
      </w:r>
      <w:r w:rsidR="00580F7D" w:rsidRPr="009257E7">
        <w:rPr>
          <w:rFonts w:ascii="Times New Roman" w:eastAsia="Times New Roman" w:hAnsi="Times New Roman" w:cs="Times New Roman"/>
          <w:kern w:val="0"/>
          <w:lang w:val="es-ES"/>
          <w14:ligatures w14:val="none"/>
        </w:rPr>
        <w:t>a</w:t>
      </w:r>
      <w:r w:rsidRPr="009257E7">
        <w:rPr>
          <w:rFonts w:ascii="Times New Roman" w:eastAsia="Times New Roman" w:hAnsi="Times New Roman" w:cs="Times New Roman"/>
          <w:kern w:val="0"/>
          <w:lang w:val="es-ES"/>
          <w14:ligatures w14:val="none"/>
        </w:rPr>
        <w:t xml:space="preserve"> largo plazo. Aunque no son monolíticos, usaron su poder colectivo para subordinar a “otros” grupos mientras fortalecían simultáneamente su propia posición, o poder, para consolidar su dominio en rondas futuras de lucha.</w:t>
      </w:r>
    </w:p>
    <w:p w14:paraId="4694CA48" w14:textId="06F39C0B" w:rsidR="001D4F1C" w:rsidRPr="009257E7" w:rsidRDefault="001D4F1C" w:rsidP="00CE4019">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 xml:space="preserve">Las élites organizadas suelen </w:t>
      </w:r>
      <w:r w:rsidR="00580F7D" w:rsidRPr="009257E7">
        <w:rPr>
          <w:rFonts w:ascii="Times New Roman" w:eastAsia="Times New Roman" w:hAnsi="Times New Roman" w:cs="Times New Roman"/>
          <w:kern w:val="0"/>
          <w:lang w:val="es-ES"/>
          <w14:ligatures w14:val="none"/>
        </w:rPr>
        <w:t>obtene</w:t>
      </w:r>
      <w:r w:rsidRPr="009257E7">
        <w:rPr>
          <w:rFonts w:ascii="Times New Roman" w:eastAsia="Times New Roman" w:hAnsi="Times New Roman" w:cs="Times New Roman"/>
          <w:kern w:val="0"/>
          <w:lang w:val="es-ES"/>
          <w14:ligatures w14:val="none"/>
        </w:rPr>
        <w:t xml:space="preserve">r los resultados que desean, pero las desigualdades generalizadas de poder no son fijas ni absolutas —todavía no </w:t>
      </w:r>
      <w:r w:rsidR="00580F7D" w:rsidRPr="009257E7">
        <w:rPr>
          <w:rFonts w:ascii="Times New Roman" w:eastAsia="Times New Roman" w:hAnsi="Times New Roman" w:cs="Times New Roman"/>
          <w:kern w:val="0"/>
          <w:lang w:val="es-ES"/>
          <w14:ligatures w14:val="none"/>
        </w:rPr>
        <w:t>constituye</w:t>
      </w:r>
      <w:r w:rsidRPr="009257E7">
        <w:rPr>
          <w:rFonts w:ascii="Times New Roman" w:eastAsia="Times New Roman" w:hAnsi="Times New Roman" w:cs="Times New Roman"/>
          <w:kern w:val="0"/>
          <w:lang w:val="es-ES"/>
          <w14:ligatures w14:val="none"/>
        </w:rPr>
        <w:t xml:space="preserve">n una hegemonía— debido a las historias de resistencia desde abajo. El poder afecta todas las relaciones y </w:t>
      </w:r>
      <w:r w:rsidR="00C1497C" w:rsidRPr="009257E7">
        <w:rPr>
          <w:rFonts w:ascii="Times New Roman" w:eastAsia="Times New Roman" w:hAnsi="Times New Roman" w:cs="Times New Roman"/>
          <w:kern w:val="0"/>
          <w:lang w:val="es-ES"/>
          <w14:ligatures w14:val="none"/>
        </w:rPr>
        <w:t xml:space="preserve">las </w:t>
      </w:r>
      <w:r w:rsidRPr="009257E7">
        <w:rPr>
          <w:rFonts w:ascii="Times New Roman" w:eastAsia="Times New Roman" w:hAnsi="Times New Roman" w:cs="Times New Roman"/>
          <w:kern w:val="0"/>
          <w:lang w:val="es-ES"/>
          <w14:ligatures w14:val="none"/>
        </w:rPr>
        <w:t>decisiones, tanto en los niveles micro como macro de la vida y el derecho. Las relaciones de poder son relevantes para la abogacía en la arena pública o gubernamental</w:t>
      </w:r>
      <w:r w:rsidR="00580F7D" w:rsidRPr="009257E7">
        <w:rPr>
          <w:rFonts w:ascii="Times New Roman" w:eastAsia="Times New Roman" w:hAnsi="Times New Roman" w:cs="Times New Roman"/>
          <w:kern w:val="0"/>
          <w:lang w:val="es-ES"/>
          <w14:ligatures w14:val="none"/>
        </w:rPr>
        <w:t>,</w:t>
      </w:r>
      <w:r w:rsidRPr="009257E7">
        <w:rPr>
          <w:rFonts w:ascii="Times New Roman" w:eastAsia="Times New Roman" w:hAnsi="Times New Roman" w:cs="Times New Roman"/>
          <w:kern w:val="0"/>
          <w:lang w:val="es-ES"/>
          <w14:ligatures w14:val="none"/>
        </w:rPr>
        <w:t xml:space="preserve"> en la llamada toma de decisiones privada de patronos y trabajadores, entre integrantes de familias y en otras arenas. El </w:t>
      </w:r>
      <w:r w:rsidRPr="009257E7">
        <w:rPr>
          <w:rFonts w:ascii="Times New Roman" w:eastAsia="Times New Roman" w:hAnsi="Times New Roman" w:cs="Times New Roman"/>
          <w:kern w:val="0"/>
          <w:lang w:val="es-ES"/>
          <w14:ligatures w14:val="none"/>
        </w:rPr>
        <w:lastRenderedPageBreak/>
        <w:t xml:space="preserve">poder organizado, en relación con identidades e intereses grupales, moldea tanto la injusticia como la </w:t>
      </w:r>
      <w:proofErr w:type="gramStart"/>
      <w:r w:rsidRPr="009257E7">
        <w:rPr>
          <w:rFonts w:ascii="Times New Roman" w:eastAsia="Times New Roman" w:hAnsi="Times New Roman" w:cs="Times New Roman"/>
          <w:kern w:val="0"/>
          <w:lang w:val="es-ES"/>
          <w14:ligatures w14:val="none"/>
        </w:rPr>
        <w:t>abogacía sistémica</w:t>
      </w:r>
      <w:r w:rsidR="00AC28D5" w:rsidRPr="009257E7">
        <w:rPr>
          <w:rFonts w:ascii="Times New Roman" w:eastAsia="Times New Roman" w:hAnsi="Times New Roman" w:cs="Times New Roman"/>
          <w:kern w:val="0"/>
          <w:lang w:val="es-ES"/>
          <w14:ligatures w14:val="none"/>
        </w:rPr>
        <w:t>s</w:t>
      </w:r>
      <w:proofErr w:type="gramEnd"/>
      <w:r w:rsidR="00633E9C" w:rsidRPr="009257E7">
        <w:rPr>
          <w:rStyle w:val="FootnoteReference"/>
          <w:rFonts w:ascii="Times New Roman" w:eastAsia="Times New Roman" w:hAnsi="Times New Roman" w:cs="Times New Roman"/>
          <w:kern w:val="0"/>
          <w:lang w:val="es-ES"/>
          <w14:ligatures w14:val="none"/>
        </w:rPr>
        <w:footnoteReference w:id="175"/>
      </w:r>
      <w:r w:rsidRPr="009257E7">
        <w:rPr>
          <w:rFonts w:ascii="Times New Roman" w:eastAsia="Times New Roman" w:hAnsi="Times New Roman" w:cs="Times New Roman"/>
          <w:kern w:val="0"/>
          <w:lang w:val="es-ES"/>
          <w14:ligatures w14:val="none"/>
        </w:rPr>
        <w:t>.</w:t>
      </w:r>
    </w:p>
    <w:p w14:paraId="55210C83" w14:textId="3395348C" w:rsidR="001D4F1C" w:rsidRPr="009257E7" w:rsidRDefault="001D4F1C" w:rsidP="005E0005">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 xml:space="preserve">Desafiar el poder sistémico de manera innovadora y colaborativa es el pan de cada día de la lucha social de largo plazo por un progreso constante y duradero. Estas tareas siguen tres “capas” de metas, tanto </w:t>
      </w:r>
      <w:r w:rsidR="00580F7D" w:rsidRPr="009257E7">
        <w:rPr>
          <w:rFonts w:ascii="Times New Roman" w:eastAsia="Times New Roman" w:hAnsi="Times New Roman" w:cs="Times New Roman"/>
          <w:kern w:val="0"/>
          <w:lang w:val="es-ES"/>
          <w14:ligatures w14:val="none"/>
        </w:rPr>
        <w:t>a</w:t>
      </w:r>
      <w:r w:rsidRPr="009257E7">
        <w:rPr>
          <w:rFonts w:ascii="Times New Roman" w:eastAsia="Times New Roman" w:hAnsi="Times New Roman" w:cs="Times New Roman"/>
          <w:kern w:val="0"/>
          <w:lang w:val="es-ES"/>
          <w14:ligatures w14:val="none"/>
        </w:rPr>
        <w:t xml:space="preserve"> largo como </w:t>
      </w:r>
      <w:r w:rsidR="00580F7D" w:rsidRPr="009257E7">
        <w:rPr>
          <w:rFonts w:ascii="Times New Roman" w:eastAsia="Times New Roman" w:hAnsi="Times New Roman" w:cs="Times New Roman"/>
          <w:kern w:val="0"/>
          <w:lang w:val="es-ES"/>
          <w14:ligatures w14:val="none"/>
        </w:rPr>
        <w:t>a</w:t>
      </w:r>
      <w:r w:rsidRPr="009257E7">
        <w:rPr>
          <w:rFonts w:ascii="Times New Roman" w:eastAsia="Times New Roman" w:hAnsi="Times New Roman" w:cs="Times New Roman"/>
          <w:kern w:val="0"/>
          <w:lang w:val="es-ES"/>
          <w14:ligatures w14:val="none"/>
        </w:rPr>
        <w:t xml:space="preserve"> corto plazo. Estas metas están diseñadas para </w:t>
      </w:r>
      <w:r w:rsidR="00580F7D" w:rsidRPr="009257E7">
        <w:rPr>
          <w:rFonts w:ascii="Times New Roman" w:eastAsia="Times New Roman" w:hAnsi="Times New Roman" w:cs="Times New Roman"/>
          <w:kern w:val="0"/>
          <w:lang w:val="es-ES"/>
          <w14:ligatures w14:val="none"/>
        </w:rPr>
        <w:t>abord</w:t>
      </w:r>
      <w:r w:rsidRPr="009257E7">
        <w:rPr>
          <w:rFonts w:ascii="Times New Roman" w:eastAsia="Times New Roman" w:hAnsi="Times New Roman" w:cs="Times New Roman"/>
          <w:kern w:val="0"/>
          <w:lang w:val="es-ES"/>
          <w14:ligatures w14:val="none"/>
        </w:rPr>
        <w:t>ar injusticias inmediatas y, al mismo tiempo, ayudar a transformar el pa</w:t>
      </w:r>
      <w:r w:rsidR="00580F7D" w:rsidRPr="009257E7">
        <w:rPr>
          <w:rFonts w:ascii="Times New Roman" w:eastAsia="Times New Roman" w:hAnsi="Times New Roman" w:cs="Times New Roman"/>
          <w:kern w:val="0"/>
          <w:lang w:val="es-ES"/>
          <w14:ligatures w14:val="none"/>
        </w:rPr>
        <w:t>norama</w:t>
      </w:r>
      <w:r w:rsidRPr="009257E7">
        <w:rPr>
          <w:rFonts w:ascii="Times New Roman" w:eastAsia="Times New Roman" w:hAnsi="Times New Roman" w:cs="Times New Roman"/>
          <w:kern w:val="0"/>
          <w:lang w:val="es-ES"/>
          <w14:ligatures w14:val="none"/>
        </w:rPr>
        <w:t xml:space="preserve"> social y jurídico </w:t>
      </w:r>
      <w:r w:rsidR="00580F7D" w:rsidRPr="009257E7">
        <w:rPr>
          <w:rFonts w:ascii="Times New Roman" w:eastAsia="Times New Roman" w:hAnsi="Times New Roman" w:cs="Times New Roman"/>
          <w:kern w:val="0"/>
          <w:lang w:val="es-ES"/>
          <w14:ligatures w14:val="none"/>
        </w:rPr>
        <w:t>en</w:t>
      </w:r>
      <w:r w:rsidRPr="009257E7">
        <w:rPr>
          <w:rFonts w:ascii="Times New Roman" w:eastAsia="Times New Roman" w:hAnsi="Times New Roman" w:cs="Times New Roman"/>
          <w:kern w:val="0"/>
          <w:lang w:val="es-ES"/>
          <w14:ligatures w14:val="none"/>
        </w:rPr>
        <w:t xml:space="preserve"> adelante. Este enfoque u</w:t>
      </w:r>
      <w:r w:rsidR="00580F7D" w:rsidRPr="009257E7">
        <w:rPr>
          <w:rFonts w:ascii="Times New Roman" w:eastAsia="Times New Roman" w:hAnsi="Times New Roman" w:cs="Times New Roman"/>
          <w:kern w:val="0"/>
          <w:lang w:val="es-ES"/>
          <w14:ligatures w14:val="none"/>
        </w:rPr>
        <w:t>tiliz</w:t>
      </w:r>
      <w:r w:rsidRPr="009257E7">
        <w:rPr>
          <w:rFonts w:ascii="Times New Roman" w:eastAsia="Times New Roman" w:hAnsi="Times New Roman" w:cs="Times New Roman"/>
          <w:kern w:val="0"/>
          <w:lang w:val="es-ES"/>
          <w14:ligatures w14:val="none"/>
        </w:rPr>
        <w:t xml:space="preserve">a la mejora como andamiaje para la transformación. Estas metas por capas impulsan a les abogades a crear soluciones que </w:t>
      </w:r>
      <w:r w:rsidR="00095153" w:rsidRPr="009257E7">
        <w:rPr>
          <w:rFonts w:ascii="Times New Roman" w:eastAsia="Times New Roman" w:hAnsi="Times New Roman" w:cs="Times New Roman"/>
          <w:kern w:val="0"/>
          <w:lang w:val="es-ES"/>
          <w14:ligatures w14:val="none"/>
        </w:rPr>
        <w:t>contemplen por igual el pasado, el presente y el</w:t>
      </w:r>
      <w:r w:rsidRPr="009257E7">
        <w:rPr>
          <w:rFonts w:ascii="Times New Roman" w:eastAsia="Times New Roman" w:hAnsi="Times New Roman" w:cs="Times New Roman"/>
          <w:kern w:val="0"/>
          <w:lang w:val="es-ES"/>
          <w14:ligatures w14:val="none"/>
        </w:rPr>
        <w:t xml:space="preserve"> futuro, con el fin de abrir ventanas de oportunidad para el progreso.</w:t>
      </w:r>
    </w:p>
    <w:p w14:paraId="6FE9EE0E" w14:textId="442A5B52" w:rsidR="001D4F1C" w:rsidRPr="009257E7" w:rsidRDefault="001D4F1C" w:rsidP="00A12E83">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 xml:space="preserve">Cuando se enfocan en la primera capa de mejora, les abogades y </w:t>
      </w:r>
      <w:r w:rsidR="00A12E83" w:rsidRPr="009257E7">
        <w:rPr>
          <w:rFonts w:ascii="Times New Roman" w:eastAsia="Times New Roman" w:hAnsi="Times New Roman" w:cs="Times New Roman"/>
          <w:kern w:val="0"/>
          <w:lang w:val="es-ES"/>
          <w14:ligatures w14:val="none"/>
        </w:rPr>
        <w:t xml:space="preserve">les </w:t>
      </w:r>
      <w:r w:rsidRPr="009257E7">
        <w:rPr>
          <w:rFonts w:ascii="Times New Roman" w:eastAsia="Times New Roman" w:hAnsi="Times New Roman" w:cs="Times New Roman"/>
          <w:kern w:val="0"/>
          <w:lang w:val="es-ES"/>
          <w14:ligatures w14:val="none"/>
        </w:rPr>
        <w:t xml:space="preserve">activistas buscan ganar “soluciones técnicas”: resultados sustantivos que mejoran materialmente las vidas —o al menos limitan el daño— para integrantes de grupos subordinados, pero que no “sacuden” el sistema. Para cambiar los resultados sistémicos, la mejora es importante, pero insuficiente. Por lo tanto, esta capa reformista se complementa en la abogacía sistémica con otras dos, diseñadas para reencuadrar los enfoques de mejora </w:t>
      </w:r>
      <w:r w:rsidR="004A3C38" w:rsidRPr="009257E7">
        <w:rPr>
          <w:rFonts w:ascii="Times New Roman" w:eastAsia="Times New Roman" w:hAnsi="Times New Roman" w:cs="Times New Roman"/>
          <w:kern w:val="0"/>
          <w:lang w:val="es-ES"/>
          <w14:ligatures w14:val="none"/>
        </w:rPr>
        <w:t>en</w:t>
      </w:r>
      <w:r w:rsidRPr="009257E7">
        <w:rPr>
          <w:rFonts w:ascii="Times New Roman" w:eastAsia="Times New Roman" w:hAnsi="Times New Roman" w:cs="Times New Roman"/>
          <w:kern w:val="0"/>
          <w:lang w:val="es-ES"/>
          <w14:ligatures w14:val="none"/>
        </w:rPr>
        <w:t xml:space="preserve"> el progreso </w:t>
      </w:r>
      <w:r w:rsidR="004A3C38" w:rsidRPr="009257E7">
        <w:rPr>
          <w:rFonts w:ascii="Times New Roman" w:eastAsia="Times New Roman" w:hAnsi="Times New Roman" w:cs="Times New Roman"/>
          <w:kern w:val="0"/>
          <w:lang w:val="es-ES"/>
          <w14:ligatures w14:val="none"/>
        </w:rPr>
        <w:t>a</w:t>
      </w:r>
      <w:r w:rsidRPr="009257E7">
        <w:rPr>
          <w:rFonts w:ascii="Times New Roman" w:eastAsia="Times New Roman" w:hAnsi="Times New Roman" w:cs="Times New Roman"/>
          <w:kern w:val="0"/>
          <w:lang w:val="es-ES"/>
          <w14:ligatures w14:val="none"/>
        </w:rPr>
        <w:t xml:space="preserve"> largo plazo. Las capas adicionales </w:t>
      </w:r>
      <w:r w:rsidR="004A3C38" w:rsidRPr="009257E7">
        <w:rPr>
          <w:rFonts w:ascii="Times New Roman" w:eastAsia="Times New Roman" w:hAnsi="Times New Roman" w:cs="Times New Roman"/>
          <w:kern w:val="0"/>
          <w:lang w:val="es-ES"/>
          <w14:ligatures w14:val="none"/>
        </w:rPr>
        <w:t>consisten e</w:t>
      </w:r>
      <w:r w:rsidRPr="009257E7">
        <w:rPr>
          <w:rFonts w:ascii="Times New Roman" w:eastAsia="Times New Roman" w:hAnsi="Times New Roman" w:cs="Times New Roman"/>
          <w:kern w:val="0"/>
          <w:lang w:val="es-ES"/>
          <w14:ligatures w14:val="none"/>
        </w:rPr>
        <w:t>n construir poder y desplazar las comprensiones culturales o dominantes del problema y, por ende, de las mejores soluciones. La abogacía por soluciones técnicas o reformistas puede y debe ofrecer oportunidades para la abogacía de segunda y tercera capa.</w:t>
      </w:r>
    </w:p>
    <w:p w14:paraId="7C5E8193" w14:textId="46732922" w:rsidR="001D4F1C" w:rsidRPr="009257E7" w:rsidRDefault="001D4F1C" w:rsidP="004A3C38">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No por c</w:t>
      </w:r>
      <w:r w:rsidR="004A3C38" w:rsidRPr="009257E7">
        <w:rPr>
          <w:rFonts w:ascii="Times New Roman" w:eastAsia="Times New Roman" w:hAnsi="Times New Roman" w:cs="Times New Roman"/>
          <w:kern w:val="0"/>
          <w:lang w:val="es-ES"/>
          <w14:ligatures w14:val="none"/>
        </w:rPr>
        <w:t>asualidad</w:t>
      </w:r>
      <w:r w:rsidRPr="009257E7">
        <w:rPr>
          <w:rFonts w:ascii="Times New Roman" w:eastAsia="Times New Roman" w:hAnsi="Times New Roman" w:cs="Times New Roman"/>
          <w:kern w:val="0"/>
          <w:lang w:val="es-ES"/>
          <w14:ligatures w14:val="none"/>
        </w:rPr>
        <w:t xml:space="preserve">, este marco de tres capas refleja las acciones organizadas de las élites para mantener el control desde arriba y la justicia por goteo. Las élites escriben y reescriben las premisas, los conceptos fundacionales y las reglas básicas del sistema para preservar jerarquías basadas en la identidad. Como resultado, las desigualdades de poder basadas en grupos ya están “incrustadas” en los mecanismos de toma de decisiones, incluidas la democracia y la adjudicación. En consecuencia, las élites organizadas ganan una y otra vez, a través de asuntos y </w:t>
      </w:r>
      <w:r w:rsidR="002C6BB1" w:rsidRPr="009257E7">
        <w:rPr>
          <w:rFonts w:ascii="Times New Roman" w:eastAsia="Times New Roman" w:hAnsi="Times New Roman" w:cs="Times New Roman"/>
          <w:kern w:val="0"/>
          <w:lang w:val="es-ES"/>
          <w14:ligatures w14:val="none"/>
        </w:rPr>
        <w:t xml:space="preserve">de </w:t>
      </w:r>
      <w:r w:rsidRPr="009257E7">
        <w:rPr>
          <w:rFonts w:ascii="Times New Roman" w:eastAsia="Times New Roman" w:hAnsi="Times New Roman" w:cs="Times New Roman"/>
          <w:kern w:val="0"/>
          <w:lang w:val="es-ES"/>
          <w14:ligatures w14:val="none"/>
        </w:rPr>
        <w:t>generaciones.</w:t>
      </w:r>
    </w:p>
    <w:p w14:paraId="509DD338" w14:textId="155B14CA" w:rsidR="001D4F1C" w:rsidRPr="009257E7" w:rsidRDefault="001D4F1C" w:rsidP="002C6BB1">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 xml:space="preserve">Les abogades sistémiques deben comprender —y pueden aprender lecciones valiosas de— la forma en que las élites </w:t>
      </w:r>
      <w:r w:rsidR="00EF3773" w:rsidRPr="009257E7">
        <w:rPr>
          <w:rFonts w:ascii="Times New Roman" w:eastAsia="Times New Roman" w:hAnsi="Times New Roman" w:cs="Times New Roman"/>
          <w:kern w:val="0"/>
          <w:lang w:val="es-ES"/>
          <w14:ligatures w14:val="none"/>
        </w:rPr>
        <w:t xml:space="preserve">operan </w:t>
      </w:r>
      <w:r w:rsidRPr="009257E7">
        <w:rPr>
          <w:rFonts w:ascii="Times New Roman" w:eastAsia="Times New Roman" w:hAnsi="Times New Roman" w:cs="Times New Roman"/>
          <w:kern w:val="0"/>
          <w:lang w:val="es-ES"/>
          <w14:ligatures w14:val="none"/>
        </w:rPr>
        <w:t>para empoderarse colectivamente. Les abogades sistémiques adaptan estos medios para contrarrestar la injusticia sistémica y ayudar a los grupos a empoderarse. Aplicar estas lecciones permite que les abogades abran ventanas de oportunidad para invertir los guiones sistémicos.</w:t>
      </w:r>
      <w:r w:rsidR="002C6BB1" w:rsidRPr="009257E7">
        <w:rPr>
          <w:rFonts w:ascii="Times New Roman" w:eastAsia="Times New Roman" w:hAnsi="Times New Roman" w:cs="Times New Roman"/>
          <w:kern w:val="0"/>
          <w:lang w:val="es-ES"/>
          <w14:ligatures w14:val="none"/>
        </w:rPr>
        <w:t xml:space="preserve"> </w:t>
      </w:r>
      <w:r w:rsidR="00EF3773" w:rsidRPr="009257E7">
        <w:rPr>
          <w:rFonts w:ascii="Times New Roman" w:eastAsia="Times New Roman" w:hAnsi="Times New Roman" w:cs="Times New Roman"/>
          <w:kern w:val="0"/>
          <w:lang w:val="es-ES"/>
          <w14:ligatures w14:val="none"/>
        </w:rPr>
        <w:t xml:space="preserve"> </w:t>
      </w:r>
    </w:p>
    <w:p w14:paraId="51BCFE0F" w14:textId="2F1A1100" w:rsidR="001D4F1C" w:rsidRPr="009257E7" w:rsidRDefault="001D4F1C" w:rsidP="00EF3773">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Al convertir estas perspectivas en conocimiento</w:t>
      </w:r>
      <w:r w:rsidR="001A3A6E" w:rsidRPr="009257E7">
        <w:rPr>
          <w:rFonts w:ascii="Times New Roman" w:eastAsia="Times New Roman" w:hAnsi="Times New Roman" w:cs="Times New Roman"/>
          <w:kern w:val="0"/>
          <w:lang w:val="es-ES"/>
          <w14:ligatures w14:val="none"/>
        </w:rPr>
        <w:t>s</w:t>
      </w:r>
      <w:r w:rsidRPr="009257E7">
        <w:rPr>
          <w:rFonts w:ascii="Times New Roman" w:eastAsia="Times New Roman" w:hAnsi="Times New Roman" w:cs="Times New Roman"/>
          <w:kern w:val="0"/>
          <w:lang w:val="es-ES"/>
          <w14:ligatures w14:val="none"/>
        </w:rPr>
        <w:t xml:space="preserve"> </w:t>
      </w:r>
      <w:r w:rsidR="001A3A6E" w:rsidRPr="009257E7">
        <w:rPr>
          <w:rFonts w:ascii="Times New Roman" w:eastAsia="Times New Roman" w:hAnsi="Times New Roman" w:cs="Times New Roman"/>
          <w:kern w:val="0"/>
          <w:lang w:val="es-ES"/>
          <w14:ligatures w14:val="none"/>
        </w:rPr>
        <w:t>prácticos</w:t>
      </w:r>
      <w:r w:rsidRPr="009257E7">
        <w:rPr>
          <w:rFonts w:ascii="Times New Roman" w:eastAsia="Times New Roman" w:hAnsi="Times New Roman" w:cs="Times New Roman"/>
          <w:kern w:val="0"/>
          <w:lang w:val="es-ES"/>
          <w14:ligatures w14:val="none"/>
        </w:rPr>
        <w:t>, les abogades sistémiques construyen poder para y con los grupos subordinados de tres maneras principales:</w:t>
      </w:r>
    </w:p>
    <w:p w14:paraId="5A6B62CF" w14:textId="776CF153" w:rsidR="001D4F1C" w:rsidRPr="009257E7" w:rsidRDefault="001D4F1C" w:rsidP="001D4F1C">
      <w:pPr>
        <w:numPr>
          <w:ilvl w:val="0"/>
          <w:numId w:val="6"/>
        </w:numPr>
        <w:spacing w:before="100" w:beforeAutospacing="1" w:after="100" w:afterAutospacing="1" w:line="240" w:lineRule="auto"/>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desaprend</w:t>
      </w:r>
      <w:r w:rsidR="00632205" w:rsidRPr="009257E7">
        <w:rPr>
          <w:rFonts w:ascii="Times New Roman" w:eastAsia="Times New Roman" w:hAnsi="Times New Roman" w:cs="Times New Roman"/>
          <w:kern w:val="0"/>
          <w:lang w:val="es-ES"/>
          <w14:ligatures w14:val="none"/>
        </w:rPr>
        <w:t>er</w:t>
      </w:r>
      <w:r w:rsidRPr="009257E7">
        <w:rPr>
          <w:rFonts w:ascii="Times New Roman" w:eastAsia="Times New Roman" w:hAnsi="Times New Roman" w:cs="Times New Roman"/>
          <w:kern w:val="0"/>
          <w:lang w:val="es-ES"/>
          <w14:ligatures w14:val="none"/>
        </w:rPr>
        <w:t xml:space="preserve"> mitos sobre la toma de decisiones mediante la democracia y la adjudicación, y reaprend</w:t>
      </w:r>
      <w:r w:rsidR="00632205" w:rsidRPr="009257E7">
        <w:rPr>
          <w:rFonts w:ascii="Times New Roman" w:eastAsia="Times New Roman" w:hAnsi="Times New Roman" w:cs="Times New Roman"/>
          <w:kern w:val="0"/>
          <w:lang w:val="es-ES"/>
          <w14:ligatures w14:val="none"/>
        </w:rPr>
        <w:t>er</w:t>
      </w:r>
      <w:r w:rsidRPr="009257E7">
        <w:rPr>
          <w:rFonts w:ascii="Times New Roman" w:eastAsia="Times New Roman" w:hAnsi="Times New Roman" w:cs="Times New Roman"/>
          <w:kern w:val="0"/>
          <w:lang w:val="es-ES"/>
          <w14:ligatures w14:val="none"/>
        </w:rPr>
        <w:t xml:space="preserve"> —y comparti</w:t>
      </w:r>
      <w:r w:rsidR="00632205" w:rsidRPr="009257E7">
        <w:rPr>
          <w:rFonts w:ascii="Times New Roman" w:eastAsia="Times New Roman" w:hAnsi="Times New Roman" w:cs="Times New Roman"/>
          <w:kern w:val="0"/>
          <w:lang w:val="es-ES"/>
          <w14:ligatures w14:val="none"/>
        </w:rPr>
        <w:t>r</w:t>
      </w:r>
      <w:r w:rsidRPr="009257E7">
        <w:rPr>
          <w:rFonts w:ascii="Times New Roman" w:eastAsia="Times New Roman" w:hAnsi="Times New Roman" w:cs="Times New Roman"/>
          <w:kern w:val="0"/>
          <w:lang w:val="es-ES"/>
          <w14:ligatures w14:val="none"/>
        </w:rPr>
        <w:t>— visiones críticas y complejas sobre cómo las élites u</w:t>
      </w:r>
      <w:r w:rsidR="008E29FE" w:rsidRPr="009257E7">
        <w:rPr>
          <w:rFonts w:ascii="Times New Roman" w:eastAsia="Times New Roman" w:hAnsi="Times New Roman" w:cs="Times New Roman"/>
          <w:kern w:val="0"/>
          <w:lang w:val="es-ES"/>
          <w14:ligatures w14:val="none"/>
        </w:rPr>
        <w:t>tiliza</w:t>
      </w:r>
      <w:r w:rsidRPr="009257E7">
        <w:rPr>
          <w:rFonts w:ascii="Times New Roman" w:eastAsia="Times New Roman" w:hAnsi="Times New Roman" w:cs="Times New Roman"/>
          <w:kern w:val="0"/>
          <w:lang w:val="es-ES"/>
          <w14:ligatures w14:val="none"/>
        </w:rPr>
        <w:t>n la adjudicación y la democracia en conjunto para bloquear el progreso;</w:t>
      </w:r>
    </w:p>
    <w:p w14:paraId="64BA8579" w14:textId="3D44DBDA" w:rsidR="001D4F1C" w:rsidRPr="009257E7" w:rsidRDefault="001D4F1C" w:rsidP="001D4F1C">
      <w:pPr>
        <w:numPr>
          <w:ilvl w:val="0"/>
          <w:numId w:val="6"/>
        </w:numPr>
        <w:spacing w:before="100" w:beforeAutospacing="1" w:after="100" w:afterAutospacing="1" w:line="240" w:lineRule="auto"/>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lastRenderedPageBreak/>
        <w:t>fortalec</w:t>
      </w:r>
      <w:r w:rsidR="00632205" w:rsidRPr="009257E7">
        <w:rPr>
          <w:rFonts w:ascii="Times New Roman" w:eastAsia="Times New Roman" w:hAnsi="Times New Roman" w:cs="Times New Roman"/>
          <w:kern w:val="0"/>
          <w:lang w:val="es-ES"/>
          <w14:ligatures w14:val="none"/>
        </w:rPr>
        <w:t>er</w:t>
      </w:r>
      <w:r w:rsidRPr="009257E7">
        <w:rPr>
          <w:rFonts w:ascii="Times New Roman" w:eastAsia="Times New Roman" w:hAnsi="Times New Roman" w:cs="Times New Roman"/>
          <w:kern w:val="0"/>
          <w:lang w:val="es-ES"/>
          <w14:ligatures w14:val="none"/>
        </w:rPr>
        <w:t xml:space="preserve"> el poder de maneras específicas, medibles y concretas en grupos organizados de comunidades subordinadas como parte rutinaria de la abogacía; y</w:t>
      </w:r>
    </w:p>
    <w:p w14:paraId="629F70D6" w14:textId="56FCF326" w:rsidR="001D4F1C" w:rsidRPr="009257E7" w:rsidRDefault="001D4F1C" w:rsidP="001D4F1C">
      <w:pPr>
        <w:numPr>
          <w:ilvl w:val="0"/>
          <w:numId w:val="6"/>
        </w:numPr>
        <w:spacing w:before="100" w:beforeAutospacing="1" w:after="100" w:afterAutospacing="1" w:line="240" w:lineRule="auto"/>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desafia</w:t>
      </w:r>
      <w:r w:rsidR="00632205" w:rsidRPr="009257E7">
        <w:rPr>
          <w:rFonts w:ascii="Times New Roman" w:eastAsia="Times New Roman" w:hAnsi="Times New Roman" w:cs="Times New Roman"/>
          <w:kern w:val="0"/>
          <w:lang w:val="es-ES"/>
          <w14:ligatures w14:val="none"/>
        </w:rPr>
        <w:t>r</w:t>
      </w:r>
      <w:r w:rsidRPr="009257E7">
        <w:rPr>
          <w:rFonts w:ascii="Times New Roman" w:eastAsia="Times New Roman" w:hAnsi="Times New Roman" w:cs="Times New Roman"/>
          <w:kern w:val="0"/>
          <w:lang w:val="es-ES"/>
          <w14:ligatures w14:val="none"/>
        </w:rPr>
        <w:t xml:space="preserve"> las premisas de fondo, los conceptos fundacionales y las “reglas del juego” de la democracia y la adjudicación para crear un campo de juego nivelado para la toma de decisiones y, así, superar los bloqueos elitistas al progreso.</w:t>
      </w:r>
    </w:p>
    <w:p w14:paraId="6C8B1A65" w14:textId="17DB86FD" w:rsidR="001D4F1C" w:rsidRPr="009257E7" w:rsidRDefault="001D4F1C" w:rsidP="008E5445">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 xml:space="preserve">Les abogades realizan este trabajo dentro y más allá de los límites establecidos por el Estado de derecho como sistema. Al </w:t>
      </w:r>
      <w:r w:rsidR="00EF5841" w:rsidRPr="009257E7">
        <w:rPr>
          <w:rFonts w:ascii="Times New Roman" w:eastAsia="Times New Roman" w:hAnsi="Times New Roman" w:cs="Times New Roman"/>
          <w:kern w:val="0"/>
          <w:lang w:val="es-ES"/>
          <w14:ligatures w14:val="none"/>
        </w:rPr>
        <w:t>aplic</w:t>
      </w:r>
      <w:r w:rsidRPr="009257E7">
        <w:rPr>
          <w:rFonts w:ascii="Times New Roman" w:eastAsia="Times New Roman" w:hAnsi="Times New Roman" w:cs="Times New Roman"/>
          <w:kern w:val="0"/>
          <w:lang w:val="es-ES"/>
          <w14:ligatures w14:val="none"/>
        </w:rPr>
        <w:t xml:space="preserve">ar el conocimiento crítico de </w:t>
      </w:r>
      <w:r w:rsidR="00EF5841" w:rsidRPr="009257E7">
        <w:rPr>
          <w:rFonts w:ascii="Times New Roman" w:eastAsia="Times New Roman" w:hAnsi="Times New Roman" w:cs="Times New Roman"/>
          <w:kern w:val="0"/>
          <w:lang w:val="es-ES"/>
          <w14:ligatures w14:val="none"/>
        </w:rPr>
        <w:t>maner</w:t>
      </w:r>
      <w:r w:rsidRPr="009257E7">
        <w:rPr>
          <w:rFonts w:ascii="Times New Roman" w:eastAsia="Times New Roman" w:hAnsi="Times New Roman" w:cs="Times New Roman"/>
          <w:kern w:val="0"/>
          <w:lang w:val="es-ES"/>
          <w14:ligatures w14:val="none"/>
        </w:rPr>
        <w:t>a creativa y pragmática, combinan estrategias y acciones para responder a contextos fluidos y complejos. Con el tiempo, aprenden el sistema, lo cual</w:t>
      </w:r>
      <w:r w:rsidR="00EF5841" w:rsidRPr="009257E7">
        <w:rPr>
          <w:rFonts w:ascii="Times New Roman" w:eastAsia="Times New Roman" w:hAnsi="Times New Roman" w:cs="Times New Roman"/>
          <w:kern w:val="0"/>
          <w:lang w:val="es-ES"/>
          <w14:ligatures w14:val="none"/>
        </w:rPr>
        <w:t>,</w:t>
      </w:r>
      <w:r w:rsidRPr="009257E7">
        <w:rPr>
          <w:rFonts w:ascii="Times New Roman" w:eastAsia="Times New Roman" w:hAnsi="Times New Roman" w:cs="Times New Roman"/>
          <w:kern w:val="0"/>
          <w:lang w:val="es-ES"/>
          <w14:ligatures w14:val="none"/>
        </w:rPr>
        <w:t xml:space="preserve"> en sí mismo</w:t>
      </w:r>
      <w:r w:rsidR="00EF5841" w:rsidRPr="009257E7">
        <w:rPr>
          <w:rFonts w:ascii="Times New Roman" w:eastAsia="Times New Roman" w:hAnsi="Times New Roman" w:cs="Times New Roman"/>
          <w:kern w:val="0"/>
          <w:lang w:val="es-ES"/>
          <w14:ligatures w14:val="none"/>
        </w:rPr>
        <w:t>, es</w:t>
      </w:r>
      <w:r w:rsidRPr="009257E7">
        <w:rPr>
          <w:rFonts w:ascii="Times New Roman" w:eastAsia="Times New Roman" w:hAnsi="Times New Roman" w:cs="Times New Roman"/>
          <w:kern w:val="0"/>
          <w:lang w:val="es-ES"/>
          <w14:ligatures w14:val="none"/>
        </w:rPr>
        <w:t xml:space="preserve"> una forma de poder para </w:t>
      </w:r>
      <w:r w:rsidR="008E5445" w:rsidRPr="009257E7">
        <w:rPr>
          <w:rFonts w:ascii="Times New Roman" w:eastAsia="Times New Roman" w:hAnsi="Times New Roman" w:cs="Times New Roman"/>
          <w:kern w:val="0"/>
          <w:lang w:val="es-ES"/>
          <w14:ligatures w14:val="none"/>
        </w:rPr>
        <w:t>obtene</w:t>
      </w:r>
      <w:r w:rsidRPr="009257E7">
        <w:rPr>
          <w:rFonts w:ascii="Times New Roman" w:eastAsia="Times New Roman" w:hAnsi="Times New Roman" w:cs="Times New Roman"/>
          <w:kern w:val="0"/>
          <w:lang w:val="es-ES"/>
          <w14:ligatures w14:val="none"/>
        </w:rPr>
        <w:t>r resultados reales.</w:t>
      </w:r>
    </w:p>
    <w:p w14:paraId="7C62D405" w14:textId="77777777" w:rsidR="00114114" w:rsidRPr="009257E7" w:rsidRDefault="008F5B70" w:rsidP="008F5B70">
      <w:pPr>
        <w:spacing w:before="100" w:beforeAutospacing="1" w:after="100" w:afterAutospacing="1" w:line="240" w:lineRule="auto"/>
        <w:rPr>
          <w:rFonts w:ascii="Times New Roman" w:eastAsia="Times New Roman" w:hAnsi="Times New Roman" w:cs="Times New Roman"/>
          <w:b/>
          <w:bCs/>
          <w:kern w:val="0"/>
          <w:lang w:val="es-ES"/>
          <w14:ligatures w14:val="none"/>
        </w:rPr>
      </w:pPr>
      <w:r w:rsidRPr="009257E7">
        <w:rPr>
          <w:rFonts w:ascii="Times New Roman" w:eastAsia="Times New Roman" w:hAnsi="Times New Roman" w:cs="Times New Roman"/>
          <w:b/>
          <w:bCs/>
          <w:kern w:val="0"/>
          <w:lang w:val="es-ES"/>
          <w14:ligatures w14:val="none"/>
        </w:rPr>
        <w:t>5.1 Les abogades apoyan a grupos organizados como “participantes recurrentes” para disputar premisas de fondo, reglas básicas y conceptos fundacionales</w:t>
      </w:r>
    </w:p>
    <w:p w14:paraId="52833CCC" w14:textId="5ADEA450" w:rsidR="00114114" w:rsidRPr="009257E7" w:rsidRDefault="00114114" w:rsidP="00981C2A">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Incontables abogades alrededor del mundo realizan el trabajo cotidiano de ayudar a individuos con asuntos de familia, vivienda, empleo, inmigración, beneficios gubernamentales, educación, atención médica y otras preocupaciones. Esta abogacía cotidiana</w:t>
      </w:r>
      <w:r w:rsidR="007B5621" w:rsidRPr="009257E7">
        <w:rPr>
          <w:rFonts w:ascii="Times New Roman" w:eastAsia="Times New Roman" w:hAnsi="Times New Roman" w:cs="Times New Roman"/>
          <w:kern w:val="0"/>
          <w:lang w:val="es-ES"/>
          <w14:ligatures w14:val="none"/>
        </w:rPr>
        <w:t>,</w:t>
      </w:r>
      <w:r w:rsidRPr="009257E7">
        <w:rPr>
          <w:rFonts w:ascii="Times New Roman" w:eastAsia="Times New Roman" w:hAnsi="Times New Roman" w:cs="Times New Roman"/>
          <w:kern w:val="0"/>
          <w:lang w:val="es-ES"/>
          <w14:ligatures w14:val="none"/>
        </w:rPr>
        <w:t xml:space="preserve"> realizada por individuos</w:t>
      </w:r>
      <w:r w:rsidR="007B5621" w:rsidRPr="009257E7">
        <w:rPr>
          <w:rFonts w:ascii="Times New Roman" w:eastAsia="Times New Roman" w:hAnsi="Times New Roman" w:cs="Times New Roman"/>
          <w:kern w:val="0"/>
          <w:lang w:val="es-ES"/>
          <w14:ligatures w14:val="none"/>
        </w:rPr>
        <w:t>,</w:t>
      </w:r>
      <w:r w:rsidRPr="009257E7">
        <w:rPr>
          <w:rFonts w:ascii="Times New Roman" w:eastAsia="Times New Roman" w:hAnsi="Times New Roman" w:cs="Times New Roman"/>
          <w:kern w:val="0"/>
          <w:lang w:val="es-ES"/>
          <w14:ligatures w14:val="none"/>
        </w:rPr>
        <w:t xml:space="preserve"> </w:t>
      </w:r>
      <w:r w:rsidR="007B5621" w:rsidRPr="009257E7">
        <w:rPr>
          <w:rFonts w:ascii="Times New Roman" w:eastAsia="Times New Roman" w:hAnsi="Times New Roman" w:cs="Times New Roman"/>
          <w:kern w:val="0"/>
          <w:lang w:val="es-ES"/>
          <w14:ligatures w14:val="none"/>
        </w:rPr>
        <w:t>se desarrolla</w:t>
      </w:r>
      <w:r w:rsidRPr="009257E7">
        <w:rPr>
          <w:rFonts w:ascii="Times New Roman" w:eastAsia="Times New Roman" w:hAnsi="Times New Roman" w:cs="Times New Roman"/>
          <w:kern w:val="0"/>
          <w:lang w:val="es-ES"/>
          <w14:ligatures w14:val="none"/>
        </w:rPr>
        <w:t xml:space="preserve"> en una variedad de espacios de práctica: bufetes privados pequeños, oficinas de servicios jurídicos, programas </w:t>
      </w:r>
      <w:proofErr w:type="gramStart"/>
      <w:r w:rsidRPr="009257E7">
        <w:rPr>
          <w:rFonts w:ascii="Times New Roman" w:eastAsia="Times New Roman" w:hAnsi="Times New Roman" w:cs="Times New Roman"/>
          <w:i/>
          <w:iCs/>
          <w:kern w:val="0"/>
          <w:lang w:val="es-ES"/>
          <w14:ligatures w14:val="none"/>
        </w:rPr>
        <w:t>pro bono</w:t>
      </w:r>
      <w:proofErr w:type="gramEnd"/>
      <w:r w:rsidRPr="009257E7">
        <w:rPr>
          <w:rFonts w:ascii="Times New Roman" w:eastAsia="Times New Roman" w:hAnsi="Times New Roman" w:cs="Times New Roman"/>
          <w:kern w:val="0"/>
          <w:lang w:val="es-ES"/>
          <w14:ligatures w14:val="none"/>
        </w:rPr>
        <w:t xml:space="preserve">, </w:t>
      </w:r>
      <w:proofErr w:type="gramStart"/>
      <w:r w:rsidRPr="009257E7">
        <w:rPr>
          <w:rFonts w:ascii="Times New Roman" w:eastAsia="Times New Roman" w:hAnsi="Times New Roman" w:cs="Times New Roman"/>
          <w:kern w:val="0"/>
          <w:lang w:val="es-ES"/>
          <w14:ligatures w14:val="none"/>
        </w:rPr>
        <w:t>clínicas jurídicas y departamentos jurídicos</w:t>
      </w:r>
      <w:proofErr w:type="gramEnd"/>
      <w:r w:rsidRPr="009257E7">
        <w:rPr>
          <w:rFonts w:ascii="Times New Roman" w:eastAsia="Times New Roman" w:hAnsi="Times New Roman" w:cs="Times New Roman"/>
          <w:kern w:val="0"/>
          <w:lang w:val="es-ES"/>
          <w14:ligatures w14:val="none"/>
        </w:rPr>
        <w:t xml:space="preserve"> de grupos laborales y comunitarios. Sus perspectivas pueden convertirse en “combustible para la acción política o la reforma”, según Gary Bellow</w:t>
      </w:r>
      <w:r w:rsidR="000575D3" w:rsidRPr="009257E7">
        <w:rPr>
          <w:rStyle w:val="FootnoteReference"/>
          <w:rFonts w:ascii="Times New Roman" w:eastAsia="Times New Roman" w:hAnsi="Times New Roman" w:cs="Times New Roman"/>
          <w:kern w:val="0"/>
          <w:lang w:val="es-ES"/>
          <w14:ligatures w14:val="none"/>
        </w:rPr>
        <w:footnoteReference w:id="176"/>
      </w:r>
      <w:r w:rsidRPr="009257E7">
        <w:rPr>
          <w:rFonts w:ascii="Times New Roman" w:eastAsia="Times New Roman" w:hAnsi="Times New Roman" w:cs="Times New Roman"/>
          <w:kern w:val="0"/>
          <w:lang w:val="es-ES"/>
          <w14:ligatures w14:val="none"/>
        </w:rPr>
        <w:t>, académico del derecho y líder veterano de servicios jurídicos. Les abogades que enfrentan problemas diarios junto con sus clientes —incluso de forma individua</w:t>
      </w:r>
      <w:r w:rsidR="000575D3" w:rsidRPr="009257E7">
        <w:rPr>
          <w:rFonts w:ascii="Times New Roman" w:eastAsia="Times New Roman" w:hAnsi="Times New Roman" w:cs="Times New Roman"/>
          <w:kern w:val="0"/>
          <w:lang w:val="es-ES"/>
          <w14:ligatures w14:val="none"/>
        </w:rPr>
        <w:t>l</w:t>
      </w:r>
      <w:r w:rsidRPr="009257E7">
        <w:rPr>
          <w:rFonts w:ascii="Times New Roman" w:eastAsia="Times New Roman" w:hAnsi="Times New Roman" w:cs="Times New Roman"/>
          <w:kern w:val="0"/>
          <w:lang w:val="es-ES"/>
          <w14:ligatures w14:val="none"/>
        </w:rPr>
        <w:t xml:space="preserve"> dentro de los límites de la abogacía tradicional— a menudo reconocen que el sistema jurídico no </w:t>
      </w:r>
      <w:r w:rsidR="00887AC9" w:rsidRPr="009257E7">
        <w:rPr>
          <w:rFonts w:ascii="Times New Roman" w:eastAsia="Times New Roman" w:hAnsi="Times New Roman" w:cs="Times New Roman"/>
          <w:kern w:val="0"/>
          <w:lang w:val="es-ES"/>
          <w14:ligatures w14:val="none"/>
        </w:rPr>
        <w:t>p</w:t>
      </w:r>
      <w:r w:rsidR="005C460B" w:rsidRPr="009257E7">
        <w:rPr>
          <w:rFonts w:ascii="Times New Roman" w:eastAsia="Times New Roman" w:hAnsi="Times New Roman" w:cs="Times New Roman"/>
          <w:kern w:val="0"/>
          <w:lang w:val="es-ES"/>
          <w14:ligatures w14:val="none"/>
        </w:rPr>
        <w:t>rovee</w:t>
      </w:r>
      <w:r w:rsidRPr="009257E7">
        <w:rPr>
          <w:rFonts w:ascii="Times New Roman" w:eastAsia="Times New Roman" w:hAnsi="Times New Roman" w:cs="Times New Roman"/>
          <w:kern w:val="0"/>
          <w:lang w:val="es-ES"/>
          <w14:ligatures w14:val="none"/>
        </w:rPr>
        <w:t xml:space="preserve"> justicia. Les abogades en la primera línea ven patrones de resultados que privilegian a otros grupos favorecidos y desfavorecen a clientes de comunidades de color u otros grupos subordinados. Este trabajo constante es esencial para la mejora </w:t>
      </w:r>
      <w:r w:rsidR="005C460B" w:rsidRPr="009257E7">
        <w:rPr>
          <w:rFonts w:ascii="Times New Roman" w:eastAsia="Times New Roman" w:hAnsi="Times New Roman" w:cs="Times New Roman"/>
          <w:kern w:val="0"/>
          <w:lang w:val="es-ES"/>
          <w14:ligatures w14:val="none"/>
        </w:rPr>
        <w:t>a</w:t>
      </w:r>
      <w:r w:rsidRPr="009257E7">
        <w:rPr>
          <w:rFonts w:ascii="Times New Roman" w:eastAsia="Times New Roman" w:hAnsi="Times New Roman" w:cs="Times New Roman"/>
          <w:kern w:val="0"/>
          <w:lang w:val="es-ES"/>
          <w14:ligatures w14:val="none"/>
        </w:rPr>
        <w:t xml:space="preserve"> corto plazo de la miseria social y como andamiaje para los esfuerzos de transformación sistémica.</w:t>
      </w:r>
    </w:p>
    <w:p w14:paraId="0FC04CC8" w14:textId="6F13E8C5" w:rsidR="00114114" w:rsidRPr="009257E7" w:rsidRDefault="00114114" w:rsidP="005C460B">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 xml:space="preserve">Como resultado, les abogades sistémiques deben </w:t>
      </w:r>
      <w:r w:rsidR="00BC0F45" w:rsidRPr="009257E7">
        <w:rPr>
          <w:rFonts w:ascii="Times New Roman" w:eastAsia="Times New Roman" w:hAnsi="Times New Roman" w:cs="Times New Roman"/>
          <w:kern w:val="0"/>
          <w:lang w:val="es-ES"/>
          <w14:ligatures w14:val="none"/>
        </w:rPr>
        <w:t>concientizarse</w:t>
      </w:r>
      <w:r w:rsidRPr="009257E7">
        <w:rPr>
          <w:rFonts w:ascii="Times New Roman" w:eastAsia="Times New Roman" w:hAnsi="Times New Roman" w:cs="Times New Roman"/>
          <w:kern w:val="0"/>
          <w:lang w:val="es-ES"/>
          <w14:ligatures w14:val="none"/>
        </w:rPr>
        <w:t xml:space="preserve"> —de forma crítica y autocrítica— </w:t>
      </w:r>
      <w:r w:rsidR="00BC0F45" w:rsidRPr="009257E7">
        <w:rPr>
          <w:rFonts w:ascii="Times New Roman" w:eastAsia="Times New Roman" w:hAnsi="Times New Roman" w:cs="Times New Roman"/>
          <w:kern w:val="0"/>
          <w:lang w:val="es-ES"/>
          <w14:ligatures w14:val="none"/>
        </w:rPr>
        <w:t>sobr</w:t>
      </w:r>
      <w:r w:rsidRPr="009257E7">
        <w:rPr>
          <w:rFonts w:ascii="Times New Roman" w:eastAsia="Times New Roman" w:hAnsi="Times New Roman" w:cs="Times New Roman"/>
          <w:kern w:val="0"/>
          <w:lang w:val="es-ES"/>
          <w14:ligatures w14:val="none"/>
        </w:rPr>
        <w:t xml:space="preserve">e sus bases de clientes y </w:t>
      </w:r>
      <w:r w:rsidR="00BC0F45" w:rsidRPr="009257E7">
        <w:rPr>
          <w:rFonts w:ascii="Times New Roman" w:eastAsia="Times New Roman" w:hAnsi="Times New Roman" w:cs="Times New Roman"/>
          <w:kern w:val="0"/>
          <w:lang w:val="es-ES"/>
          <w14:ligatures w14:val="none"/>
        </w:rPr>
        <w:t xml:space="preserve">de </w:t>
      </w:r>
      <w:r w:rsidRPr="009257E7">
        <w:rPr>
          <w:rFonts w:ascii="Times New Roman" w:eastAsia="Times New Roman" w:hAnsi="Times New Roman" w:cs="Times New Roman"/>
          <w:kern w:val="0"/>
          <w:lang w:val="es-ES"/>
          <w14:ligatures w14:val="none"/>
        </w:rPr>
        <w:t xml:space="preserve">comunidades. Para hacerlo, aprendices y practicantes deben evaluar opciones profesionales con base en “el tono moral general de los caminos que eligen </w:t>
      </w:r>
      <w:r w:rsidR="00583CA9" w:rsidRPr="009257E7">
        <w:rPr>
          <w:rFonts w:ascii="Times New Roman" w:eastAsia="Times New Roman" w:hAnsi="Times New Roman" w:cs="Times New Roman"/>
          <w:kern w:val="0"/>
          <w:lang w:val="es-ES"/>
          <w14:ligatures w14:val="none"/>
        </w:rPr>
        <w:t>en</w:t>
      </w:r>
      <w:r w:rsidRPr="009257E7">
        <w:rPr>
          <w:rFonts w:ascii="Times New Roman" w:eastAsia="Times New Roman" w:hAnsi="Times New Roman" w:cs="Times New Roman"/>
          <w:kern w:val="0"/>
          <w:lang w:val="es-ES"/>
          <w14:ligatures w14:val="none"/>
        </w:rPr>
        <w:t xml:space="preserve"> el derecho”</w:t>
      </w:r>
      <w:r w:rsidR="00583CA9" w:rsidRPr="009257E7">
        <w:rPr>
          <w:rStyle w:val="FootnoteReference"/>
          <w:rFonts w:ascii="Times New Roman" w:eastAsia="Times New Roman" w:hAnsi="Times New Roman" w:cs="Times New Roman"/>
          <w:kern w:val="0"/>
          <w:lang w:val="es-ES"/>
          <w14:ligatures w14:val="none"/>
        </w:rPr>
        <w:footnoteReference w:id="177"/>
      </w:r>
      <w:r w:rsidRPr="009257E7">
        <w:rPr>
          <w:rFonts w:ascii="Times New Roman" w:eastAsia="Times New Roman" w:hAnsi="Times New Roman" w:cs="Times New Roman"/>
          <w:kern w:val="0"/>
          <w:lang w:val="es-ES"/>
          <w14:ligatures w14:val="none"/>
        </w:rPr>
        <w:t>. Susan Carle, académica de ética jurídica, critica el sistema de recompensas en el derecho que privilegia a quienes sirven a las élites. La jerarquía existente de estatus profesional y remuneración beneficia a quienes sirven a corporaciones. A la inversa, el sistema desfavorece a quienes sirven a individuos y familias “ordinarias”. Ella sostiene que les especialistas en ética jurídica, educadores, estudiantes y practicantes deberían dejar de lado las justificaciones supuestamente neutrales de las jerarquías tradicionales de estatus dentro del derecho. En cambio, deberían aspirar a trabajar para ayudar a personas “promedio” y grupos marginados</w:t>
      </w:r>
      <w:r w:rsidR="00301467" w:rsidRPr="009257E7">
        <w:rPr>
          <w:rStyle w:val="FootnoteReference"/>
          <w:rFonts w:ascii="Times New Roman" w:eastAsia="Times New Roman" w:hAnsi="Times New Roman" w:cs="Times New Roman"/>
          <w:kern w:val="0"/>
          <w:lang w:val="es-ES"/>
          <w14:ligatures w14:val="none"/>
        </w:rPr>
        <w:footnoteReference w:id="178"/>
      </w:r>
      <w:r w:rsidRPr="009257E7">
        <w:rPr>
          <w:rFonts w:ascii="Times New Roman" w:eastAsia="Times New Roman" w:hAnsi="Times New Roman" w:cs="Times New Roman"/>
          <w:kern w:val="0"/>
          <w:lang w:val="es-ES"/>
          <w14:ligatures w14:val="none"/>
        </w:rPr>
        <w:t>.</w:t>
      </w:r>
    </w:p>
    <w:p w14:paraId="5F4E52FF" w14:textId="641385F8" w:rsidR="00114114" w:rsidRPr="009257E7" w:rsidRDefault="00114114" w:rsidP="009C5D3F">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lastRenderedPageBreak/>
        <w:t xml:space="preserve">Además, como cuestión de ética crítica </w:t>
      </w:r>
      <w:proofErr w:type="spellStart"/>
      <w:r w:rsidRPr="009257E7">
        <w:rPr>
          <w:rFonts w:ascii="Times New Roman" w:eastAsia="Times New Roman" w:hAnsi="Times New Roman" w:cs="Times New Roman"/>
          <w:kern w:val="0"/>
          <w:lang w:val="es-ES"/>
          <w14:ligatures w14:val="none"/>
        </w:rPr>
        <w:t>antisubordinación</w:t>
      </w:r>
      <w:proofErr w:type="spellEnd"/>
      <w:r w:rsidRPr="009257E7">
        <w:rPr>
          <w:rFonts w:ascii="Times New Roman" w:eastAsia="Times New Roman" w:hAnsi="Times New Roman" w:cs="Times New Roman"/>
          <w:kern w:val="0"/>
          <w:lang w:val="es-ES"/>
          <w14:ligatures w14:val="none"/>
        </w:rPr>
        <w:t>, esta práctica reconoce el gran honor de representar “los intereses de clientes con menos poder frente a los intereses de quienes tienen más poder”</w:t>
      </w:r>
      <w:r w:rsidR="009C5D3F" w:rsidRPr="009257E7">
        <w:rPr>
          <w:rStyle w:val="FootnoteReference"/>
          <w:rFonts w:ascii="Times New Roman" w:eastAsia="Times New Roman" w:hAnsi="Times New Roman" w:cs="Times New Roman"/>
          <w:kern w:val="0"/>
          <w:lang w:val="es-ES"/>
          <w14:ligatures w14:val="none"/>
        </w:rPr>
        <w:footnoteReference w:id="179"/>
      </w:r>
      <w:r w:rsidRPr="009257E7">
        <w:rPr>
          <w:rFonts w:ascii="Times New Roman" w:eastAsia="Times New Roman" w:hAnsi="Times New Roman" w:cs="Times New Roman"/>
          <w:kern w:val="0"/>
          <w:lang w:val="es-ES"/>
          <w14:ligatures w14:val="none"/>
        </w:rPr>
        <w:t xml:space="preserve">. Al invertir la jerarquía de estatus, le abogade de divorcio en un bufete pequeño o le defensore de vivienda en una organización de servicios jurídicos merecería igual o mayor estima y reconocimiento que le abogade de fusiones y adquisiciones en un gran bufete, le docente de derecho o le polítique poderose. Exalumnes, profesorado y administradores de las facultades de derecho lucharían para que los patios y edificios llevaran el nombre, no de donantes ricos, sino de abogades poco reconocides que trabajan año tras año para clientes de ingresos medios y de clase trabajadora. Aunque las decisiones sobre </w:t>
      </w:r>
      <w:r w:rsidR="006849DA" w:rsidRPr="009257E7">
        <w:rPr>
          <w:rFonts w:ascii="Times New Roman" w:eastAsia="Times New Roman" w:hAnsi="Times New Roman" w:cs="Times New Roman"/>
          <w:kern w:val="0"/>
          <w:lang w:val="es-ES"/>
          <w14:ligatures w14:val="none"/>
        </w:rPr>
        <w:t xml:space="preserve">la </w:t>
      </w:r>
      <w:r w:rsidRPr="009257E7">
        <w:rPr>
          <w:rFonts w:ascii="Times New Roman" w:eastAsia="Times New Roman" w:hAnsi="Times New Roman" w:cs="Times New Roman"/>
          <w:kern w:val="0"/>
          <w:lang w:val="es-ES"/>
          <w14:ligatures w14:val="none"/>
        </w:rPr>
        <w:t xml:space="preserve">práctica y </w:t>
      </w:r>
      <w:r w:rsidR="006849DA" w:rsidRPr="009257E7">
        <w:rPr>
          <w:rFonts w:ascii="Times New Roman" w:eastAsia="Times New Roman" w:hAnsi="Times New Roman" w:cs="Times New Roman"/>
          <w:kern w:val="0"/>
          <w:lang w:val="es-ES"/>
          <w14:ligatures w14:val="none"/>
        </w:rPr>
        <w:t xml:space="preserve">los </w:t>
      </w:r>
      <w:r w:rsidRPr="009257E7">
        <w:rPr>
          <w:rFonts w:ascii="Times New Roman" w:eastAsia="Times New Roman" w:hAnsi="Times New Roman" w:cs="Times New Roman"/>
          <w:kern w:val="0"/>
          <w:lang w:val="es-ES"/>
          <w14:ligatures w14:val="none"/>
        </w:rPr>
        <w:t xml:space="preserve">clientes pueden estar restringidas para la mayoría de les abogades, considérese cómo la atención cuidadosa a las bases de clientes puede </w:t>
      </w:r>
      <w:r w:rsidR="006849DA" w:rsidRPr="009257E7">
        <w:rPr>
          <w:rFonts w:ascii="Times New Roman" w:eastAsia="Times New Roman" w:hAnsi="Times New Roman" w:cs="Times New Roman"/>
          <w:kern w:val="0"/>
          <w:lang w:val="es-ES"/>
          <w14:ligatures w14:val="none"/>
        </w:rPr>
        <w:t>transform</w:t>
      </w:r>
      <w:r w:rsidRPr="009257E7">
        <w:rPr>
          <w:rFonts w:ascii="Times New Roman" w:eastAsia="Times New Roman" w:hAnsi="Times New Roman" w:cs="Times New Roman"/>
          <w:kern w:val="0"/>
          <w:lang w:val="es-ES"/>
          <w14:ligatures w14:val="none"/>
        </w:rPr>
        <w:t>ar una práctica jurídica o un proyecto específico de abogacía sistémica. La autoconciencia deliberada sobre las bases de clientes —y sobre su influencia en proyectos y carreras— permite a le abogade evaluar opciones de forma crítica.</w:t>
      </w:r>
    </w:p>
    <w:p w14:paraId="5AD2DF45" w14:textId="7E88CC12" w:rsidR="00114114" w:rsidRPr="009257E7" w:rsidRDefault="00114114" w:rsidP="003A2D35">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 xml:space="preserve">Priorizar la abogacía que sirve a individuos “promedio” y promueve sus intereses es una parte clave </w:t>
      </w:r>
      <w:r w:rsidR="003A2D35" w:rsidRPr="009257E7">
        <w:rPr>
          <w:rFonts w:ascii="Times New Roman" w:eastAsia="Times New Roman" w:hAnsi="Times New Roman" w:cs="Times New Roman"/>
          <w:kern w:val="0"/>
          <w:lang w:val="es-ES"/>
          <w14:ligatures w14:val="none"/>
        </w:rPr>
        <w:t>para</w:t>
      </w:r>
      <w:r w:rsidRPr="009257E7">
        <w:rPr>
          <w:rFonts w:ascii="Times New Roman" w:eastAsia="Times New Roman" w:hAnsi="Times New Roman" w:cs="Times New Roman"/>
          <w:kern w:val="0"/>
          <w:lang w:val="es-ES"/>
          <w14:ligatures w14:val="none"/>
        </w:rPr>
        <w:t xml:space="preserve"> perforar las vendas y resistir las esposas de la profesión jurídica. Estas vendas y esposas convierten la práctica del derecho, de una profesión distinta diseñada para salvaguardar la justicia igualitaria, en una industria que sirve a intereses elitistas como cualquier otra, según desarrolla el capítulo 3. Priorizar el trabajo en favor de </w:t>
      </w:r>
      <w:r w:rsidR="00023819" w:rsidRPr="009257E7">
        <w:rPr>
          <w:rFonts w:ascii="Times New Roman" w:eastAsia="Times New Roman" w:hAnsi="Times New Roman" w:cs="Times New Roman"/>
          <w:kern w:val="0"/>
          <w:lang w:val="es-ES"/>
          <w14:ligatures w14:val="none"/>
        </w:rPr>
        <w:t xml:space="preserve">las </w:t>
      </w:r>
      <w:r w:rsidRPr="009257E7">
        <w:rPr>
          <w:rFonts w:ascii="Times New Roman" w:eastAsia="Times New Roman" w:hAnsi="Times New Roman" w:cs="Times New Roman"/>
          <w:kern w:val="0"/>
          <w:lang w:val="es-ES"/>
          <w14:ligatures w14:val="none"/>
        </w:rPr>
        <w:t xml:space="preserve">personas “promedio” </w:t>
      </w:r>
      <w:r w:rsidR="00023819" w:rsidRPr="009257E7">
        <w:rPr>
          <w:rFonts w:ascii="Times New Roman" w:eastAsia="Times New Roman" w:hAnsi="Times New Roman" w:cs="Times New Roman"/>
          <w:kern w:val="0"/>
          <w:lang w:val="es-ES"/>
          <w14:ligatures w14:val="none"/>
        </w:rPr>
        <w:t>implic</w:t>
      </w:r>
      <w:r w:rsidRPr="009257E7">
        <w:rPr>
          <w:rFonts w:ascii="Times New Roman" w:eastAsia="Times New Roman" w:hAnsi="Times New Roman" w:cs="Times New Roman"/>
          <w:kern w:val="0"/>
          <w:lang w:val="es-ES"/>
          <w14:ligatures w14:val="none"/>
        </w:rPr>
        <w:t xml:space="preserve">a </w:t>
      </w:r>
      <w:r w:rsidR="00023819" w:rsidRPr="009257E7">
        <w:rPr>
          <w:rFonts w:ascii="Times New Roman" w:eastAsia="Times New Roman" w:hAnsi="Times New Roman" w:cs="Times New Roman"/>
          <w:kern w:val="0"/>
          <w:lang w:val="es-ES"/>
          <w14:ligatures w14:val="none"/>
        </w:rPr>
        <w:t xml:space="preserve">distanciarse </w:t>
      </w:r>
      <w:r w:rsidRPr="009257E7">
        <w:rPr>
          <w:rFonts w:ascii="Times New Roman" w:eastAsia="Times New Roman" w:hAnsi="Times New Roman" w:cs="Times New Roman"/>
          <w:kern w:val="0"/>
          <w:lang w:val="es-ES"/>
          <w14:ligatures w14:val="none"/>
        </w:rPr>
        <w:t>significativ</w:t>
      </w:r>
      <w:r w:rsidR="00023819" w:rsidRPr="009257E7">
        <w:rPr>
          <w:rFonts w:ascii="Times New Roman" w:eastAsia="Times New Roman" w:hAnsi="Times New Roman" w:cs="Times New Roman"/>
          <w:kern w:val="0"/>
          <w:lang w:val="es-ES"/>
          <w14:ligatures w14:val="none"/>
        </w:rPr>
        <w:t xml:space="preserve">amente </w:t>
      </w:r>
      <w:r w:rsidRPr="009257E7">
        <w:rPr>
          <w:rFonts w:ascii="Times New Roman" w:eastAsia="Times New Roman" w:hAnsi="Times New Roman" w:cs="Times New Roman"/>
          <w:kern w:val="0"/>
          <w:lang w:val="es-ES"/>
          <w14:ligatures w14:val="none"/>
        </w:rPr>
        <w:t xml:space="preserve">de las restricciones </w:t>
      </w:r>
      <w:r w:rsidR="00992CC4" w:rsidRPr="009257E7">
        <w:rPr>
          <w:rFonts w:ascii="Times New Roman" w:eastAsia="Times New Roman" w:hAnsi="Times New Roman" w:cs="Times New Roman"/>
          <w:kern w:val="0"/>
          <w:lang w:val="es-ES"/>
          <w14:ligatures w14:val="none"/>
        </w:rPr>
        <w:t>impuestas</w:t>
      </w:r>
      <w:r w:rsidRPr="009257E7">
        <w:rPr>
          <w:rFonts w:ascii="Times New Roman" w:eastAsia="Times New Roman" w:hAnsi="Times New Roman" w:cs="Times New Roman"/>
          <w:kern w:val="0"/>
          <w:lang w:val="es-ES"/>
          <w14:ligatures w14:val="none"/>
        </w:rPr>
        <w:t xml:space="preserve"> </w:t>
      </w:r>
      <w:r w:rsidR="00992CC4" w:rsidRPr="009257E7">
        <w:rPr>
          <w:rFonts w:ascii="Times New Roman" w:eastAsia="Times New Roman" w:hAnsi="Times New Roman" w:cs="Times New Roman"/>
          <w:kern w:val="0"/>
          <w:lang w:val="es-ES"/>
          <w14:ligatures w14:val="none"/>
        </w:rPr>
        <w:t>por</w:t>
      </w:r>
      <w:r w:rsidRPr="009257E7">
        <w:rPr>
          <w:rFonts w:ascii="Times New Roman" w:eastAsia="Times New Roman" w:hAnsi="Times New Roman" w:cs="Times New Roman"/>
          <w:kern w:val="0"/>
          <w:lang w:val="es-ES"/>
          <w14:ligatures w14:val="none"/>
        </w:rPr>
        <w:t xml:space="preserve"> la industria jurídica.</w:t>
      </w:r>
    </w:p>
    <w:p w14:paraId="66CC43B7" w14:textId="4DAAB71B" w:rsidR="00114114" w:rsidRPr="009257E7" w:rsidRDefault="00992CC4" w:rsidP="00992CC4">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O</w:t>
      </w:r>
      <w:r w:rsidR="00114114" w:rsidRPr="009257E7">
        <w:rPr>
          <w:rFonts w:ascii="Times New Roman" w:eastAsia="Times New Roman" w:hAnsi="Times New Roman" w:cs="Times New Roman"/>
          <w:kern w:val="0"/>
          <w:lang w:val="es-ES"/>
          <w14:ligatures w14:val="none"/>
        </w:rPr>
        <w:t>tro paso, igualmente importante, sería situar la abogacía en apoyo de personas “promedio” organizadas. De hecho, apoyar a grupos organizados con capacidad para disputar reglas básicas y conceptos fundacionales puede ser el trabajo más efectivo en términos sistémicos. Este trabajo equivale a ayudar a diseñar y construir “jugadores repetidos” autosostenibles, capaces de igualar</w:t>
      </w:r>
      <w:r w:rsidRPr="009257E7">
        <w:rPr>
          <w:rFonts w:ascii="Times New Roman" w:eastAsia="Times New Roman" w:hAnsi="Times New Roman" w:cs="Times New Roman"/>
          <w:kern w:val="0"/>
          <w:lang w:val="es-ES"/>
          <w14:ligatures w14:val="none"/>
        </w:rPr>
        <w:t>, en</w:t>
      </w:r>
      <w:r w:rsidR="00114114" w:rsidRPr="009257E7">
        <w:rPr>
          <w:rFonts w:ascii="Times New Roman" w:eastAsia="Times New Roman" w:hAnsi="Times New Roman" w:cs="Times New Roman"/>
          <w:kern w:val="0"/>
          <w:lang w:val="es-ES"/>
          <w14:ligatures w14:val="none"/>
        </w:rPr>
        <w:t xml:space="preserve"> lo suficiente</w:t>
      </w:r>
      <w:r w:rsidRPr="009257E7">
        <w:rPr>
          <w:rFonts w:ascii="Times New Roman" w:eastAsia="Times New Roman" w:hAnsi="Times New Roman" w:cs="Times New Roman"/>
          <w:kern w:val="0"/>
          <w:lang w:val="es-ES"/>
          <w14:ligatures w14:val="none"/>
        </w:rPr>
        <w:t>,</w:t>
      </w:r>
      <w:r w:rsidR="00114114" w:rsidRPr="009257E7">
        <w:rPr>
          <w:rFonts w:ascii="Times New Roman" w:eastAsia="Times New Roman" w:hAnsi="Times New Roman" w:cs="Times New Roman"/>
          <w:kern w:val="0"/>
          <w:lang w:val="es-ES"/>
          <w14:ligatures w14:val="none"/>
        </w:rPr>
        <w:t xml:space="preserve"> las ventajas elitistas en conocimiento, experiencia y capacidad.</w:t>
      </w:r>
    </w:p>
    <w:p w14:paraId="454EA1AA" w14:textId="4B008FFC" w:rsidR="00114114" w:rsidRPr="009257E7" w:rsidRDefault="00114114" w:rsidP="00992CC4">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Les abogades nueves pueden tener poca o mucha</w:t>
      </w:r>
      <w:r w:rsidR="00CE57F1" w:rsidRPr="009257E7">
        <w:rPr>
          <w:rFonts w:ascii="Times New Roman" w:eastAsia="Times New Roman" w:hAnsi="Times New Roman" w:cs="Times New Roman"/>
          <w:kern w:val="0"/>
          <w:lang w:val="es-ES"/>
          <w14:ligatures w14:val="none"/>
        </w:rPr>
        <w:t xml:space="preserve"> experiencia</w:t>
      </w:r>
      <w:r w:rsidRPr="009257E7">
        <w:rPr>
          <w:rFonts w:ascii="Times New Roman" w:eastAsia="Times New Roman" w:hAnsi="Times New Roman" w:cs="Times New Roman"/>
          <w:kern w:val="0"/>
          <w:lang w:val="es-ES"/>
          <w14:ligatures w14:val="none"/>
        </w:rPr>
        <w:t>, como integrantes de grupos organizados de clientes</w:t>
      </w:r>
      <w:r w:rsidR="00CE57F1" w:rsidRPr="009257E7">
        <w:rPr>
          <w:rFonts w:ascii="Times New Roman" w:eastAsia="Times New Roman" w:hAnsi="Times New Roman" w:cs="Times New Roman"/>
          <w:kern w:val="0"/>
          <w:lang w:val="es-ES"/>
          <w14:ligatures w14:val="none"/>
        </w:rPr>
        <w:t>,</w:t>
      </w:r>
      <w:r w:rsidRPr="009257E7">
        <w:rPr>
          <w:rFonts w:ascii="Times New Roman" w:eastAsia="Times New Roman" w:hAnsi="Times New Roman" w:cs="Times New Roman"/>
          <w:kern w:val="0"/>
          <w:lang w:val="es-ES"/>
          <w14:ligatures w14:val="none"/>
        </w:rPr>
        <w:t xml:space="preserve"> provenientes de comunidades subordinadas o con otras formas de activismo grupal organizado. Algunes estudiantes pueden haber participado en luchas y grupos liderados por estudiantes: oposición a la violencia armada después de tiroteos en escuelas, clubes, conciertos, iglesias y otros lugares; participación como activistas </w:t>
      </w:r>
      <w:proofErr w:type="spellStart"/>
      <w:r w:rsidRPr="009257E7">
        <w:rPr>
          <w:rFonts w:ascii="Times New Roman" w:eastAsia="Times New Roman" w:hAnsi="Times New Roman" w:cs="Times New Roman"/>
          <w:kern w:val="0"/>
          <w:lang w:val="es-ES"/>
          <w14:ligatures w14:val="none"/>
        </w:rPr>
        <w:t>Dreamers</w:t>
      </w:r>
      <w:proofErr w:type="spellEnd"/>
      <w:r w:rsidRPr="009257E7">
        <w:rPr>
          <w:rFonts w:ascii="Times New Roman" w:eastAsia="Times New Roman" w:hAnsi="Times New Roman" w:cs="Times New Roman"/>
          <w:kern w:val="0"/>
          <w:lang w:val="es-ES"/>
          <w14:ligatures w14:val="none"/>
        </w:rPr>
        <w:t xml:space="preserve"> en grupos de derechos de inmigrantes, como activistas de derechos laborales de la </w:t>
      </w:r>
      <w:proofErr w:type="spellStart"/>
      <w:r w:rsidRPr="009257E7">
        <w:rPr>
          <w:rFonts w:ascii="Times New Roman" w:eastAsia="Times New Roman" w:hAnsi="Times New Roman" w:cs="Times New Roman"/>
          <w:kern w:val="0"/>
          <w:lang w:val="es-ES"/>
          <w14:ligatures w14:val="none"/>
        </w:rPr>
        <w:t>United</w:t>
      </w:r>
      <w:proofErr w:type="spellEnd"/>
      <w:r w:rsidRPr="009257E7">
        <w:rPr>
          <w:rFonts w:ascii="Times New Roman" w:eastAsia="Times New Roman" w:hAnsi="Times New Roman" w:cs="Times New Roman"/>
          <w:kern w:val="0"/>
          <w:lang w:val="es-ES"/>
          <w14:ligatures w14:val="none"/>
        </w:rPr>
        <w:t xml:space="preserve"> States </w:t>
      </w:r>
      <w:proofErr w:type="spellStart"/>
      <w:r w:rsidRPr="009257E7">
        <w:rPr>
          <w:rFonts w:ascii="Times New Roman" w:eastAsia="Times New Roman" w:hAnsi="Times New Roman" w:cs="Times New Roman"/>
          <w:kern w:val="0"/>
          <w:lang w:val="es-ES"/>
          <w14:ligatures w14:val="none"/>
        </w:rPr>
        <w:t>Students</w:t>
      </w:r>
      <w:proofErr w:type="spellEnd"/>
      <w:r w:rsidRPr="009257E7">
        <w:rPr>
          <w:rFonts w:ascii="Times New Roman" w:eastAsia="Times New Roman" w:hAnsi="Times New Roman" w:cs="Times New Roman"/>
          <w:kern w:val="0"/>
          <w:lang w:val="es-ES"/>
          <w14:ligatures w14:val="none"/>
        </w:rPr>
        <w:t xml:space="preserve"> </w:t>
      </w:r>
      <w:proofErr w:type="spellStart"/>
      <w:r w:rsidRPr="009257E7">
        <w:rPr>
          <w:rFonts w:ascii="Times New Roman" w:eastAsia="Times New Roman" w:hAnsi="Times New Roman" w:cs="Times New Roman"/>
          <w:kern w:val="0"/>
          <w:lang w:val="es-ES"/>
          <w14:ligatures w14:val="none"/>
        </w:rPr>
        <w:t>Association</w:t>
      </w:r>
      <w:proofErr w:type="spellEnd"/>
      <w:r w:rsidRPr="009257E7">
        <w:rPr>
          <w:rFonts w:ascii="Times New Roman" w:eastAsia="Times New Roman" w:hAnsi="Times New Roman" w:cs="Times New Roman"/>
          <w:kern w:val="0"/>
          <w:lang w:val="es-ES"/>
          <w14:ligatures w14:val="none"/>
        </w:rPr>
        <w:t xml:space="preserve"> o el Worker </w:t>
      </w:r>
      <w:proofErr w:type="spellStart"/>
      <w:r w:rsidRPr="009257E7">
        <w:rPr>
          <w:rFonts w:ascii="Times New Roman" w:eastAsia="Times New Roman" w:hAnsi="Times New Roman" w:cs="Times New Roman"/>
          <w:kern w:val="0"/>
          <w:lang w:val="es-ES"/>
          <w14:ligatures w14:val="none"/>
        </w:rPr>
        <w:t>Rights</w:t>
      </w:r>
      <w:proofErr w:type="spellEnd"/>
      <w:r w:rsidRPr="009257E7">
        <w:rPr>
          <w:rFonts w:ascii="Times New Roman" w:eastAsia="Times New Roman" w:hAnsi="Times New Roman" w:cs="Times New Roman"/>
          <w:kern w:val="0"/>
          <w:lang w:val="es-ES"/>
          <w14:ligatures w14:val="none"/>
        </w:rPr>
        <w:t xml:space="preserve"> </w:t>
      </w:r>
      <w:proofErr w:type="spellStart"/>
      <w:r w:rsidRPr="009257E7">
        <w:rPr>
          <w:rFonts w:ascii="Times New Roman" w:eastAsia="Times New Roman" w:hAnsi="Times New Roman" w:cs="Times New Roman"/>
          <w:kern w:val="0"/>
          <w:lang w:val="es-ES"/>
          <w14:ligatures w14:val="none"/>
        </w:rPr>
        <w:t>Consortium</w:t>
      </w:r>
      <w:proofErr w:type="spellEnd"/>
      <w:r w:rsidRPr="009257E7">
        <w:rPr>
          <w:rFonts w:ascii="Times New Roman" w:eastAsia="Times New Roman" w:hAnsi="Times New Roman" w:cs="Times New Roman"/>
          <w:kern w:val="0"/>
          <w:lang w:val="es-ES"/>
          <w14:ligatures w14:val="none"/>
        </w:rPr>
        <w:t xml:space="preserve">, o como hijes de trabajadores agrícolas actives con Student </w:t>
      </w:r>
      <w:proofErr w:type="spellStart"/>
      <w:r w:rsidRPr="009257E7">
        <w:rPr>
          <w:rFonts w:ascii="Times New Roman" w:eastAsia="Times New Roman" w:hAnsi="Times New Roman" w:cs="Times New Roman"/>
          <w:kern w:val="0"/>
          <w:lang w:val="es-ES"/>
          <w14:ligatures w14:val="none"/>
        </w:rPr>
        <w:t>Action</w:t>
      </w:r>
      <w:proofErr w:type="spellEnd"/>
      <w:r w:rsidRPr="009257E7">
        <w:rPr>
          <w:rFonts w:ascii="Times New Roman" w:eastAsia="Times New Roman" w:hAnsi="Times New Roman" w:cs="Times New Roman"/>
          <w:kern w:val="0"/>
          <w:lang w:val="es-ES"/>
          <w14:ligatures w14:val="none"/>
        </w:rPr>
        <w:t xml:space="preserve"> </w:t>
      </w:r>
      <w:proofErr w:type="spellStart"/>
      <w:r w:rsidRPr="009257E7">
        <w:rPr>
          <w:rFonts w:ascii="Times New Roman" w:eastAsia="Times New Roman" w:hAnsi="Times New Roman" w:cs="Times New Roman"/>
          <w:kern w:val="0"/>
          <w:lang w:val="es-ES"/>
          <w14:ligatures w14:val="none"/>
        </w:rPr>
        <w:t>with</w:t>
      </w:r>
      <w:proofErr w:type="spellEnd"/>
      <w:r w:rsidRPr="009257E7">
        <w:rPr>
          <w:rFonts w:ascii="Times New Roman" w:eastAsia="Times New Roman" w:hAnsi="Times New Roman" w:cs="Times New Roman"/>
          <w:kern w:val="0"/>
          <w:lang w:val="es-ES"/>
          <w14:ligatures w14:val="none"/>
        </w:rPr>
        <w:t xml:space="preserve"> </w:t>
      </w:r>
      <w:proofErr w:type="spellStart"/>
      <w:r w:rsidRPr="009257E7">
        <w:rPr>
          <w:rFonts w:ascii="Times New Roman" w:eastAsia="Times New Roman" w:hAnsi="Times New Roman" w:cs="Times New Roman"/>
          <w:kern w:val="0"/>
          <w:lang w:val="es-ES"/>
          <w14:ligatures w14:val="none"/>
        </w:rPr>
        <w:t>Farmworkers</w:t>
      </w:r>
      <w:proofErr w:type="spellEnd"/>
      <w:r w:rsidRPr="009257E7">
        <w:rPr>
          <w:rFonts w:ascii="Times New Roman" w:eastAsia="Times New Roman" w:hAnsi="Times New Roman" w:cs="Times New Roman"/>
          <w:kern w:val="0"/>
          <w:lang w:val="es-ES"/>
          <w14:ligatures w14:val="none"/>
        </w:rPr>
        <w:t xml:space="preserve"> o la Student/</w:t>
      </w:r>
      <w:proofErr w:type="spellStart"/>
      <w:r w:rsidRPr="009257E7">
        <w:rPr>
          <w:rFonts w:ascii="Times New Roman" w:eastAsia="Times New Roman" w:hAnsi="Times New Roman" w:cs="Times New Roman"/>
          <w:kern w:val="0"/>
          <w:lang w:val="es-ES"/>
          <w14:ligatures w14:val="none"/>
        </w:rPr>
        <w:t>Farmworker</w:t>
      </w:r>
      <w:proofErr w:type="spellEnd"/>
      <w:r w:rsidRPr="009257E7">
        <w:rPr>
          <w:rFonts w:ascii="Times New Roman" w:eastAsia="Times New Roman" w:hAnsi="Times New Roman" w:cs="Times New Roman"/>
          <w:kern w:val="0"/>
          <w:lang w:val="es-ES"/>
          <w14:ligatures w14:val="none"/>
        </w:rPr>
        <w:t xml:space="preserve"> Alliance; desafíos a la violencia policial tras el asesinato de Trayvon Martin u otros incidentes que dieron impulso a #BlackLivesMatter y grupos aliados; trabajo como organizadores jóvenes LGBTQ, activistas por la reforma de la marihuana, defensores de estudios étnicos, DEI y </w:t>
      </w:r>
      <w:proofErr w:type="spellStart"/>
      <w:r w:rsidRPr="009257E7">
        <w:rPr>
          <w:rFonts w:ascii="Times New Roman" w:eastAsia="Times New Roman" w:hAnsi="Times New Roman" w:cs="Times New Roman"/>
          <w:kern w:val="0"/>
          <w:lang w:val="es-ES"/>
          <w14:ligatures w14:val="none"/>
        </w:rPr>
        <w:t>Critical</w:t>
      </w:r>
      <w:proofErr w:type="spellEnd"/>
      <w:r w:rsidRPr="009257E7">
        <w:rPr>
          <w:rFonts w:ascii="Times New Roman" w:eastAsia="Times New Roman" w:hAnsi="Times New Roman" w:cs="Times New Roman"/>
          <w:kern w:val="0"/>
          <w:lang w:val="es-ES"/>
          <w14:ligatures w14:val="none"/>
        </w:rPr>
        <w:t xml:space="preserve"> </w:t>
      </w:r>
      <w:proofErr w:type="spellStart"/>
      <w:r w:rsidRPr="009257E7">
        <w:rPr>
          <w:rFonts w:ascii="Times New Roman" w:eastAsia="Times New Roman" w:hAnsi="Times New Roman" w:cs="Times New Roman"/>
          <w:kern w:val="0"/>
          <w:lang w:val="es-ES"/>
          <w14:ligatures w14:val="none"/>
        </w:rPr>
        <w:t>Race</w:t>
      </w:r>
      <w:proofErr w:type="spellEnd"/>
      <w:r w:rsidRPr="009257E7">
        <w:rPr>
          <w:rFonts w:ascii="Times New Roman" w:eastAsia="Times New Roman" w:hAnsi="Times New Roman" w:cs="Times New Roman"/>
          <w:kern w:val="0"/>
          <w:lang w:val="es-ES"/>
          <w14:ligatures w14:val="none"/>
        </w:rPr>
        <w:t xml:space="preserve"> Theory, activistas ambientales preocupades por el cambio climático, o activistas que combaten la islamofobia o el antisemitismo; defensa de clínicas de aborto; o resistencia frente al capitalismo del desastre que amenazó a Puerto Rico, Nueva Orleans y otras áreas. Para otres, la pertenencia a un grupo activista es desconocida, incluso ajena.</w:t>
      </w:r>
      <w:r w:rsidR="00992CC4" w:rsidRPr="009257E7">
        <w:rPr>
          <w:rFonts w:ascii="Times New Roman" w:eastAsia="Times New Roman" w:hAnsi="Times New Roman" w:cs="Times New Roman"/>
          <w:kern w:val="0"/>
          <w:lang w:val="es-ES"/>
          <w14:ligatures w14:val="none"/>
        </w:rPr>
        <w:t xml:space="preserve"> </w:t>
      </w:r>
    </w:p>
    <w:p w14:paraId="749CDCF5" w14:textId="1C052900" w:rsidR="00114114" w:rsidRPr="009257E7" w:rsidRDefault="00114114" w:rsidP="00C42567">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lastRenderedPageBreak/>
        <w:t xml:space="preserve">Trabajar con grupos es una de las formas clave en </w:t>
      </w:r>
      <w:r w:rsidR="00C42567" w:rsidRPr="009257E7">
        <w:rPr>
          <w:rFonts w:ascii="Times New Roman" w:eastAsia="Times New Roman" w:hAnsi="Times New Roman" w:cs="Times New Roman"/>
          <w:kern w:val="0"/>
          <w:lang w:val="es-ES"/>
          <w14:ligatures w14:val="none"/>
        </w:rPr>
        <w:t xml:space="preserve">las </w:t>
      </w:r>
      <w:r w:rsidRPr="009257E7">
        <w:rPr>
          <w:rFonts w:ascii="Times New Roman" w:eastAsia="Times New Roman" w:hAnsi="Times New Roman" w:cs="Times New Roman"/>
          <w:kern w:val="0"/>
          <w:lang w:val="es-ES"/>
          <w14:ligatures w14:val="none"/>
        </w:rPr>
        <w:t>que la abogacía sistémica se di</w:t>
      </w:r>
      <w:r w:rsidR="00C42567" w:rsidRPr="009257E7">
        <w:rPr>
          <w:rFonts w:ascii="Times New Roman" w:eastAsia="Times New Roman" w:hAnsi="Times New Roman" w:cs="Times New Roman"/>
          <w:kern w:val="0"/>
          <w:lang w:val="es-ES"/>
          <w14:ligatures w14:val="none"/>
        </w:rPr>
        <w:t>stingue</w:t>
      </w:r>
      <w:r w:rsidRPr="009257E7">
        <w:rPr>
          <w:rFonts w:ascii="Times New Roman" w:eastAsia="Times New Roman" w:hAnsi="Times New Roman" w:cs="Times New Roman"/>
          <w:kern w:val="0"/>
          <w:lang w:val="es-ES"/>
          <w14:ligatures w14:val="none"/>
        </w:rPr>
        <w:t xml:space="preserve"> de la abogacía tradicional. Como se señaló antes, la noción de “grupo” incluye la noción antiesencialista e interseccional de los grupos de identidad social: personas “negras”, “blancas”, “femeninas”, “cisgénero”, “</w:t>
      </w:r>
      <w:proofErr w:type="spellStart"/>
      <w:r w:rsidRPr="009257E7">
        <w:rPr>
          <w:rFonts w:ascii="Times New Roman" w:eastAsia="Times New Roman" w:hAnsi="Times New Roman" w:cs="Times New Roman"/>
          <w:kern w:val="0"/>
          <w:lang w:val="es-ES"/>
          <w14:ligatures w14:val="none"/>
        </w:rPr>
        <w:t>gays</w:t>
      </w:r>
      <w:proofErr w:type="spellEnd"/>
      <w:r w:rsidRPr="009257E7">
        <w:rPr>
          <w:rFonts w:ascii="Times New Roman" w:eastAsia="Times New Roman" w:hAnsi="Times New Roman" w:cs="Times New Roman"/>
          <w:kern w:val="0"/>
          <w:lang w:val="es-ES"/>
          <w14:ligatures w14:val="none"/>
        </w:rPr>
        <w:t>”, “de clase trabajadora” u otras. Aquí nos enfocamos más en las colectividades intencionales. Los grupos intencionales, en la vida cotidiana, son las colectividades con las cuales les abogades podrían trabajar o a las cuales podrían oponerse. Estos grupos pueden estar organizados formalmente o ser relativamente informales y poco estructurados. Pueden definirse en términos de identidades sociales particulares o no.</w:t>
      </w:r>
    </w:p>
    <w:p w14:paraId="40D599EA" w14:textId="740751EE" w:rsidR="00114114" w:rsidRPr="009257E7" w:rsidRDefault="00114114" w:rsidP="007A6B01">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Los grupos más importantes para la abogacía sistémica son los grupos de membresía o de “base”. Los grupos de membresía pueden organiza</w:t>
      </w:r>
      <w:r w:rsidR="007A6B01" w:rsidRPr="009257E7">
        <w:rPr>
          <w:rFonts w:ascii="Times New Roman" w:eastAsia="Times New Roman" w:hAnsi="Times New Roman" w:cs="Times New Roman"/>
          <w:kern w:val="0"/>
          <w:lang w:val="es-ES"/>
          <w14:ligatures w14:val="none"/>
        </w:rPr>
        <w:t>rse</w:t>
      </w:r>
      <w:r w:rsidRPr="009257E7">
        <w:rPr>
          <w:rFonts w:ascii="Times New Roman" w:eastAsia="Times New Roman" w:hAnsi="Times New Roman" w:cs="Times New Roman"/>
          <w:kern w:val="0"/>
          <w:lang w:val="es-ES"/>
          <w14:ligatures w14:val="none"/>
        </w:rPr>
        <w:t xml:space="preserve"> como una entidad formalmente reconocida o pueden formar parte de una colectividad incipiente; pueden operar con una estructura de gobernanza centralizada, toma de decisiones descentralizada o alguna mezcla de ambas; pueden emplear personal remunerado o carecer de organizadores profesionales; pueden ser una sola entidad o estar estructurados como un conjunto complejo e interrelacionado de entidades; pueden autofinanciarse mediante cuotas o pagos, o depender de fuentes gubernamentales o filantrópicas, o de actividad empresarial; y pueden operar a escala </w:t>
      </w:r>
      <w:r w:rsidR="00FE6853" w:rsidRPr="009257E7">
        <w:rPr>
          <w:rFonts w:ascii="Times New Roman" w:eastAsia="Times New Roman" w:hAnsi="Times New Roman" w:cs="Times New Roman"/>
          <w:kern w:val="0"/>
          <w:lang w:val="es-ES"/>
          <w14:ligatures w14:val="none"/>
        </w:rPr>
        <w:t>de barrio</w:t>
      </w:r>
      <w:r w:rsidRPr="009257E7">
        <w:rPr>
          <w:rFonts w:ascii="Times New Roman" w:eastAsia="Times New Roman" w:hAnsi="Times New Roman" w:cs="Times New Roman"/>
          <w:kern w:val="0"/>
          <w:lang w:val="es-ES"/>
          <w14:ligatures w14:val="none"/>
        </w:rPr>
        <w:t>, local, regional, nacional o transnacional. A través de esta amplia variedad, la acción organizada y la construcción de poder colectivo siguen siendo constantes.</w:t>
      </w:r>
    </w:p>
    <w:p w14:paraId="5D7E8A09" w14:textId="617A621F" w:rsidR="00114114" w:rsidRPr="009257E7" w:rsidRDefault="00114114" w:rsidP="004D1167">
      <w:pPr>
        <w:pStyle w:val="NormalWeb"/>
        <w:ind w:firstLine="720"/>
        <w:rPr>
          <w:lang w:val="es-ES"/>
        </w:rPr>
      </w:pPr>
      <w:r w:rsidRPr="009257E7">
        <w:rPr>
          <w:lang w:val="es-ES"/>
        </w:rPr>
        <w:t>“Organizar” es el proceso de construir un grupo mediante el desarrollo de una visión compartida, compromisos mutuos, estrategias y recursos de acción colectiva, y una voz e influencia sostenibles. Los grupos comunitarios y laborales, por ejemplo, involucran a individuos en la “organización de base: reunirse para la acción colectiva, el compromiso social y la expresión política”</w:t>
      </w:r>
      <w:r w:rsidR="0015336C" w:rsidRPr="009257E7">
        <w:rPr>
          <w:rStyle w:val="FootnoteReference"/>
          <w:lang w:val="es-ES"/>
        </w:rPr>
        <w:footnoteReference w:id="180"/>
      </w:r>
      <w:r w:rsidRPr="009257E7">
        <w:rPr>
          <w:lang w:val="es-ES"/>
        </w:rPr>
        <w:t>. La organización de base es un mecanismo para construir poder grupal que se despliega para realinear intereses en luchas de corto y largo plazo</w:t>
      </w:r>
      <w:r w:rsidR="009D750C" w:rsidRPr="009257E7">
        <w:rPr>
          <w:lang w:val="es-ES"/>
        </w:rPr>
        <w:t>,</w:t>
      </w:r>
      <w:r w:rsidRPr="009257E7">
        <w:rPr>
          <w:lang w:val="es-ES"/>
        </w:rPr>
        <w:t xml:space="preserve"> </w:t>
      </w:r>
      <w:r w:rsidR="009D750C" w:rsidRPr="009257E7">
        <w:rPr>
          <w:lang w:val="es-ES"/>
        </w:rPr>
        <w:t>orienta</w:t>
      </w:r>
      <w:r w:rsidRPr="009257E7">
        <w:rPr>
          <w:lang w:val="es-ES"/>
        </w:rPr>
        <w:t>das a u</w:t>
      </w:r>
      <w:r w:rsidR="00103345" w:rsidRPr="009257E7">
        <w:rPr>
          <w:lang w:val="es-ES"/>
        </w:rPr>
        <w:t>tiliz</w:t>
      </w:r>
      <w:r w:rsidRPr="009257E7">
        <w:rPr>
          <w:lang w:val="es-ES"/>
        </w:rPr>
        <w:t xml:space="preserve">ar el derecho </w:t>
      </w:r>
      <w:r w:rsidR="00103345" w:rsidRPr="009257E7">
        <w:rPr>
          <w:lang w:val="es-ES"/>
        </w:rPr>
        <w:t>en favor de</w:t>
      </w:r>
      <w:r w:rsidRPr="009257E7">
        <w:rPr>
          <w:lang w:val="es-ES"/>
        </w:rPr>
        <w:t xml:space="preserve"> la justicia igualitaria. </w:t>
      </w:r>
      <w:r w:rsidR="00103345" w:rsidRPr="009257E7">
        <w:rPr>
          <w:lang w:val="es-ES"/>
        </w:rPr>
        <w:t xml:space="preserve">Por definición, la organización es una práctica colectiva y </w:t>
      </w:r>
      <w:proofErr w:type="spellStart"/>
      <w:r w:rsidR="00103345" w:rsidRPr="009257E7">
        <w:rPr>
          <w:lang w:val="es-ES"/>
        </w:rPr>
        <w:t>colectivizadora</w:t>
      </w:r>
      <w:proofErr w:type="spellEnd"/>
      <w:r w:rsidR="00103345" w:rsidRPr="009257E7">
        <w:rPr>
          <w:lang w:val="es-ES"/>
        </w:rPr>
        <w:t xml:space="preserve"> que tiene lugar en lugares y momentos concretos</w:t>
      </w:r>
      <w:r w:rsidRPr="009257E7">
        <w:rPr>
          <w:lang w:val="es-ES"/>
        </w:rPr>
        <w:t xml:space="preserve">. Los grupos y esfuerzos de organización están arraigados en contextos particulares y en historias </w:t>
      </w:r>
      <w:r w:rsidR="00103345" w:rsidRPr="009257E7">
        <w:rPr>
          <w:lang w:val="es-ES"/>
        </w:rPr>
        <w:t>a</w:t>
      </w:r>
      <w:r w:rsidRPr="009257E7">
        <w:rPr>
          <w:lang w:val="es-ES"/>
        </w:rPr>
        <w:t xml:space="preserve"> </w:t>
      </w:r>
      <w:r w:rsidR="00103345" w:rsidRPr="009257E7">
        <w:rPr>
          <w:lang w:val="es-ES"/>
        </w:rPr>
        <w:t>menudo</w:t>
      </w:r>
      <w:r w:rsidRPr="009257E7">
        <w:rPr>
          <w:lang w:val="es-ES"/>
        </w:rPr>
        <w:t xml:space="preserve"> profundas. Idealmente, la organización de una generación se apoya en los esfuerzos organizativos de generaciones previas, se aparta de ellos y añade algo nuevo.</w:t>
      </w:r>
      <w:r w:rsidR="008262B4" w:rsidRPr="009257E7">
        <w:rPr>
          <w:lang w:val="es-ES"/>
        </w:rPr>
        <w:t xml:space="preserve"> </w:t>
      </w:r>
    </w:p>
    <w:p w14:paraId="5A8267EA" w14:textId="390AAD9B" w:rsidR="00114114" w:rsidRPr="009257E7" w:rsidRDefault="00114114" w:rsidP="001F3055">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 xml:space="preserve">La </w:t>
      </w:r>
      <w:r w:rsidR="001F3055" w:rsidRPr="009257E7">
        <w:rPr>
          <w:rFonts w:ascii="Times New Roman" w:eastAsia="Times New Roman" w:hAnsi="Times New Roman" w:cs="Times New Roman"/>
          <w:kern w:val="0"/>
          <w:lang w:val="es-ES"/>
          <w14:ligatures w14:val="none"/>
        </w:rPr>
        <w:t>organización, como práctica basada en principios y sujeta a rendición de cuentas, construye poder grupal al reunir a individuos en torno a algo compartido, ya sea valores, una noción de identidad estratégicamente esencial,</w:t>
      </w:r>
      <w:r w:rsidRPr="009257E7">
        <w:rPr>
          <w:rFonts w:ascii="Times New Roman" w:eastAsia="Times New Roman" w:hAnsi="Times New Roman" w:cs="Times New Roman"/>
          <w:kern w:val="0"/>
          <w:lang w:val="es-ES"/>
          <w14:ligatures w14:val="none"/>
        </w:rPr>
        <w:t xml:space="preserve"> experiencias de opresión o </w:t>
      </w:r>
      <w:r w:rsidR="001F3055" w:rsidRPr="009257E7">
        <w:rPr>
          <w:rFonts w:ascii="Times New Roman" w:eastAsia="Times New Roman" w:hAnsi="Times New Roman" w:cs="Times New Roman"/>
          <w:kern w:val="0"/>
          <w:lang w:val="es-ES"/>
          <w14:ligatures w14:val="none"/>
        </w:rPr>
        <w:t xml:space="preserve">de </w:t>
      </w:r>
      <w:r w:rsidRPr="009257E7">
        <w:rPr>
          <w:rFonts w:ascii="Times New Roman" w:eastAsia="Times New Roman" w:hAnsi="Times New Roman" w:cs="Times New Roman"/>
          <w:kern w:val="0"/>
          <w:lang w:val="es-ES"/>
          <w14:ligatures w14:val="none"/>
        </w:rPr>
        <w:t xml:space="preserve">explotación, o amistad y amor. Los esfuerzos de organización siempre enfrentan oposición si confrontan la injusticia sistémica y, por tanto, implican riesgos para les activistas involucrades. Motivar a individuos a participar en un esfuerzo organizativo puede </w:t>
      </w:r>
      <w:r w:rsidR="00901B84" w:rsidRPr="009257E7">
        <w:rPr>
          <w:rFonts w:ascii="Times New Roman" w:eastAsia="Times New Roman" w:hAnsi="Times New Roman" w:cs="Times New Roman"/>
          <w:kern w:val="0"/>
          <w:lang w:val="es-ES"/>
          <w14:ligatures w14:val="none"/>
        </w:rPr>
        <w:t>resulta</w:t>
      </w:r>
      <w:r w:rsidRPr="009257E7">
        <w:rPr>
          <w:rFonts w:ascii="Times New Roman" w:eastAsia="Times New Roman" w:hAnsi="Times New Roman" w:cs="Times New Roman"/>
          <w:kern w:val="0"/>
          <w:lang w:val="es-ES"/>
          <w14:ligatures w14:val="none"/>
        </w:rPr>
        <w:t>r difícil debido a ese riesgo</w:t>
      </w:r>
      <w:r w:rsidR="00901B84" w:rsidRPr="009257E7">
        <w:rPr>
          <w:rFonts w:ascii="Times New Roman" w:eastAsia="Times New Roman" w:hAnsi="Times New Roman" w:cs="Times New Roman"/>
          <w:kern w:val="0"/>
          <w:lang w:val="es-ES"/>
          <w14:ligatures w14:val="none"/>
        </w:rPr>
        <w:t>, así</w:t>
      </w:r>
      <w:r w:rsidRPr="009257E7">
        <w:rPr>
          <w:rFonts w:ascii="Times New Roman" w:eastAsia="Times New Roman" w:hAnsi="Times New Roman" w:cs="Times New Roman"/>
          <w:kern w:val="0"/>
          <w:lang w:val="es-ES"/>
          <w14:ligatures w14:val="none"/>
        </w:rPr>
        <w:t xml:space="preserve"> </w:t>
      </w:r>
      <w:r w:rsidR="00901B84" w:rsidRPr="009257E7">
        <w:rPr>
          <w:rFonts w:ascii="Times New Roman" w:eastAsia="Times New Roman" w:hAnsi="Times New Roman" w:cs="Times New Roman"/>
          <w:kern w:val="0"/>
          <w:lang w:val="es-ES"/>
          <w14:ligatures w14:val="none"/>
        </w:rPr>
        <w:t>como</w:t>
      </w:r>
      <w:r w:rsidRPr="009257E7">
        <w:rPr>
          <w:rFonts w:ascii="Times New Roman" w:eastAsia="Times New Roman" w:hAnsi="Times New Roman" w:cs="Times New Roman"/>
          <w:kern w:val="0"/>
          <w:lang w:val="es-ES"/>
          <w14:ligatures w14:val="none"/>
        </w:rPr>
        <w:t xml:space="preserve"> al tiempo y la energía </w:t>
      </w:r>
      <w:r w:rsidR="00901B84" w:rsidRPr="009257E7">
        <w:rPr>
          <w:rFonts w:ascii="Times New Roman" w:eastAsia="Times New Roman" w:hAnsi="Times New Roman" w:cs="Times New Roman"/>
          <w:kern w:val="0"/>
          <w:lang w:val="es-ES"/>
          <w14:ligatures w14:val="none"/>
        </w:rPr>
        <w:t>que este conlleva</w:t>
      </w:r>
      <w:r w:rsidRPr="009257E7">
        <w:rPr>
          <w:rFonts w:ascii="Times New Roman" w:eastAsia="Times New Roman" w:hAnsi="Times New Roman" w:cs="Times New Roman"/>
          <w:kern w:val="0"/>
          <w:lang w:val="es-ES"/>
          <w14:ligatures w14:val="none"/>
        </w:rPr>
        <w:t xml:space="preserve">. Organizar también exige superar muchas divisiones basadas en cosas no compartidas: historias, relaciones, identidades o riesgos y beneficios relativos. Pero los grupos que participan en la organización son indispensables para </w:t>
      </w:r>
      <w:r w:rsidR="00312EE8" w:rsidRPr="009257E7">
        <w:rPr>
          <w:rFonts w:ascii="Times New Roman" w:eastAsia="Times New Roman" w:hAnsi="Times New Roman" w:cs="Times New Roman"/>
          <w:kern w:val="0"/>
          <w:lang w:val="es-ES"/>
          <w14:ligatures w14:val="none"/>
        </w:rPr>
        <w:t>un</w:t>
      </w:r>
      <w:r w:rsidRPr="009257E7">
        <w:rPr>
          <w:rFonts w:ascii="Times New Roman" w:eastAsia="Times New Roman" w:hAnsi="Times New Roman" w:cs="Times New Roman"/>
          <w:kern w:val="0"/>
          <w:lang w:val="es-ES"/>
          <w14:ligatures w14:val="none"/>
        </w:rPr>
        <w:t xml:space="preserve"> progreso duradero.</w:t>
      </w:r>
    </w:p>
    <w:p w14:paraId="57D96462" w14:textId="6FE63387" w:rsidR="00114114" w:rsidRPr="009257E7" w:rsidRDefault="00114114" w:rsidP="00312EE8">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lastRenderedPageBreak/>
        <w:t xml:space="preserve">Les organizadores son las personas que ayudan a reunir grupos y a desarrollar estrategias y planes de acción. Pueden recibir pago o no, tener formación formal o actuar por instinto, y ocupar </w:t>
      </w:r>
      <w:r w:rsidR="003173D3" w:rsidRPr="009257E7">
        <w:rPr>
          <w:rFonts w:ascii="Times New Roman" w:eastAsia="Times New Roman" w:hAnsi="Times New Roman" w:cs="Times New Roman"/>
          <w:kern w:val="0"/>
          <w:lang w:val="es-ES"/>
          <w14:ligatures w14:val="none"/>
        </w:rPr>
        <w:t>posiciones</w:t>
      </w:r>
      <w:r w:rsidRPr="009257E7">
        <w:rPr>
          <w:rFonts w:ascii="Times New Roman" w:eastAsia="Times New Roman" w:hAnsi="Times New Roman" w:cs="Times New Roman"/>
          <w:kern w:val="0"/>
          <w:lang w:val="es-ES"/>
          <w14:ligatures w14:val="none"/>
        </w:rPr>
        <w:t xml:space="preserve"> de liderazgo o de personal. Les organizadores son jugadores clave en los equipos de abogacía, trabajan de cerca con les abogades, pero a menudo están formades en normas, destrezas, incentivos y enfoques profesionales bastante distintos, lo que, de hecho, presenta un desafío de cultura “interprofesional”. Les abogades a menudo trabajan con organizadores de base en el proceso de organizar grupos y reconocen que “les organizadores son profesionales cuya propia autodefinición está arraigada en fortalecer las metas colectivas de grupos de personas pobres”</w:t>
      </w:r>
      <w:r w:rsidR="00B71044" w:rsidRPr="009257E7">
        <w:rPr>
          <w:rStyle w:val="FootnoteReference"/>
          <w:rFonts w:ascii="Times New Roman" w:eastAsia="Times New Roman" w:hAnsi="Times New Roman" w:cs="Times New Roman"/>
          <w:kern w:val="0"/>
          <w:lang w:val="es-ES"/>
          <w14:ligatures w14:val="none"/>
        </w:rPr>
        <w:footnoteReference w:id="181"/>
      </w:r>
      <w:r w:rsidRPr="009257E7">
        <w:rPr>
          <w:rFonts w:ascii="Times New Roman" w:eastAsia="Times New Roman" w:hAnsi="Times New Roman" w:cs="Times New Roman"/>
          <w:kern w:val="0"/>
          <w:lang w:val="es-ES"/>
          <w14:ligatures w14:val="none"/>
        </w:rPr>
        <w:t xml:space="preserve"> u otros grupos subordinados.</w:t>
      </w:r>
      <w:r w:rsidR="00312EE8" w:rsidRPr="009257E7">
        <w:rPr>
          <w:rFonts w:ascii="Times New Roman" w:eastAsia="Times New Roman" w:hAnsi="Times New Roman" w:cs="Times New Roman"/>
          <w:kern w:val="0"/>
          <w:lang w:val="es-ES"/>
          <w14:ligatures w14:val="none"/>
        </w:rPr>
        <w:t xml:space="preserve"> </w:t>
      </w:r>
    </w:p>
    <w:p w14:paraId="49ECDE6A" w14:textId="20131636" w:rsidR="00114114" w:rsidRPr="009257E7" w:rsidRDefault="00114114" w:rsidP="00B71044">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Sin embargo, “los grupos o coaliciones son les protagonistas” en la mayoría de la abogacía sistémica</w:t>
      </w:r>
      <w:r w:rsidR="007D09BC" w:rsidRPr="009257E7">
        <w:rPr>
          <w:rStyle w:val="FootnoteReference"/>
          <w:rFonts w:ascii="Times New Roman" w:eastAsia="Times New Roman" w:hAnsi="Times New Roman" w:cs="Times New Roman"/>
          <w:kern w:val="0"/>
          <w:lang w:val="es-ES"/>
          <w14:ligatures w14:val="none"/>
        </w:rPr>
        <w:footnoteReference w:id="182"/>
      </w:r>
      <w:r w:rsidRPr="009257E7">
        <w:rPr>
          <w:rFonts w:ascii="Times New Roman" w:eastAsia="Times New Roman" w:hAnsi="Times New Roman" w:cs="Times New Roman"/>
          <w:kern w:val="0"/>
          <w:lang w:val="es-ES"/>
          <w14:ligatures w14:val="none"/>
        </w:rPr>
        <w:t xml:space="preserve">. Este punto fundamental es importante porque contrasta con las nociones tradicionales de abogacía que identifican a le abogade como protagonista, activando “palancas jurídicas” en un esfuerzo por generar cambio social, mientras les clientes desempeñan un papel limitado en la acción. </w:t>
      </w:r>
      <w:r w:rsidR="007D09BC" w:rsidRPr="009257E7">
        <w:rPr>
          <w:rFonts w:ascii="Times New Roman" w:eastAsia="Times New Roman" w:hAnsi="Times New Roman" w:cs="Times New Roman"/>
          <w:kern w:val="0"/>
          <w:lang w:val="es-ES"/>
          <w14:ligatures w14:val="none"/>
        </w:rPr>
        <w:t>Les o</w:t>
      </w:r>
      <w:r w:rsidRPr="009257E7">
        <w:rPr>
          <w:rFonts w:ascii="Times New Roman" w:eastAsia="Times New Roman" w:hAnsi="Times New Roman" w:cs="Times New Roman"/>
          <w:kern w:val="0"/>
          <w:lang w:val="es-ES"/>
          <w14:ligatures w14:val="none"/>
        </w:rPr>
        <w:t xml:space="preserve">rganizadores y </w:t>
      </w:r>
      <w:r w:rsidR="007D09BC" w:rsidRPr="009257E7">
        <w:rPr>
          <w:rFonts w:ascii="Times New Roman" w:eastAsia="Times New Roman" w:hAnsi="Times New Roman" w:cs="Times New Roman"/>
          <w:kern w:val="0"/>
          <w:lang w:val="es-ES"/>
          <w14:ligatures w14:val="none"/>
        </w:rPr>
        <w:t xml:space="preserve">les </w:t>
      </w:r>
      <w:r w:rsidRPr="009257E7">
        <w:rPr>
          <w:rFonts w:ascii="Times New Roman" w:eastAsia="Times New Roman" w:hAnsi="Times New Roman" w:cs="Times New Roman"/>
          <w:kern w:val="0"/>
          <w:lang w:val="es-ES"/>
          <w14:ligatures w14:val="none"/>
        </w:rPr>
        <w:t>abogades trabajan para apoyar, no para dominar, a los grupos.</w:t>
      </w:r>
    </w:p>
    <w:p w14:paraId="1F1D680B" w14:textId="7E7A3994" w:rsidR="00114114" w:rsidRPr="009257E7" w:rsidRDefault="00114114" w:rsidP="007D09BC">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 xml:space="preserve">Todes les abogades sistémiques enfrentan —directa o indirectamente— el desafío del derecho en relación con la organización. “A menos que le abogade reconozca que la abogacía con grupos no puede proceder sin organización comunitaria, no puede haber abogacía </w:t>
      </w:r>
      <w:proofErr w:type="spellStart"/>
      <w:r w:rsidRPr="009257E7">
        <w:rPr>
          <w:rFonts w:ascii="Times New Roman" w:eastAsia="Times New Roman" w:hAnsi="Times New Roman" w:cs="Times New Roman"/>
          <w:kern w:val="0"/>
          <w:lang w:val="es-ES"/>
          <w14:ligatures w14:val="none"/>
        </w:rPr>
        <w:t>empoderadora</w:t>
      </w:r>
      <w:proofErr w:type="spellEnd"/>
      <w:r w:rsidRPr="009257E7">
        <w:rPr>
          <w:rFonts w:ascii="Times New Roman" w:eastAsia="Times New Roman" w:hAnsi="Times New Roman" w:cs="Times New Roman"/>
          <w:kern w:val="0"/>
          <w:lang w:val="es-ES"/>
          <w14:ligatures w14:val="none"/>
        </w:rPr>
        <w:t xml:space="preserve"> efectiva”</w:t>
      </w:r>
      <w:r w:rsidR="00966C34" w:rsidRPr="009257E7">
        <w:rPr>
          <w:rStyle w:val="FootnoteReference"/>
          <w:rFonts w:ascii="Times New Roman" w:eastAsia="Times New Roman" w:hAnsi="Times New Roman" w:cs="Times New Roman"/>
          <w:kern w:val="0"/>
          <w:lang w:val="es-ES"/>
          <w14:ligatures w14:val="none"/>
        </w:rPr>
        <w:footnoteReference w:id="183"/>
      </w:r>
      <w:r w:rsidRPr="009257E7">
        <w:rPr>
          <w:rFonts w:ascii="Times New Roman" w:eastAsia="Times New Roman" w:hAnsi="Times New Roman" w:cs="Times New Roman"/>
          <w:kern w:val="0"/>
          <w:lang w:val="es-ES"/>
          <w14:ligatures w14:val="none"/>
        </w:rPr>
        <w:t xml:space="preserve">. El arte de organizar las estructuras y </w:t>
      </w:r>
      <w:r w:rsidR="00966C34" w:rsidRPr="009257E7">
        <w:rPr>
          <w:rFonts w:ascii="Times New Roman" w:eastAsia="Times New Roman" w:hAnsi="Times New Roman" w:cs="Times New Roman"/>
          <w:kern w:val="0"/>
          <w:lang w:val="es-ES"/>
          <w14:ligatures w14:val="none"/>
        </w:rPr>
        <w:t xml:space="preserve">las </w:t>
      </w:r>
      <w:r w:rsidRPr="009257E7">
        <w:rPr>
          <w:rFonts w:ascii="Times New Roman" w:eastAsia="Times New Roman" w:hAnsi="Times New Roman" w:cs="Times New Roman"/>
          <w:kern w:val="0"/>
          <w:lang w:val="es-ES"/>
          <w14:ligatures w14:val="none"/>
        </w:rPr>
        <w:t xml:space="preserve">actividades de los grupos organizados es variado y complejo. Marshall Ganz, exorganizador de </w:t>
      </w:r>
      <w:proofErr w:type="spellStart"/>
      <w:r w:rsidRPr="009257E7">
        <w:rPr>
          <w:rFonts w:ascii="Times New Roman" w:eastAsia="Times New Roman" w:hAnsi="Times New Roman" w:cs="Times New Roman"/>
          <w:kern w:val="0"/>
          <w:lang w:val="es-ES"/>
          <w14:ligatures w14:val="none"/>
        </w:rPr>
        <w:t>United</w:t>
      </w:r>
      <w:proofErr w:type="spellEnd"/>
      <w:r w:rsidRPr="009257E7">
        <w:rPr>
          <w:rFonts w:ascii="Times New Roman" w:eastAsia="Times New Roman" w:hAnsi="Times New Roman" w:cs="Times New Roman"/>
          <w:kern w:val="0"/>
          <w:lang w:val="es-ES"/>
          <w14:ligatures w14:val="none"/>
        </w:rPr>
        <w:t xml:space="preserve"> Farm Workers y ahora académico de liderazgo, organización y sociedad civil en Harvard </w:t>
      </w:r>
      <w:proofErr w:type="spellStart"/>
      <w:r w:rsidRPr="009257E7">
        <w:rPr>
          <w:rFonts w:ascii="Times New Roman" w:eastAsia="Times New Roman" w:hAnsi="Times New Roman" w:cs="Times New Roman"/>
          <w:kern w:val="0"/>
          <w:lang w:val="es-ES"/>
          <w14:ligatures w14:val="none"/>
        </w:rPr>
        <w:t>University</w:t>
      </w:r>
      <w:proofErr w:type="spellEnd"/>
      <w:r w:rsidRPr="009257E7">
        <w:rPr>
          <w:rFonts w:ascii="Times New Roman" w:eastAsia="Times New Roman" w:hAnsi="Times New Roman" w:cs="Times New Roman"/>
          <w:kern w:val="0"/>
          <w:lang w:val="es-ES"/>
          <w14:ligatures w14:val="none"/>
        </w:rPr>
        <w:t>, expone algunos principios básicos de la organización:</w:t>
      </w:r>
      <w:r w:rsidR="00AD2BCE" w:rsidRPr="009257E7">
        <w:rPr>
          <w:rFonts w:ascii="Times New Roman" w:eastAsia="Times New Roman" w:hAnsi="Times New Roman" w:cs="Times New Roman"/>
          <w:kern w:val="0"/>
          <w:lang w:val="es-ES"/>
          <w14:ligatures w14:val="none"/>
        </w:rPr>
        <w:t xml:space="preserve"> </w:t>
      </w:r>
    </w:p>
    <w:p w14:paraId="462D382D" w14:textId="784C02BE" w:rsidR="00114114" w:rsidRPr="009257E7" w:rsidRDefault="00114114" w:rsidP="00966C34">
      <w:pPr>
        <w:spacing w:before="100" w:beforeAutospacing="1" w:after="100" w:afterAutospacing="1" w:line="240" w:lineRule="auto"/>
        <w:ind w:left="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L</w:t>
      </w:r>
      <w:r w:rsidR="00966C34" w:rsidRPr="009257E7">
        <w:rPr>
          <w:rFonts w:ascii="Times New Roman" w:eastAsia="Times New Roman" w:hAnsi="Times New Roman" w:cs="Times New Roman"/>
          <w:kern w:val="0"/>
          <w:lang w:val="es-ES"/>
          <w14:ligatures w14:val="none"/>
        </w:rPr>
        <w:t>o</w:t>
      </w:r>
      <w:r w:rsidRPr="009257E7">
        <w:rPr>
          <w:rFonts w:ascii="Times New Roman" w:eastAsia="Times New Roman" w:hAnsi="Times New Roman" w:cs="Times New Roman"/>
          <w:kern w:val="0"/>
          <w:lang w:val="es-ES"/>
          <w14:ligatures w14:val="none"/>
        </w:rPr>
        <w:t xml:space="preserve">s organizadores identifican, reclutan y desarrollan liderazgo; construyen comunidad </w:t>
      </w:r>
      <w:r w:rsidR="00966C34" w:rsidRPr="009257E7">
        <w:rPr>
          <w:rFonts w:ascii="Times New Roman" w:eastAsia="Times New Roman" w:hAnsi="Times New Roman" w:cs="Times New Roman"/>
          <w:kern w:val="0"/>
          <w:lang w:val="es-ES"/>
          <w14:ligatures w14:val="none"/>
        </w:rPr>
        <w:t>en</w:t>
      </w:r>
      <w:r w:rsidRPr="009257E7">
        <w:rPr>
          <w:rFonts w:ascii="Times New Roman" w:eastAsia="Times New Roman" w:hAnsi="Times New Roman" w:cs="Times New Roman"/>
          <w:kern w:val="0"/>
          <w:lang w:val="es-ES"/>
          <w14:ligatures w14:val="none"/>
        </w:rPr>
        <w:t xml:space="preserve"> </w:t>
      </w:r>
      <w:r w:rsidR="00966C34" w:rsidRPr="009257E7">
        <w:rPr>
          <w:rFonts w:ascii="Times New Roman" w:eastAsia="Times New Roman" w:hAnsi="Times New Roman" w:cs="Times New Roman"/>
          <w:kern w:val="0"/>
          <w:lang w:val="es-ES"/>
          <w14:ligatures w14:val="none"/>
        </w:rPr>
        <w:t>torno a</w:t>
      </w:r>
      <w:r w:rsidRPr="009257E7">
        <w:rPr>
          <w:rFonts w:ascii="Times New Roman" w:eastAsia="Times New Roman" w:hAnsi="Times New Roman" w:cs="Times New Roman"/>
          <w:kern w:val="0"/>
          <w:lang w:val="es-ES"/>
          <w14:ligatures w14:val="none"/>
        </w:rPr>
        <w:t>l liderazgo; y construyen poder a partir de la comunidad. L</w:t>
      </w:r>
      <w:r w:rsidR="000E5169" w:rsidRPr="009257E7">
        <w:rPr>
          <w:rFonts w:ascii="Times New Roman" w:eastAsia="Times New Roman" w:hAnsi="Times New Roman" w:cs="Times New Roman"/>
          <w:kern w:val="0"/>
          <w:lang w:val="es-ES"/>
          <w14:ligatures w14:val="none"/>
        </w:rPr>
        <w:t>o</w:t>
      </w:r>
      <w:r w:rsidRPr="009257E7">
        <w:rPr>
          <w:rFonts w:ascii="Times New Roman" w:eastAsia="Times New Roman" w:hAnsi="Times New Roman" w:cs="Times New Roman"/>
          <w:kern w:val="0"/>
          <w:lang w:val="es-ES"/>
          <w14:ligatures w14:val="none"/>
        </w:rPr>
        <w:t>s organizadores reúnen a las personas y las desafían a actuar en nombre de sus valores e intereses compartidos. Desarrollan las relaciones, motivan la participación, diseñan estratégicamente los caminos y toman las acciones que permiten a las personas obtener una apreciación nueva de sus valores, de los recursos a los que tienen acceso, de sus intereses y de una capacidad nueva para u</w:t>
      </w:r>
      <w:r w:rsidR="000E5169" w:rsidRPr="009257E7">
        <w:rPr>
          <w:rFonts w:ascii="Times New Roman" w:eastAsia="Times New Roman" w:hAnsi="Times New Roman" w:cs="Times New Roman"/>
          <w:kern w:val="0"/>
          <w:lang w:val="es-ES"/>
          <w14:ligatures w14:val="none"/>
        </w:rPr>
        <w:t>tiliza</w:t>
      </w:r>
      <w:r w:rsidRPr="009257E7">
        <w:rPr>
          <w:rFonts w:ascii="Times New Roman" w:eastAsia="Times New Roman" w:hAnsi="Times New Roman" w:cs="Times New Roman"/>
          <w:kern w:val="0"/>
          <w:lang w:val="es-ES"/>
          <w14:ligatures w14:val="none"/>
        </w:rPr>
        <w:t>r sus recursos en nombre de sus intereses. L</w:t>
      </w:r>
      <w:r w:rsidR="000E5169" w:rsidRPr="009257E7">
        <w:rPr>
          <w:rFonts w:ascii="Times New Roman" w:eastAsia="Times New Roman" w:hAnsi="Times New Roman" w:cs="Times New Roman"/>
          <w:kern w:val="0"/>
          <w:lang w:val="es-ES"/>
          <w14:ligatures w14:val="none"/>
        </w:rPr>
        <w:t>o</w:t>
      </w:r>
      <w:r w:rsidRPr="009257E7">
        <w:rPr>
          <w:rFonts w:ascii="Times New Roman" w:eastAsia="Times New Roman" w:hAnsi="Times New Roman" w:cs="Times New Roman"/>
          <w:kern w:val="0"/>
          <w:lang w:val="es-ES"/>
          <w14:ligatures w14:val="none"/>
        </w:rPr>
        <w:t xml:space="preserve">s organizadores trabajan mediante “diálogos” en </w:t>
      </w:r>
      <w:r w:rsidR="000E5169" w:rsidRPr="009257E7">
        <w:rPr>
          <w:rFonts w:ascii="Times New Roman" w:eastAsia="Times New Roman" w:hAnsi="Times New Roman" w:cs="Times New Roman"/>
          <w:kern w:val="0"/>
          <w:lang w:val="es-ES"/>
          <w14:ligatures w14:val="none"/>
        </w:rPr>
        <w:t xml:space="preserve">las </w:t>
      </w:r>
      <w:r w:rsidRPr="009257E7">
        <w:rPr>
          <w:rFonts w:ascii="Times New Roman" w:eastAsia="Times New Roman" w:hAnsi="Times New Roman" w:cs="Times New Roman"/>
          <w:kern w:val="0"/>
          <w:lang w:val="es-ES"/>
          <w14:ligatures w14:val="none"/>
        </w:rPr>
        <w:t>relaciones,</w:t>
      </w:r>
      <w:r w:rsidR="000E5169" w:rsidRPr="009257E7">
        <w:rPr>
          <w:rFonts w:ascii="Times New Roman" w:eastAsia="Times New Roman" w:hAnsi="Times New Roman" w:cs="Times New Roman"/>
          <w:kern w:val="0"/>
          <w:lang w:val="es-ES"/>
          <w14:ligatures w14:val="none"/>
        </w:rPr>
        <w:t xml:space="preserve"> la</w:t>
      </w:r>
      <w:r w:rsidRPr="009257E7">
        <w:rPr>
          <w:rFonts w:ascii="Times New Roman" w:eastAsia="Times New Roman" w:hAnsi="Times New Roman" w:cs="Times New Roman"/>
          <w:kern w:val="0"/>
          <w:lang w:val="es-ES"/>
          <w14:ligatures w14:val="none"/>
        </w:rPr>
        <w:t xml:space="preserve"> motivación, </w:t>
      </w:r>
      <w:r w:rsidR="000E5169" w:rsidRPr="009257E7">
        <w:rPr>
          <w:rFonts w:ascii="Times New Roman" w:eastAsia="Times New Roman" w:hAnsi="Times New Roman" w:cs="Times New Roman"/>
          <w:kern w:val="0"/>
          <w:lang w:val="es-ES"/>
          <w14:ligatures w14:val="none"/>
        </w:rPr>
        <w:t xml:space="preserve">la </w:t>
      </w:r>
      <w:r w:rsidRPr="009257E7">
        <w:rPr>
          <w:rFonts w:ascii="Times New Roman" w:eastAsia="Times New Roman" w:hAnsi="Times New Roman" w:cs="Times New Roman"/>
          <w:kern w:val="0"/>
          <w:lang w:val="es-ES"/>
          <w14:ligatures w14:val="none"/>
        </w:rPr>
        <w:t xml:space="preserve">estrategia y </w:t>
      </w:r>
      <w:r w:rsidR="000E5169" w:rsidRPr="009257E7">
        <w:rPr>
          <w:rFonts w:ascii="Times New Roman" w:eastAsia="Times New Roman" w:hAnsi="Times New Roman" w:cs="Times New Roman"/>
          <w:kern w:val="0"/>
          <w:lang w:val="es-ES"/>
          <w14:ligatures w14:val="none"/>
        </w:rPr>
        <w:t xml:space="preserve">la </w:t>
      </w:r>
      <w:r w:rsidRPr="009257E7">
        <w:rPr>
          <w:rFonts w:ascii="Times New Roman" w:eastAsia="Times New Roman" w:hAnsi="Times New Roman" w:cs="Times New Roman"/>
          <w:kern w:val="0"/>
          <w:lang w:val="es-ES"/>
          <w14:ligatures w14:val="none"/>
        </w:rPr>
        <w:t>acción, llevados a cabo como campañas.</w:t>
      </w:r>
    </w:p>
    <w:p w14:paraId="4FD0E971" w14:textId="16B6E459" w:rsidR="00114114" w:rsidRPr="009257E7" w:rsidRDefault="00114114" w:rsidP="000E5169">
      <w:pPr>
        <w:spacing w:before="100" w:beforeAutospacing="1" w:after="100" w:afterAutospacing="1" w:line="240" w:lineRule="auto"/>
        <w:ind w:left="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 L</w:t>
      </w:r>
      <w:r w:rsidR="009D0423" w:rsidRPr="009257E7">
        <w:rPr>
          <w:rFonts w:ascii="Times New Roman" w:eastAsia="Times New Roman" w:hAnsi="Times New Roman" w:cs="Times New Roman"/>
          <w:kern w:val="0"/>
          <w:lang w:val="es-ES"/>
          <w14:ligatures w14:val="none"/>
        </w:rPr>
        <w:t>o</w:t>
      </w:r>
      <w:r w:rsidRPr="009257E7">
        <w:rPr>
          <w:rFonts w:ascii="Times New Roman" w:eastAsia="Times New Roman" w:hAnsi="Times New Roman" w:cs="Times New Roman"/>
          <w:kern w:val="0"/>
          <w:lang w:val="es-ES"/>
          <w14:ligatures w14:val="none"/>
        </w:rPr>
        <w:t xml:space="preserve">s organizadores involucran a las personas en deliberar sobre [cómo] pueden convertir lo que tienen —recursos— en lo que necesitan —poder— para obtener lo que quieren —sus intereses—: estrategia. El poder es la influencia que nuestros recursos pueden </w:t>
      </w:r>
      <w:r w:rsidR="004401D1" w:rsidRPr="009257E7">
        <w:rPr>
          <w:rFonts w:ascii="Times New Roman" w:eastAsia="Times New Roman" w:hAnsi="Times New Roman" w:cs="Times New Roman"/>
          <w:kern w:val="0"/>
          <w:lang w:val="es-ES"/>
          <w14:ligatures w14:val="none"/>
        </w:rPr>
        <w:t>ejerc</w:t>
      </w:r>
      <w:r w:rsidRPr="009257E7">
        <w:rPr>
          <w:rFonts w:ascii="Times New Roman" w:eastAsia="Times New Roman" w:hAnsi="Times New Roman" w:cs="Times New Roman"/>
          <w:kern w:val="0"/>
          <w:lang w:val="es-ES"/>
          <w14:ligatures w14:val="none"/>
        </w:rPr>
        <w:t>er sobre los intereses de otr</w:t>
      </w:r>
      <w:r w:rsidR="009D0423" w:rsidRPr="009257E7">
        <w:rPr>
          <w:rFonts w:ascii="Times New Roman" w:eastAsia="Times New Roman" w:hAnsi="Times New Roman" w:cs="Times New Roman"/>
          <w:kern w:val="0"/>
          <w:lang w:val="es-ES"/>
          <w14:ligatures w14:val="none"/>
        </w:rPr>
        <w:t>o</w:t>
      </w:r>
      <w:r w:rsidRPr="009257E7">
        <w:rPr>
          <w:rFonts w:ascii="Times New Roman" w:eastAsia="Times New Roman" w:hAnsi="Times New Roman" w:cs="Times New Roman"/>
          <w:kern w:val="0"/>
          <w:lang w:val="es-ES"/>
          <w14:ligatures w14:val="none"/>
        </w:rPr>
        <w:t xml:space="preserve">s que poseen recursos capaces de influir en </w:t>
      </w:r>
      <w:r w:rsidR="004401D1" w:rsidRPr="009257E7">
        <w:rPr>
          <w:rFonts w:ascii="Times New Roman" w:eastAsia="Times New Roman" w:hAnsi="Times New Roman" w:cs="Times New Roman"/>
          <w:kern w:val="0"/>
          <w:lang w:val="es-ES"/>
          <w14:ligatures w14:val="none"/>
        </w:rPr>
        <w:t>l</w:t>
      </w:r>
      <w:r w:rsidRPr="009257E7">
        <w:rPr>
          <w:rFonts w:ascii="Times New Roman" w:eastAsia="Times New Roman" w:hAnsi="Times New Roman" w:cs="Times New Roman"/>
          <w:kern w:val="0"/>
          <w:lang w:val="es-ES"/>
          <w14:ligatures w14:val="none"/>
        </w:rPr>
        <w:t xml:space="preserve">os </w:t>
      </w:r>
      <w:r w:rsidR="004401D1" w:rsidRPr="009257E7">
        <w:rPr>
          <w:rFonts w:ascii="Times New Roman" w:eastAsia="Times New Roman" w:hAnsi="Times New Roman" w:cs="Times New Roman"/>
          <w:kern w:val="0"/>
          <w:lang w:val="es-ES"/>
          <w14:ligatures w14:val="none"/>
        </w:rPr>
        <w:t>nuestro</w:t>
      </w:r>
      <w:r w:rsidRPr="009257E7">
        <w:rPr>
          <w:rFonts w:ascii="Times New Roman" w:eastAsia="Times New Roman" w:hAnsi="Times New Roman" w:cs="Times New Roman"/>
          <w:kern w:val="0"/>
          <w:lang w:val="es-ES"/>
          <w14:ligatures w14:val="none"/>
        </w:rPr>
        <w:t>s. Organizar a menudo requiere usar nuestros recursos para movilizar poder de manera interdependiente con otr</w:t>
      </w:r>
      <w:r w:rsidR="004401D1" w:rsidRPr="009257E7">
        <w:rPr>
          <w:rFonts w:ascii="Times New Roman" w:eastAsia="Times New Roman" w:hAnsi="Times New Roman" w:cs="Times New Roman"/>
          <w:kern w:val="0"/>
          <w:lang w:val="es-ES"/>
          <w14:ligatures w14:val="none"/>
        </w:rPr>
        <w:t>o</w:t>
      </w:r>
      <w:r w:rsidRPr="009257E7">
        <w:rPr>
          <w:rFonts w:ascii="Times New Roman" w:eastAsia="Times New Roman" w:hAnsi="Times New Roman" w:cs="Times New Roman"/>
          <w:kern w:val="0"/>
          <w:lang w:val="es-ES"/>
          <w14:ligatures w14:val="none"/>
        </w:rPr>
        <w:t xml:space="preserve">s cuyos intereses compartimos, con el fin de desafiar el </w:t>
      </w:r>
      <w:r w:rsidRPr="009257E7">
        <w:rPr>
          <w:rFonts w:ascii="Times New Roman" w:eastAsia="Times New Roman" w:hAnsi="Times New Roman" w:cs="Times New Roman"/>
          <w:kern w:val="0"/>
          <w:lang w:val="es-ES"/>
          <w14:ligatures w14:val="none"/>
        </w:rPr>
        <w:lastRenderedPageBreak/>
        <w:t>poder ejercido sobre nosotr</w:t>
      </w:r>
      <w:r w:rsidR="004401D1" w:rsidRPr="009257E7">
        <w:rPr>
          <w:rFonts w:ascii="Times New Roman" w:eastAsia="Times New Roman" w:hAnsi="Times New Roman" w:cs="Times New Roman"/>
          <w:kern w:val="0"/>
          <w:lang w:val="es-ES"/>
          <w14:ligatures w14:val="none"/>
        </w:rPr>
        <w:t>o</w:t>
      </w:r>
      <w:r w:rsidRPr="009257E7">
        <w:rPr>
          <w:rFonts w:ascii="Times New Roman" w:eastAsia="Times New Roman" w:hAnsi="Times New Roman" w:cs="Times New Roman"/>
          <w:kern w:val="0"/>
          <w:lang w:val="es-ES"/>
          <w14:ligatures w14:val="none"/>
        </w:rPr>
        <w:t>s por otr</w:t>
      </w:r>
      <w:r w:rsidR="004401D1" w:rsidRPr="009257E7">
        <w:rPr>
          <w:rFonts w:ascii="Times New Roman" w:eastAsia="Times New Roman" w:hAnsi="Times New Roman" w:cs="Times New Roman"/>
          <w:kern w:val="0"/>
          <w:lang w:val="es-ES"/>
          <w14:ligatures w14:val="none"/>
        </w:rPr>
        <w:t>o</w:t>
      </w:r>
      <w:r w:rsidRPr="009257E7">
        <w:rPr>
          <w:rFonts w:ascii="Times New Roman" w:eastAsia="Times New Roman" w:hAnsi="Times New Roman" w:cs="Times New Roman"/>
          <w:kern w:val="0"/>
          <w:lang w:val="es-ES"/>
          <w14:ligatures w14:val="none"/>
        </w:rPr>
        <w:t>s cuyos intereses entran en conflicto con los nuestros.</w:t>
      </w:r>
    </w:p>
    <w:p w14:paraId="1C987EC0" w14:textId="4C8D7FB5" w:rsidR="00114114" w:rsidRPr="009257E7" w:rsidRDefault="00114114" w:rsidP="004401D1">
      <w:pPr>
        <w:spacing w:before="100" w:beforeAutospacing="1" w:after="100" w:afterAutospacing="1" w:line="240" w:lineRule="auto"/>
        <w:ind w:left="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 L</w:t>
      </w:r>
      <w:r w:rsidR="004401D1" w:rsidRPr="009257E7">
        <w:rPr>
          <w:rFonts w:ascii="Times New Roman" w:eastAsia="Times New Roman" w:hAnsi="Times New Roman" w:cs="Times New Roman"/>
          <w:kern w:val="0"/>
          <w:lang w:val="es-ES"/>
          <w14:ligatures w14:val="none"/>
        </w:rPr>
        <w:t>o</w:t>
      </w:r>
      <w:r w:rsidRPr="009257E7">
        <w:rPr>
          <w:rFonts w:ascii="Times New Roman" w:eastAsia="Times New Roman" w:hAnsi="Times New Roman" w:cs="Times New Roman"/>
          <w:kern w:val="0"/>
          <w:lang w:val="es-ES"/>
          <w14:ligatures w14:val="none"/>
        </w:rPr>
        <w:t>s organizadores [...] construyen comunidades fuertes mediante las cuales las personas adquieren una comprensión nueva de sus intereses, así como el poder para actuar sobre ellos: comunidades delimitadas pero inclusivas, comunitarias pero diversas, solidarias pero tolerantes. Desarrollan una relación entre una base y sus líderes</w:t>
      </w:r>
      <w:r w:rsidR="00351BBA" w:rsidRPr="009257E7">
        <w:rPr>
          <w:rFonts w:ascii="Times New Roman" w:eastAsia="Times New Roman" w:hAnsi="Times New Roman" w:cs="Times New Roman"/>
          <w:kern w:val="0"/>
          <w:lang w:val="es-ES"/>
          <w14:ligatures w14:val="none"/>
        </w:rPr>
        <w:t>,</w:t>
      </w:r>
      <w:r w:rsidRPr="009257E7">
        <w:rPr>
          <w:rFonts w:ascii="Times New Roman" w:eastAsia="Times New Roman" w:hAnsi="Times New Roman" w:cs="Times New Roman"/>
          <w:kern w:val="0"/>
          <w:lang w:val="es-ES"/>
          <w14:ligatures w14:val="none"/>
        </w:rPr>
        <w:t xml:space="preserve"> basada en</w:t>
      </w:r>
      <w:r w:rsidR="00351BBA" w:rsidRPr="009257E7">
        <w:rPr>
          <w:rFonts w:ascii="Times New Roman" w:eastAsia="Times New Roman" w:hAnsi="Times New Roman" w:cs="Times New Roman"/>
          <w:kern w:val="0"/>
          <w:lang w:val="es-ES"/>
          <w14:ligatures w14:val="none"/>
        </w:rPr>
        <w:t xml:space="preserve"> la</w:t>
      </w:r>
      <w:r w:rsidRPr="009257E7">
        <w:rPr>
          <w:rFonts w:ascii="Times New Roman" w:eastAsia="Times New Roman" w:hAnsi="Times New Roman" w:cs="Times New Roman"/>
          <w:kern w:val="0"/>
          <w:lang w:val="es-ES"/>
          <w14:ligatures w14:val="none"/>
        </w:rPr>
        <w:t xml:space="preserve"> responsabilidad mutua y</w:t>
      </w:r>
      <w:r w:rsidR="00351BBA" w:rsidRPr="009257E7">
        <w:rPr>
          <w:rFonts w:ascii="Times New Roman" w:eastAsia="Times New Roman" w:hAnsi="Times New Roman" w:cs="Times New Roman"/>
          <w:kern w:val="0"/>
          <w:lang w:val="es-ES"/>
          <w14:ligatures w14:val="none"/>
        </w:rPr>
        <w:t xml:space="preserve"> la</w:t>
      </w:r>
      <w:r w:rsidRPr="009257E7">
        <w:rPr>
          <w:rFonts w:ascii="Times New Roman" w:eastAsia="Times New Roman" w:hAnsi="Times New Roman" w:cs="Times New Roman"/>
          <w:kern w:val="0"/>
          <w:lang w:val="es-ES"/>
          <w14:ligatures w14:val="none"/>
        </w:rPr>
        <w:t xml:space="preserve"> rendición de cuentas.</w:t>
      </w:r>
      <w:r w:rsidR="00E72F9D" w:rsidRPr="009257E7">
        <w:rPr>
          <w:rStyle w:val="FootnoteReference"/>
          <w:rFonts w:ascii="Times New Roman" w:eastAsia="Times New Roman" w:hAnsi="Times New Roman" w:cs="Times New Roman"/>
          <w:kern w:val="0"/>
          <w:lang w:val="es-ES"/>
          <w14:ligatures w14:val="none"/>
        </w:rPr>
        <w:footnoteReference w:id="184"/>
      </w:r>
    </w:p>
    <w:p w14:paraId="21435867" w14:textId="16543526" w:rsidR="00114114" w:rsidRPr="009257E7" w:rsidRDefault="00114114" w:rsidP="00E72F9D">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 xml:space="preserve">Les organizadores, entonces, facilitan la estructuración de </w:t>
      </w:r>
      <w:r w:rsidR="00E72F9D" w:rsidRPr="009257E7">
        <w:rPr>
          <w:rFonts w:ascii="Times New Roman" w:eastAsia="Times New Roman" w:hAnsi="Times New Roman" w:cs="Times New Roman"/>
          <w:kern w:val="0"/>
          <w:lang w:val="es-ES"/>
          <w14:ligatures w14:val="none"/>
        </w:rPr>
        <w:t xml:space="preserve">los </w:t>
      </w:r>
      <w:r w:rsidRPr="009257E7">
        <w:rPr>
          <w:rFonts w:ascii="Times New Roman" w:eastAsia="Times New Roman" w:hAnsi="Times New Roman" w:cs="Times New Roman"/>
          <w:kern w:val="0"/>
          <w:lang w:val="es-ES"/>
          <w14:ligatures w14:val="none"/>
        </w:rPr>
        <w:t xml:space="preserve">grupos y de sus esfuerzos. Pero para lograr </w:t>
      </w:r>
      <w:r w:rsidR="00E72F9D" w:rsidRPr="009257E7">
        <w:rPr>
          <w:rFonts w:ascii="Times New Roman" w:eastAsia="Times New Roman" w:hAnsi="Times New Roman" w:cs="Times New Roman"/>
          <w:kern w:val="0"/>
          <w:lang w:val="es-ES"/>
          <w14:ligatures w14:val="none"/>
        </w:rPr>
        <w:t>avance</w:t>
      </w:r>
      <w:r w:rsidRPr="009257E7">
        <w:rPr>
          <w:rFonts w:ascii="Times New Roman" w:eastAsia="Times New Roman" w:hAnsi="Times New Roman" w:cs="Times New Roman"/>
          <w:kern w:val="0"/>
          <w:lang w:val="es-ES"/>
          <w14:ligatures w14:val="none"/>
        </w:rPr>
        <w:t xml:space="preserve">s constantes hacia la Justicia Crítica, los grupos organizados luchan por cambiar los conceptos fundacionales y las “reglas del juego”. Les abogades y activistas deben disputar no solo </w:t>
      </w:r>
      <w:r w:rsidR="00E72F9D" w:rsidRPr="009257E7">
        <w:rPr>
          <w:rFonts w:ascii="Times New Roman" w:eastAsia="Times New Roman" w:hAnsi="Times New Roman" w:cs="Times New Roman"/>
          <w:kern w:val="0"/>
          <w:lang w:val="es-ES"/>
          <w14:ligatures w14:val="none"/>
        </w:rPr>
        <w:t xml:space="preserve">los </w:t>
      </w:r>
      <w:r w:rsidRPr="009257E7">
        <w:rPr>
          <w:rFonts w:ascii="Times New Roman" w:eastAsia="Times New Roman" w:hAnsi="Times New Roman" w:cs="Times New Roman"/>
          <w:kern w:val="0"/>
          <w:lang w:val="es-ES"/>
          <w14:ligatures w14:val="none"/>
        </w:rPr>
        <w:t xml:space="preserve">resultados particulares bajo las reglas existentes, </w:t>
      </w:r>
      <w:r w:rsidR="00E72F9D" w:rsidRPr="009257E7">
        <w:rPr>
          <w:rFonts w:ascii="Times New Roman" w:eastAsia="Times New Roman" w:hAnsi="Times New Roman" w:cs="Times New Roman"/>
          <w:kern w:val="0"/>
          <w:lang w:val="es-ES"/>
          <w14:ligatures w14:val="none"/>
        </w:rPr>
        <w:t>sino</w:t>
      </w:r>
      <w:r w:rsidRPr="009257E7">
        <w:rPr>
          <w:rFonts w:ascii="Times New Roman" w:eastAsia="Times New Roman" w:hAnsi="Times New Roman" w:cs="Times New Roman"/>
          <w:kern w:val="0"/>
          <w:lang w:val="es-ES"/>
          <w14:ligatures w14:val="none"/>
        </w:rPr>
        <w:t xml:space="preserve"> </w:t>
      </w:r>
      <w:r w:rsidR="00E72F9D" w:rsidRPr="009257E7">
        <w:rPr>
          <w:rFonts w:ascii="Times New Roman" w:eastAsia="Times New Roman" w:hAnsi="Times New Roman" w:cs="Times New Roman"/>
          <w:kern w:val="0"/>
          <w:lang w:val="es-ES"/>
          <w14:ligatures w14:val="none"/>
        </w:rPr>
        <w:t>tambié</w:t>
      </w:r>
      <w:r w:rsidRPr="009257E7">
        <w:rPr>
          <w:rFonts w:ascii="Times New Roman" w:eastAsia="Times New Roman" w:hAnsi="Times New Roman" w:cs="Times New Roman"/>
          <w:kern w:val="0"/>
          <w:lang w:val="es-ES"/>
          <w14:ligatures w14:val="none"/>
        </w:rPr>
        <w:t>n comprender cómo los conceptos y las reglas subyacentes están sesgados para crear ventajas y desventajas que hacen probables esos resultados particulares.</w:t>
      </w:r>
      <w:r w:rsidR="00E72F9D" w:rsidRPr="009257E7">
        <w:rPr>
          <w:rFonts w:ascii="Times New Roman" w:eastAsia="Times New Roman" w:hAnsi="Times New Roman" w:cs="Times New Roman"/>
          <w:kern w:val="0"/>
          <w:lang w:val="es-ES"/>
          <w14:ligatures w14:val="none"/>
        </w:rPr>
        <w:t xml:space="preserve"> </w:t>
      </w:r>
    </w:p>
    <w:p w14:paraId="2FA33A4A" w14:textId="73EA988D" w:rsidR="00114114" w:rsidRPr="009257E7" w:rsidRDefault="00114114" w:rsidP="00E72F9D">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 xml:space="preserve">Como se abordó en el capítulo 3, las élites construyeron y mantienen la industria jurídica como un sistema de reglas diseñado para brindarles </w:t>
      </w:r>
      <w:r w:rsidR="00E72F9D" w:rsidRPr="009257E7">
        <w:rPr>
          <w:rFonts w:ascii="Times New Roman" w:eastAsia="Times New Roman" w:hAnsi="Times New Roman" w:cs="Times New Roman"/>
          <w:kern w:val="0"/>
          <w:lang w:val="es-ES"/>
          <w14:ligatures w14:val="none"/>
        </w:rPr>
        <w:t>la mayor</w:t>
      </w:r>
      <w:r w:rsidRPr="009257E7">
        <w:rPr>
          <w:rFonts w:ascii="Times New Roman" w:eastAsia="Times New Roman" w:hAnsi="Times New Roman" w:cs="Times New Roman"/>
          <w:kern w:val="0"/>
          <w:lang w:val="es-ES"/>
          <w14:ligatures w14:val="none"/>
        </w:rPr>
        <w:t xml:space="preserve"> ventaja posible en </w:t>
      </w:r>
      <w:r w:rsidR="00E72F9D" w:rsidRPr="009257E7">
        <w:rPr>
          <w:rFonts w:ascii="Times New Roman" w:eastAsia="Times New Roman" w:hAnsi="Times New Roman" w:cs="Times New Roman"/>
          <w:kern w:val="0"/>
          <w:lang w:val="es-ES"/>
          <w14:ligatures w14:val="none"/>
        </w:rPr>
        <w:t>cualquier</w:t>
      </w:r>
      <w:r w:rsidRPr="009257E7">
        <w:rPr>
          <w:rFonts w:ascii="Times New Roman" w:eastAsia="Times New Roman" w:hAnsi="Times New Roman" w:cs="Times New Roman"/>
          <w:kern w:val="0"/>
          <w:lang w:val="es-ES"/>
          <w14:ligatures w14:val="none"/>
        </w:rPr>
        <w:t xml:space="preserve"> disputa imaginable. Se convierten en los </w:t>
      </w:r>
      <w:r w:rsidR="00321EFA" w:rsidRPr="009257E7">
        <w:rPr>
          <w:rFonts w:ascii="Times New Roman" w:eastAsia="Times New Roman" w:hAnsi="Times New Roman" w:cs="Times New Roman"/>
          <w:kern w:val="0"/>
          <w:lang w:val="es-ES"/>
          <w14:ligatures w14:val="none"/>
        </w:rPr>
        <w:t>participantes</w:t>
      </w:r>
      <w:r w:rsidRPr="009257E7">
        <w:rPr>
          <w:rFonts w:ascii="Times New Roman" w:eastAsia="Times New Roman" w:hAnsi="Times New Roman" w:cs="Times New Roman"/>
          <w:kern w:val="0"/>
          <w:lang w:val="es-ES"/>
          <w14:ligatures w14:val="none"/>
        </w:rPr>
        <w:t xml:space="preserve"> re</w:t>
      </w:r>
      <w:r w:rsidR="00770DE2" w:rsidRPr="009257E7">
        <w:rPr>
          <w:rFonts w:ascii="Times New Roman" w:eastAsia="Times New Roman" w:hAnsi="Times New Roman" w:cs="Times New Roman"/>
          <w:kern w:val="0"/>
          <w:lang w:val="es-ES"/>
          <w14:ligatures w14:val="none"/>
        </w:rPr>
        <w:t xml:space="preserve">currentes </w:t>
      </w:r>
      <w:r w:rsidRPr="009257E7">
        <w:rPr>
          <w:rFonts w:ascii="Times New Roman" w:eastAsia="Times New Roman" w:hAnsi="Times New Roman" w:cs="Times New Roman"/>
          <w:kern w:val="0"/>
          <w:lang w:val="es-ES"/>
          <w14:ligatures w14:val="none"/>
        </w:rPr>
        <w:t xml:space="preserve">originales. En respuesta, la lucha grupal organizada participa de manera similar en la disputa para atender un asunto particular, mientras </w:t>
      </w:r>
      <w:r w:rsidR="007F115E" w:rsidRPr="009257E7">
        <w:rPr>
          <w:rFonts w:ascii="Times New Roman" w:eastAsia="Times New Roman" w:hAnsi="Times New Roman" w:cs="Times New Roman"/>
          <w:kern w:val="0"/>
          <w:lang w:val="es-ES"/>
          <w14:ligatures w14:val="none"/>
        </w:rPr>
        <w:t xml:space="preserve">que </w:t>
      </w:r>
      <w:r w:rsidRPr="009257E7">
        <w:rPr>
          <w:rFonts w:ascii="Times New Roman" w:eastAsia="Times New Roman" w:hAnsi="Times New Roman" w:cs="Times New Roman"/>
          <w:kern w:val="0"/>
          <w:lang w:val="es-ES"/>
          <w14:ligatures w14:val="none"/>
        </w:rPr>
        <w:t xml:space="preserve">también </w:t>
      </w:r>
      <w:r w:rsidR="007F115E" w:rsidRPr="009257E7">
        <w:rPr>
          <w:rFonts w:ascii="Times New Roman" w:eastAsia="Times New Roman" w:hAnsi="Times New Roman" w:cs="Times New Roman"/>
          <w:kern w:val="0"/>
          <w:lang w:val="es-ES"/>
          <w14:ligatures w14:val="none"/>
        </w:rPr>
        <w:t>contes</w:t>
      </w:r>
      <w:r w:rsidRPr="009257E7">
        <w:rPr>
          <w:rFonts w:ascii="Times New Roman" w:eastAsia="Times New Roman" w:hAnsi="Times New Roman" w:cs="Times New Roman"/>
          <w:kern w:val="0"/>
          <w:lang w:val="es-ES"/>
          <w14:ligatures w14:val="none"/>
        </w:rPr>
        <w:t xml:space="preserve">ta —para cambiar— los conceptos fundacionales y las reglas básicas. Solo al desarrollarse como </w:t>
      </w:r>
      <w:r w:rsidR="00321EFA" w:rsidRPr="009257E7">
        <w:rPr>
          <w:rFonts w:ascii="Times New Roman" w:eastAsia="Times New Roman" w:hAnsi="Times New Roman" w:cs="Times New Roman"/>
          <w:kern w:val="0"/>
          <w:lang w:val="es-ES"/>
          <w14:ligatures w14:val="none"/>
        </w:rPr>
        <w:t>participantes</w:t>
      </w:r>
      <w:r w:rsidRPr="009257E7">
        <w:rPr>
          <w:rFonts w:ascii="Times New Roman" w:eastAsia="Times New Roman" w:hAnsi="Times New Roman" w:cs="Times New Roman"/>
          <w:kern w:val="0"/>
          <w:lang w:val="es-ES"/>
          <w14:ligatures w14:val="none"/>
        </w:rPr>
        <w:t xml:space="preserve"> re</w:t>
      </w:r>
      <w:r w:rsidR="00770DE2" w:rsidRPr="009257E7">
        <w:rPr>
          <w:rFonts w:ascii="Times New Roman" w:eastAsia="Times New Roman" w:hAnsi="Times New Roman" w:cs="Times New Roman"/>
          <w:kern w:val="0"/>
          <w:lang w:val="es-ES"/>
          <w14:ligatures w14:val="none"/>
        </w:rPr>
        <w:t>currentes</w:t>
      </w:r>
      <w:r w:rsidR="00321EFA" w:rsidRPr="009257E7">
        <w:rPr>
          <w:rFonts w:ascii="Times New Roman" w:eastAsia="Times New Roman" w:hAnsi="Times New Roman" w:cs="Times New Roman"/>
          <w:kern w:val="0"/>
          <w:lang w:val="es-ES"/>
          <w14:ligatures w14:val="none"/>
        </w:rPr>
        <w:t>,</w:t>
      </w:r>
      <w:r w:rsidRPr="009257E7">
        <w:rPr>
          <w:rFonts w:ascii="Times New Roman" w:eastAsia="Times New Roman" w:hAnsi="Times New Roman" w:cs="Times New Roman"/>
          <w:kern w:val="0"/>
          <w:lang w:val="es-ES"/>
          <w14:ligatures w14:val="none"/>
        </w:rPr>
        <w:t xml:space="preserve"> les abogades y los grupos </w:t>
      </w:r>
      <w:r w:rsidR="007F115E" w:rsidRPr="009257E7">
        <w:rPr>
          <w:rFonts w:ascii="Times New Roman" w:eastAsia="Times New Roman" w:hAnsi="Times New Roman" w:cs="Times New Roman"/>
          <w:kern w:val="0"/>
          <w:lang w:val="es-ES"/>
          <w14:ligatures w14:val="none"/>
        </w:rPr>
        <w:t xml:space="preserve">pueden </w:t>
      </w:r>
      <w:r w:rsidRPr="009257E7">
        <w:rPr>
          <w:rFonts w:ascii="Times New Roman" w:eastAsia="Times New Roman" w:hAnsi="Times New Roman" w:cs="Times New Roman"/>
          <w:kern w:val="0"/>
          <w:lang w:val="es-ES"/>
          <w14:ligatures w14:val="none"/>
        </w:rPr>
        <w:t xml:space="preserve">alterar las probabilidades de cada disputa y construir poder desde abajo para diseñar una transformación social intencional, poco a poco, a </w:t>
      </w:r>
      <w:r w:rsidR="00770DE2" w:rsidRPr="009257E7">
        <w:rPr>
          <w:rFonts w:ascii="Times New Roman" w:eastAsia="Times New Roman" w:hAnsi="Times New Roman" w:cs="Times New Roman"/>
          <w:kern w:val="0"/>
          <w:lang w:val="es-ES"/>
          <w14:ligatures w14:val="none"/>
        </w:rPr>
        <w:t>lo largo</w:t>
      </w:r>
      <w:r w:rsidRPr="009257E7">
        <w:rPr>
          <w:rFonts w:ascii="Times New Roman" w:eastAsia="Times New Roman" w:hAnsi="Times New Roman" w:cs="Times New Roman"/>
          <w:kern w:val="0"/>
          <w:lang w:val="es-ES"/>
          <w14:ligatures w14:val="none"/>
        </w:rPr>
        <w:t xml:space="preserve"> del tiempo. Solo de esta manera</w:t>
      </w:r>
      <w:r w:rsidR="007F115E" w:rsidRPr="009257E7">
        <w:rPr>
          <w:rFonts w:ascii="Times New Roman" w:eastAsia="Times New Roman" w:hAnsi="Times New Roman" w:cs="Times New Roman"/>
          <w:kern w:val="0"/>
          <w:lang w:val="es-ES"/>
          <w14:ligatures w14:val="none"/>
        </w:rPr>
        <w:t>,</w:t>
      </w:r>
      <w:r w:rsidRPr="009257E7">
        <w:rPr>
          <w:rFonts w:ascii="Times New Roman" w:eastAsia="Times New Roman" w:hAnsi="Times New Roman" w:cs="Times New Roman"/>
          <w:kern w:val="0"/>
          <w:lang w:val="es-ES"/>
          <w14:ligatures w14:val="none"/>
        </w:rPr>
        <w:t xml:space="preserve"> quienes “no tienen” pueden desafiar la ventaja sistémica de quienes “tienen”</w:t>
      </w:r>
      <w:r w:rsidR="00321EFA" w:rsidRPr="009257E7">
        <w:rPr>
          <w:rFonts w:ascii="Times New Roman" w:eastAsia="Times New Roman" w:hAnsi="Times New Roman" w:cs="Times New Roman"/>
          <w:kern w:val="0"/>
          <w:lang w:val="es-ES"/>
          <w14:ligatures w14:val="none"/>
        </w:rPr>
        <w:t>,</w:t>
      </w:r>
      <w:r w:rsidRPr="009257E7">
        <w:rPr>
          <w:rFonts w:ascii="Times New Roman" w:eastAsia="Times New Roman" w:hAnsi="Times New Roman" w:cs="Times New Roman"/>
          <w:kern w:val="0"/>
          <w:lang w:val="es-ES"/>
          <w14:ligatures w14:val="none"/>
        </w:rPr>
        <w:t xml:space="preserve"> </w:t>
      </w:r>
      <w:r w:rsidR="007F115E" w:rsidRPr="009257E7">
        <w:rPr>
          <w:rFonts w:ascii="Times New Roman" w:eastAsia="Times New Roman" w:hAnsi="Times New Roman" w:cs="Times New Roman"/>
          <w:kern w:val="0"/>
          <w:lang w:val="es-ES"/>
          <w14:ligatures w14:val="none"/>
        </w:rPr>
        <w:t>en</w:t>
      </w:r>
      <w:r w:rsidRPr="009257E7">
        <w:rPr>
          <w:rFonts w:ascii="Times New Roman" w:eastAsia="Times New Roman" w:hAnsi="Times New Roman" w:cs="Times New Roman"/>
          <w:kern w:val="0"/>
          <w:lang w:val="es-ES"/>
          <w14:ligatures w14:val="none"/>
        </w:rPr>
        <w:t xml:space="preserve"> contextos contemporáneos.</w:t>
      </w:r>
    </w:p>
    <w:p w14:paraId="23FFFEAE" w14:textId="0C430E8E" w:rsidR="00114114" w:rsidRPr="009257E7" w:rsidRDefault="00114114" w:rsidP="007123CC">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 xml:space="preserve">Para contrarrestar este arreglo sistémico, les abogades sistémiques trabajan para crear y apoyar grupos capaces de perseguir estrategias </w:t>
      </w:r>
      <w:r w:rsidR="007123CC" w:rsidRPr="009257E7">
        <w:rPr>
          <w:rFonts w:ascii="Times New Roman" w:eastAsia="Times New Roman" w:hAnsi="Times New Roman" w:cs="Times New Roman"/>
          <w:kern w:val="0"/>
          <w:lang w:val="es-ES"/>
          <w14:ligatures w14:val="none"/>
        </w:rPr>
        <w:t>a</w:t>
      </w:r>
      <w:r w:rsidRPr="009257E7">
        <w:rPr>
          <w:rFonts w:ascii="Times New Roman" w:eastAsia="Times New Roman" w:hAnsi="Times New Roman" w:cs="Times New Roman"/>
          <w:kern w:val="0"/>
          <w:lang w:val="es-ES"/>
          <w14:ligatures w14:val="none"/>
        </w:rPr>
        <w:t xml:space="preserve"> largo plazo que incluyan reconfigurar premisas de fondo, conceptos fundacionales y reglas básicas, con el fin de nivelar los campos de juego. Esta capacidad para reconfigurar las líneas base sistémicas mediante acciones organizadas de </w:t>
      </w:r>
      <w:r w:rsidR="00C85950" w:rsidRPr="009257E7">
        <w:rPr>
          <w:rFonts w:ascii="Times New Roman" w:eastAsia="Times New Roman" w:hAnsi="Times New Roman" w:cs="Times New Roman"/>
          <w:kern w:val="0"/>
          <w:lang w:val="es-ES"/>
          <w14:ligatures w14:val="none"/>
        </w:rPr>
        <w:t>participantes recurrentes</w:t>
      </w:r>
      <w:r w:rsidRPr="009257E7">
        <w:rPr>
          <w:rFonts w:ascii="Times New Roman" w:eastAsia="Times New Roman" w:hAnsi="Times New Roman" w:cs="Times New Roman"/>
          <w:kern w:val="0"/>
          <w:lang w:val="es-ES"/>
          <w14:ligatures w14:val="none"/>
        </w:rPr>
        <w:t xml:space="preserve"> es </w:t>
      </w:r>
      <w:r w:rsidR="00C85950" w:rsidRPr="009257E7">
        <w:rPr>
          <w:rFonts w:ascii="Times New Roman" w:eastAsia="Times New Roman" w:hAnsi="Times New Roman" w:cs="Times New Roman"/>
          <w:kern w:val="0"/>
          <w:lang w:val="es-ES"/>
          <w14:ligatures w14:val="none"/>
        </w:rPr>
        <w:t>una d</w:t>
      </w:r>
      <w:r w:rsidRPr="009257E7">
        <w:rPr>
          <w:rFonts w:ascii="Times New Roman" w:eastAsia="Times New Roman" w:hAnsi="Times New Roman" w:cs="Times New Roman"/>
          <w:kern w:val="0"/>
          <w:lang w:val="es-ES"/>
          <w14:ligatures w14:val="none"/>
        </w:rPr>
        <w:t xml:space="preserve">e las palancas más poderosas para cambiar </w:t>
      </w:r>
      <w:r w:rsidR="00C85950" w:rsidRPr="009257E7">
        <w:rPr>
          <w:rFonts w:ascii="Times New Roman" w:eastAsia="Times New Roman" w:hAnsi="Times New Roman" w:cs="Times New Roman"/>
          <w:kern w:val="0"/>
          <w:lang w:val="es-ES"/>
          <w14:ligatures w14:val="none"/>
        </w:rPr>
        <w:t xml:space="preserve">los </w:t>
      </w:r>
      <w:r w:rsidRPr="009257E7">
        <w:rPr>
          <w:rFonts w:ascii="Times New Roman" w:eastAsia="Times New Roman" w:hAnsi="Times New Roman" w:cs="Times New Roman"/>
          <w:kern w:val="0"/>
          <w:lang w:val="es-ES"/>
          <w14:ligatures w14:val="none"/>
        </w:rPr>
        <w:t>resultados sistémicos.</w:t>
      </w:r>
      <w:r w:rsidR="007123CC" w:rsidRPr="009257E7">
        <w:rPr>
          <w:rFonts w:ascii="Times New Roman" w:eastAsia="Times New Roman" w:hAnsi="Times New Roman" w:cs="Times New Roman"/>
          <w:kern w:val="0"/>
          <w:lang w:val="es-ES"/>
          <w14:ligatures w14:val="none"/>
        </w:rPr>
        <w:t xml:space="preserve"> </w:t>
      </w:r>
    </w:p>
    <w:p w14:paraId="72E9CE11" w14:textId="12962C73" w:rsidR="00810F2C" w:rsidRPr="009257E7" w:rsidRDefault="00114114" w:rsidP="00B97108">
      <w:pPr>
        <w:spacing w:before="100" w:beforeAutospacing="1" w:after="100" w:afterAutospacing="1" w:line="240" w:lineRule="auto"/>
        <w:ind w:firstLine="720"/>
        <w:rPr>
          <w:rFonts w:ascii="Times New Roman" w:eastAsia="Times New Roman" w:hAnsi="Times New Roman" w:cs="Times New Roman"/>
          <w:b/>
          <w:bCs/>
          <w:kern w:val="0"/>
          <w:lang w:val="es-ES"/>
          <w14:ligatures w14:val="none"/>
        </w:rPr>
      </w:pPr>
      <w:r w:rsidRPr="009257E7">
        <w:rPr>
          <w:rFonts w:ascii="Times New Roman" w:eastAsia="Times New Roman" w:hAnsi="Times New Roman" w:cs="Times New Roman"/>
          <w:kern w:val="0"/>
          <w:lang w:val="es-ES"/>
          <w14:ligatures w14:val="none"/>
        </w:rPr>
        <w:t xml:space="preserve">En </w:t>
      </w:r>
      <w:r w:rsidR="00477746" w:rsidRPr="009257E7">
        <w:rPr>
          <w:rFonts w:ascii="Times New Roman" w:eastAsia="Times New Roman" w:hAnsi="Times New Roman" w:cs="Times New Roman"/>
          <w:kern w:val="0"/>
          <w:lang w:val="es-ES"/>
          <w14:ligatures w14:val="none"/>
        </w:rPr>
        <w:t xml:space="preserve">los </w:t>
      </w:r>
      <w:r w:rsidRPr="009257E7">
        <w:rPr>
          <w:rFonts w:ascii="Times New Roman" w:eastAsia="Times New Roman" w:hAnsi="Times New Roman" w:cs="Times New Roman"/>
          <w:kern w:val="0"/>
          <w:lang w:val="es-ES"/>
          <w14:ligatures w14:val="none"/>
        </w:rPr>
        <w:t xml:space="preserve">Estados Unidos y en otros lugares, los sindicatos ofrecen un ejemplo esencial de </w:t>
      </w:r>
      <w:r w:rsidR="00477746" w:rsidRPr="009257E7">
        <w:rPr>
          <w:rFonts w:ascii="Times New Roman" w:eastAsia="Times New Roman" w:hAnsi="Times New Roman" w:cs="Times New Roman"/>
          <w:kern w:val="0"/>
          <w:lang w:val="es-ES"/>
          <w14:ligatures w14:val="none"/>
        </w:rPr>
        <w:t xml:space="preserve">participantes recurrentes </w:t>
      </w:r>
      <w:r w:rsidRPr="009257E7">
        <w:rPr>
          <w:rFonts w:ascii="Times New Roman" w:eastAsia="Times New Roman" w:hAnsi="Times New Roman" w:cs="Times New Roman"/>
          <w:kern w:val="0"/>
          <w:lang w:val="es-ES"/>
          <w14:ligatures w14:val="none"/>
        </w:rPr>
        <w:t xml:space="preserve">organizados y apoyados por sus abogades. </w:t>
      </w:r>
      <w:r w:rsidR="00477746" w:rsidRPr="009257E7">
        <w:rPr>
          <w:rFonts w:ascii="Times New Roman" w:eastAsia="Times New Roman" w:hAnsi="Times New Roman" w:cs="Times New Roman"/>
          <w:kern w:val="0"/>
          <w:lang w:val="es-ES"/>
          <w14:ligatures w14:val="none"/>
        </w:rPr>
        <w:t>A lo largo d</w:t>
      </w:r>
      <w:r w:rsidRPr="009257E7">
        <w:rPr>
          <w:rFonts w:ascii="Times New Roman" w:eastAsia="Times New Roman" w:hAnsi="Times New Roman" w:cs="Times New Roman"/>
          <w:kern w:val="0"/>
          <w:lang w:val="es-ES"/>
          <w14:ligatures w14:val="none"/>
        </w:rPr>
        <w:t xml:space="preserve">e su historia, los sindicatos han reescrito </w:t>
      </w:r>
      <w:r w:rsidR="00D712D4" w:rsidRPr="009257E7">
        <w:rPr>
          <w:rFonts w:ascii="Times New Roman" w:eastAsia="Times New Roman" w:hAnsi="Times New Roman" w:cs="Times New Roman"/>
          <w:kern w:val="0"/>
          <w:lang w:val="es-ES"/>
          <w14:ligatures w14:val="none"/>
        </w:rPr>
        <w:t xml:space="preserve">las </w:t>
      </w:r>
      <w:r w:rsidRPr="009257E7">
        <w:rPr>
          <w:rFonts w:ascii="Times New Roman" w:eastAsia="Times New Roman" w:hAnsi="Times New Roman" w:cs="Times New Roman"/>
          <w:kern w:val="0"/>
          <w:lang w:val="es-ES"/>
          <w14:ligatures w14:val="none"/>
        </w:rPr>
        <w:t>reglas básicas y</w:t>
      </w:r>
      <w:r w:rsidR="00D712D4" w:rsidRPr="009257E7">
        <w:rPr>
          <w:rFonts w:ascii="Times New Roman" w:eastAsia="Times New Roman" w:hAnsi="Times New Roman" w:cs="Times New Roman"/>
          <w:kern w:val="0"/>
          <w:lang w:val="es-ES"/>
          <w14:ligatures w14:val="none"/>
        </w:rPr>
        <w:t xml:space="preserve"> los</w:t>
      </w:r>
      <w:r w:rsidRPr="009257E7">
        <w:rPr>
          <w:rFonts w:ascii="Times New Roman" w:eastAsia="Times New Roman" w:hAnsi="Times New Roman" w:cs="Times New Roman"/>
          <w:kern w:val="0"/>
          <w:lang w:val="es-ES"/>
          <w14:ligatures w14:val="none"/>
        </w:rPr>
        <w:t xml:space="preserve"> conceptos fundacionales mediante la adjudicación y la legislación. </w:t>
      </w:r>
      <w:r w:rsidR="00D712D4" w:rsidRPr="009257E7">
        <w:rPr>
          <w:rFonts w:ascii="Times New Roman" w:eastAsia="Times New Roman" w:hAnsi="Times New Roman" w:cs="Times New Roman"/>
          <w:kern w:val="0"/>
          <w:lang w:val="es-ES"/>
          <w14:ligatures w14:val="none"/>
        </w:rPr>
        <w:t>L</w:t>
      </w:r>
      <w:r w:rsidRPr="009257E7">
        <w:rPr>
          <w:rFonts w:ascii="Times New Roman" w:eastAsia="Times New Roman" w:hAnsi="Times New Roman" w:cs="Times New Roman"/>
          <w:kern w:val="0"/>
          <w:lang w:val="es-ES"/>
          <w14:ligatures w14:val="none"/>
        </w:rPr>
        <w:t xml:space="preserve">es trabajadores organizades han tenido que adaptarse e innovar: a veces reescriben las reglas del juego, y otras veces reformulan sus </w:t>
      </w:r>
      <w:r w:rsidR="00D712D4" w:rsidRPr="009257E7">
        <w:rPr>
          <w:rFonts w:ascii="Times New Roman" w:eastAsia="Times New Roman" w:hAnsi="Times New Roman" w:cs="Times New Roman"/>
          <w:kern w:val="0"/>
          <w:lang w:val="es-ES"/>
          <w14:ligatures w14:val="none"/>
        </w:rPr>
        <w:t>posiciones</w:t>
      </w:r>
      <w:r w:rsidRPr="009257E7">
        <w:rPr>
          <w:rFonts w:ascii="Times New Roman" w:eastAsia="Times New Roman" w:hAnsi="Times New Roman" w:cs="Times New Roman"/>
          <w:kern w:val="0"/>
          <w:lang w:val="es-ES"/>
          <w14:ligatures w14:val="none"/>
        </w:rPr>
        <w:t xml:space="preserve"> dentro de marcos existentes. En una era de ataques desde arriba que han erosionado sus membresías y </w:t>
      </w:r>
      <w:r w:rsidR="00D712D4" w:rsidRPr="009257E7">
        <w:rPr>
          <w:rFonts w:ascii="Times New Roman" w:eastAsia="Times New Roman" w:hAnsi="Times New Roman" w:cs="Times New Roman"/>
          <w:kern w:val="0"/>
          <w:lang w:val="es-ES"/>
          <w14:ligatures w14:val="none"/>
        </w:rPr>
        <w:t xml:space="preserve">su </w:t>
      </w:r>
      <w:r w:rsidRPr="009257E7">
        <w:rPr>
          <w:rFonts w:ascii="Times New Roman" w:eastAsia="Times New Roman" w:hAnsi="Times New Roman" w:cs="Times New Roman"/>
          <w:kern w:val="0"/>
          <w:lang w:val="es-ES"/>
          <w14:ligatures w14:val="none"/>
        </w:rPr>
        <w:t xml:space="preserve">poder, los sindicatos demuestran la necesidad continua de innovación crítica para crear y sostener </w:t>
      </w:r>
      <w:r w:rsidR="00D712D4" w:rsidRPr="009257E7">
        <w:rPr>
          <w:rFonts w:ascii="Times New Roman" w:eastAsia="Times New Roman" w:hAnsi="Times New Roman" w:cs="Times New Roman"/>
          <w:kern w:val="0"/>
          <w:lang w:val="es-ES"/>
          <w14:ligatures w14:val="none"/>
        </w:rPr>
        <w:t>participantes recurrentes</w:t>
      </w:r>
      <w:r w:rsidRPr="009257E7">
        <w:rPr>
          <w:rFonts w:ascii="Times New Roman" w:eastAsia="Times New Roman" w:hAnsi="Times New Roman" w:cs="Times New Roman"/>
          <w:kern w:val="0"/>
          <w:lang w:val="es-ES"/>
          <w14:ligatures w14:val="none"/>
        </w:rPr>
        <w:t xml:space="preserve"> que conozcan o provengan de abajo.</w:t>
      </w:r>
      <w:r w:rsidR="00B97108" w:rsidRPr="009257E7">
        <w:rPr>
          <w:rFonts w:ascii="Times New Roman" w:eastAsia="Times New Roman" w:hAnsi="Times New Roman" w:cs="Times New Roman"/>
          <w:kern w:val="0"/>
          <w:lang w:val="es-ES"/>
          <w14:ligatures w14:val="none"/>
        </w:rPr>
        <w:br/>
      </w:r>
      <w:r w:rsidR="008F5B70" w:rsidRPr="009257E7">
        <w:rPr>
          <w:rFonts w:ascii="Times New Roman" w:eastAsia="Times New Roman" w:hAnsi="Times New Roman" w:cs="Times New Roman"/>
          <w:b/>
          <w:bCs/>
          <w:kern w:val="0"/>
          <w:lang w:val="es-ES"/>
          <w14:ligatures w14:val="none"/>
        </w:rPr>
        <w:lastRenderedPageBreak/>
        <w:br/>
        <w:t xml:space="preserve">5.2 </w:t>
      </w:r>
      <w:r w:rsidR="004131CE" w:rsidRPr="009257E7">
        <w:rPr>
          <w:rFonts w:ascii="Times New Roman" w:eastAsia="Times New Roman" w:hAnsi="Times New Roman" w:cs="Times New Roman"/>
          <w:b/>
          <w:bCs/>
          <w:kern w:val="0"/>
          <w:lang w:val="es-ES"/>
          <w14:ligatures w14:val="none"/>
        </w:rPr>
        <w:t>El conocimiento colectivo desde abajo guía y ancla la abogacía</w:t>
      </w:r>
    </w:p>
    <w:p w14:paraId="7B5ACEE4" w14:textId="3353295A" w:rsidR="00810F2C" w:rsidRPr="009257E7" w:rsidRDefault="00810F2C" w:rsidP="00172193">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 xml:space="preserve">Los grupos originalmente excluidos y subordinados en la distribución de </w:t>
      </w:r>
      <w:r w:rsidR="00CB61D3" w:rsidRPr="009257E7">
        <w:rPr>
          <w:rFonts w:ascii="Times New Roman" w:eastAsia="Times New Roman" w:hAnsi="Times New Roman" w:cs="Times New Roman"/>
          <w:kern w:val="0"/>
          <w:lang w:val="es-ES"/>
          <w14:ligatures w14:val="none"/>
        </w:rPr>
        <w:t xml:space="preserve">la </w:t>
      </w:r>
      <w:r w:rsidRPr="009257E7">
        <w:rPr>
          <w:rFonts w:ascii="Times New Roman" w:eastAsia="Times New Roman" w:hAnsi="Times New Roman" w:cs="Times New Roman"/>
          <w:kern w:val="0"/>
          <w:lang w:val="es-ES"/>
          <w14:ligatures w14:val="none"/>
        </w:rPr>
        <w:t>justicia, junto con otros, han sostenido luchas por la igualdad que exigen que el sistema cumpla</w:t>
      </w:r>
      <w:r w:rsidR="00CB61D3" w:rsidRPr="009257E7">
        <w:rPr>
          <w:rFonts w:ascii="Times New Roman" w:eastAsia="Times New Roman" w:hAnsi="Times New Roman" w:cs="Times New Roman"/>
          <w:kern w:val="0"/>
          <w:lang w:val="es-ES"/>
          <w14:ligatures w14:val="none"/>
        </w:rPr>
        <w:t xml:space="preserve"> con</w:t>
      </w:r>
      <w:r w:rsidRPr="009257E7">
        <w:rPr>
          <w:rFonts w:ascii="Times New Roman" w:eastAsia="Times New Roman" w:hAnsi="Times New Roman" w:cs="Times New Roman"/>
          <w:kern w:val="0"/>
          <w:lang w:val="es-ES"/>
          <w14:ligatures w14:val="none"/>
        </w:rPr>
        <w:t xml:space="preserve"> sus promesas y principios. Esas luchas difíciles, y el conocimiento crítico desde abajo que han producido, han impedido la consolidación sistémica de este Desafío Crítico y de sus sesgos como hegemonía: un statu quo incuestionado e incuestionable, mantenido por el poder desde arriba con al menos alguna aquiescencia desde abajo.</w:t>
      </w:r>
    </w:p>
    <w:p w14:paraId="65C00BD1" w14:textId="18663E9C" w:rsidR="00810F2C" w:rsidRPr="009257E7" w:rsidRDefault="00810F2C" w:rsidP="00B463A3">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En este esquema, quienes están abajo lo conocen mejor. Y también saben mejor cómo mejorarlo. Por tanto, el primer paso en la abogacía sistémica es: aprender desde abajo y apoyar a quienes están abajo.</w:t>
      </w:r>
      <w:r w:rsidR="00B463A3" w:rsidRPr="009257E7">
        <w:rPr>
          <w:rFonts w:ascii="Times New Roman" w:eastAsia="Times New Roman" w:hAnsi="Times New Roman" w:cs="Times New Roman"/>
          <w:kern w:val="0"/>
          <w:lang w:val="es-ES"/>
          <w14:ligatures w14:val="none"/>
        </w:rPr>
        <w:t xml:space="preserve"> </w:t>
      </w:r>
    </w:p>
    <w:p w14:paraId="13924F08" w14:textId="3A09EAFB" w:rsidR="00810F2C" w:rsidRPr="009257E7" w:rsidRDefault="00810F2C" w:rsidP="0056730D">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 xml:space="preserve">Las jerarquías grupales pueden cambiar, y de hecho </w:t>
      </w:r>
      <w:r w:rsidR="0056730D" w:rsidRPr="009257E7">
        <w:rPr>
          <w:rFonts w:ascii="Times New Roman" w:eastAsia="Times New Roman" w:hAnsi="Times New Roman" w:cs="Times New Roman"/>
          <w:kern w:val="0"/>
          <w:lang w:val="es-ES"/>
          <w14:ligatures w14:val="none"/>
        </w:rPr>
        <w:t>lo hace</w:t>
      </w:r>
      <w:r w:rsidRPr="009257E7">
        <w:rPr>
          <w:rFonts w:ascii="Times New Roman" w:eastAsia="Times New Roman" w:hAnsi="Times New Roman" w:cs="Times New Roman"/>
          <w:kern w:val="0"/>
          <w:lang w:val="es-ES"/>
          <w14:ligatures w14:val="none"/>
        </w:rPr>
        <w:t xml:space="preserve">n, de un contexto a otro, aunque todas pueden seguir interconectadas por diseño. Por ejemplo, al pensar en la experiencia de la violencia policial, ¿qué grupo o grupos constituyen el grupo desde abajo? Una respuesta a esta complejidad es </w:t>
      </w:r>
      <w:r w:rsidR="003B5A9F" w:rsidRPr="009257E7">
        <w:rPr>
          <w:rFonts w:ascii="Times New Roman" w:eastAsia="Times New Roman" w:hAnsi="Times New Roman" w:cs="Times New Roman"/>
          <w:kern w:val="0"/>
          <w:lang w:val="es-ES"/>
          <w14:ligatures w14:val="none"/>
        </w:rPr>
        <w:t>cartografiar</w:t>
      </w:r>
      <w:r w:rsidRPr="009257E7">
        <w:rPr>
          <w:rFonts w:ascii="Times New Roman" w:eastAsia="Times New Roman" w:hAnsi="Times New Roman" w:cs="Times New Roman"/>
          <w:kern w:val="0"/>
          <w:lang w:val="es-ES"/>
          <w14:ligatures w14:val="none"/>
        </w:rPr>
        <w:t xml:space="preserve"> </w:t>
      </w:r>
      <w:r w:rsidR="003B5A9F" w:rsidRPr="009257E7">
        <w:rPr>
          <w:rFonts w:ascii="Times New Roman" w:eastAsia="Times New Roman" w:hAnsi="Times New Roman" w:cs="Times New Roman"/>
          <w:kern w:val="0"/>
          <w:lang w:val="es-ES"/>
          <w14:ligatures w14:val="none"/>
        </w:rPr>
        <w:t xml:space="preserve">las </w:t>
      </w:r>
      <w:r w:rsidRPr="009257E7">
        <w:rPr>
          <w:rFonts w:ascii="Times New Roman" w:eastAsia="Times New Roman" w:hAnsi="Times New Roman" w:cs="Times New Roman"/>
          <w:kern w:val="0"/>
          <w:lang w:val="es-ES"/>
          <w14:ligatures w14:val="none"/>
        </w:rPr>
        <w:t xml:space="preserve">similitudes y </w:t>
      </w:r>
      <w:r w:rsidR="003B5A9F" w:rsidRPr="009257E7">
        <w:rPr>
          <w:rFonts w:ascii="Times New Roman" w:eastAsia="Times New Roman" w:hAnsi="Times New Roman" w:cs="Times New Roman"/>
          <w:kern w:val="0"/>
          <w:lang w:val="es-ES"/>
          <w14:ligatures w14:val="none"/>
        </w:rPr>
        <w:t xml:space="preserve">las </w:t>
      </w:r>
      <w:r w:rsidRPr="009257E7">
        <w:rPr>
          <w:rFonts w:ascii="Times New Roman" w:eastAsia="Times New Roman" w:hAnsi="Times New Roman" w:cs="Times New Roman"/>
          <w:kern w:val="0"/>
          <w:lang w:val="es-ES"/>
          <w14:ligatures w14:val="none"/>
        </w:rPr>
        <w:t>diferencias relevantes para construir conocimiento, comprensión y coaliciones hacia un futuro distinto y mejor. Este proceso de aprendizaje mutuo y comprensión hacia la acción colectiva probablemente rotará las identidades, los asuntos o los factores que estén “en el centro” de la investigación o la abogacía. Pero durante este proceso de rotación, el compromiso mutuo es tanto una práctica como un beneficio de la solidaridad.</w:t>
      </w:r>
    </w:p>
    <w:p w14:paraId="6EEEB447" w14:textId="647CE14B" w:rsidR="00810F2C" w:rsidRPr="009257E7" w:rsidRDefault="00810F2C" w:rsidP="001339D1">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La naturaleza y el poder de las jerarquías, y del cambio social, requieren que los grupos desde abajo y les abogades colaboren y aprendan a través de múltiples contextos y tipos de diferencia, con base en valores, principios y metas compartid</w:t>
      </w:r>
      <w:r w:rsidR="008B128C" w:rsidRPr="009257E7">
        <w:rPr>
          <w:rFonts w:ascii="Times New Roman" w:eastAsia="Times New Roman" w:hAnsi="Times New Roman" w:cs="Times New Roman"/>
          <w:kern w:val="0"/>
          <w:lang w:val="es-ES"/>
          <w14:ligatures w14:val="none"/>
        </w:rPr>
        <w:t>o</w:t>
      </w:r>
      <w:r w:rsidRPr="009257E7">
        <w:rPr>
          <w:rFonts w:ascii="Times New Roman" w:eastAsia="Times New Roman" w:hAnsi="Times New Roman" w:cs="Times New Roman"/>
          <w:kern w:val="0"/>
          <w:lang w:val="es-ES"/>
          <w14:ligatures w14:val="none"/>
        </w:rPr>
        <w:t>s. Este aprendizaje incluye la experiencia personal o próxima: aquello que podemos atestiguar. Para un análisis y una abogacía agudos, este aprendizaje también se beneficia de una comprensión sólida de las perspectivas, el potencial y el papel del conocimiento crítico, que está fácilmente disponible para les abogades mediante la investigación personal y profesional: los cuerpos de literatura dedicados a las “escuelas” críticas de conocimiento jurídico y a los “enfoques” de abogacía hacia la práctica del derecho.</w:t>
      </w:r>
      <w:r w:rsidR="001339D1" w:rsidRPr="009257E7">
        <w:rPr>
          <w:rFonts w:ascii="Times New Roman" w:eastAsia="Times New Roman" w:hAnsi="Times New Roman" w:cs="Times New Roman"/>
          <w:kern w:val="0"/>
          <w:lang w:val="es-ES"/>
          <w14:ligatures w14:val="none"/>
        </w:rPr>
        <w:t xml:space="preserve"> </w:t>
      </w:r>
    </w:p>
    <w:p w14:paraId="671F5BE3" w14:textId="3C5FB7A2" w:rsidR="008B128C" w:rsidRPr="009257E7" w:rsidRDefault="008B128C" w:rsidP="008B128C">
      <w:pPr>
        <w:spacing w:before="100" w:beforeAutospacing="1" w:after="100" w:afterAutospacing="1" w:line="240" w:lineRule="auto"/>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b/>
          <w:bCs/>
          <w:kern w:val="0"/>
          <w:lang w:val="es-ES"/>
          <w14:ligatures w14:val="none"/>
        </w:rPr>
        <w:t xml:space="preserve">5.3 Las “escuelas” críticas y los “enfoques” de abogacía ofrecen </w:t>
      </w:r>
      <w:r w:rsidR="00A52FBE" w:rsidRPr="009257E7">
        <w:rPr>
          <w:rFonts w:ascii="Times New Roman" w:eastAsia="Times New Roman" w:hAnsi="Times New Roman" w:cs="Times New Roman"/>
          <w:b/>
          <w:bCs/>
          <w:kern w:val="0"/>
          <w:lang w:val="es-ES"/>
          <w14:ligatures w14:val="none"/>
        </w:rPr>
        <w:t xml:space="preserve">fuentes </w:t>
      </w:r>
      <w:r w:rsidRPr="009257E7">
        <w:rPr>
          <w:rFonts w:ascii="Times New Roman" w:eastAsia="Times New Roman" w:hAnsi="Times New Roman" w:cs="Times New Roman"/>
          <w:b/>
          <w:bCs/>
          <w:kern w:val="0"/>
          <w:lang w:val="es-ES"/>
          <w14:ligatures w14:val="none"/>
        </w:rPr>
        <w:t>de conocimiento para grupos “diferentes” y sus abogades</w:t>
      </w:r>
    </w:p>
    <w:p w14:paraId="1544D3A5" w14:textId="20A44EAB" w:rsidR="00810F2C" w:rsidRPr="009257E7" w:rsidRDefault="00810F2C" w:rsidP="00A52FBE">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El derecho es un sistema en disputa continua. De maneras compl</w:t>
      </w:r>
      <w:r w:rsidR="00A52FBE" w:rsidRPr="009257E7">
        <w:rPr>
          <w:rFonts w:ascii="Times New Roman" w:eastAsia="Times New Roman" w:hAnsi="Times New Roman" w:cs="Times New Roman"/>
          <w:kern w:val="0"/>
          <w:lang w:val="es-ES"/>
          <w14:ligatures w14:val="none"/>
        </w:rPr>
        <w:t>ej</w:t>
      </w:r>
      <w:r w:rsidRPr="009257E7">
        <w:rPr>
          <w:rFonts w:ascii="Times New Roman" w:eastAsia="Times New Roman" w:hAnsi="Times New Roman" w:cs="Times New Roman"/>
          <w:kern w:val="0"/>
          <w:lang w:val="es-ES"/>
          <w14:ligatures w14:val="none"/>
        </w:rPr>
        <w:t>as, el derecho sigue siendo parte del problema de la justicia sistémica y de sus soluciones</w:t>
      </w:r>
      <w:r w:rsidR="00795E97" w:rsidRPr="009257E7">
        <w:rPr>
          <w:rFonts w:ascii="Times New Roman" w:eastAsia="Times New Roman" w:hAnsi="Times New Roman" w:cs="Times New Roman"/>
          <w:kern w:val="0"/>
          <w:lang w:val="es-ES"/>
          <w14:ligatures w14:val="none"/>
        </w:rPr>
        <w:t xml:space="preserve"> posibles</w:t>
      </w:r>
      <w:r w:rsidRPr="009257E7">
        <w:rPr>
          <w:rFonts w:ascii="Times New Roman" w:eastAsia="Times New Roman" w:hAnsi="Times New Roman" w:cs="Times New Roman"/>
          <w:kern w:val="0"/>
          <w:lang w:val="es-ES"/>
          <w14:ligatures w14:val="none"/>
        </w:rPr>
        <w:t>. Sin embargo, el “formalismo” ha dominado el derecho —y todavía domina la cultura jurídica—, aunque las escuelas realistas y críticas de conocimiento jurídico y los enfoques de abogacía basados en el campo</w:t>
      </w:r>
      <w:r w:rsidR="0000633B" w:rsidRPr="009257E7">
        <w:rPr>
          <w:rFonts w:ascii="Times New Roman" w:eastAsia="Times New Roman" w:hAnsi="Times New Roman" w:cs="Times New Roman"/>
          <w:kern w:val="0"/>
          <w:lang w:val="es-ES"/>
          <w14:ligatures w14:val="none"/>
        </w:rPr>
        <w:t xml:space="preserve"> lo han desafiado</w:t>
      </w:r>
      <w:r w:rsidRPr="009257E7">
        <w:rPr>
          <w:rFonts w:ascii="Times New Roman" w:eastAsia="Times New Roman" w:hAnsi="Times New Roman" w:cs="Times New Roman"/>
          <w:kern w:val="0"/>
          <w:lang w:val="es-ES"/>
          <w14:ligatures w14:val="none"/>
        </w:rPr>
        <w:t>. En la escuela formalista tradicional de</w:t>
      </w:r>
      <w:r w:rsidR="0000633B" w:rsidRPr="009257E7">
        <w:rPr>
          <w:rFonts w:ascii="Times New Roman" w:eastAsia="Times New Roman" w:hAnsi="Times New Roman" w:cs="Times New Roman"/>
          <w:kern w:val="0"/>
          <w:lang w:val="es-ES"/>
          <w14:ligatures w14:val="none"/>
        </w:rPr>
        <w:t>l</w:t>
      </w:r>
      <w:r w:rsidRPr="009257E7">
        <w:rPr>
          <w:rFonts w:ascii="Times New Roman" w:eastAsia="Times New Roman" w:hAnsi="Times New Roman" w:cs="Times New Roman"/>
          <w:kern w:val="0"/>
          <w:lang w:val="es-ES"/>
          <w14:ligatures w14:val="none"/>
        </w:rPr>
        <w:t xml:space="preserve"> conocimiento jurídico, las decisiones jurídicas se toman al aplicar principios jurídicos a hechos reconocibles y </w:t>
      </w:r>
      <w:r w:rsidR="0000633B" w:rsidRPr="009257E7">
        <w:rPr>
          <w:rFonts w:ascii="Times New Roman" w:eastAsia="Times New Roman" w:hAnsi="Times New Roman" w:cs="Times New Roman"/>
          <w:kern w:val="0"/>
          <w:lang w:val="es-ES"/>
          <w14:ligatures w14:val="none"/>
        </w:rPr>
        <w:t xml:space="preserve">jurídicamente </w:t>
      </w:r>
      <w:r w:rsidRPr="009257E7">
        <w:rPr>
          <w:rFonts w:ascii="Times New Roman" w:eastAsia="Times New Roman" w:hAnsi="Times New Roman" w:cs="Times New Roman"/>
          <w:kern w:val="0"/>
          <w:lang w:val="es-ES"/>
          <w14:ligatures w14:val="none"/>
        </w:rPr>
        <w:t>relevantes</w:t>
      </w:r>
      <w:r w:rsidR="0000633B" w:rsidRPr="009257E7">
        <w:rPr>
          <w:rFonts w:ascii="Times New Roman" w:eastAsia="Times New Roman" w:hAnsi="Times New Roman" w:cs="Times New Roman"/>
          <w:kern w:val="0"/>
          <w:lang w:val="es-ES"/>
          <w14:ligatures w14:val="none"/>
        </w:rPr>
        <w:t>,</w:t>
      </w:r>
      <w:r w:rsidRPr="009257E7">
        <w:rPr>
          <w:rFonts w:ascii="Times New Roman" w:eastAsia="Times New Roman" w:hAnsi="Times New Roman" w:cs="Times New Roman"/>
          <w:kern w:val="0"/>
          <w:lang w:val="es-ES"/>
          <w14:ligatures w14:val="none"/>
        </w:rPr>
        <w:t xml:space="preserve"> para llegar a conclusiones aisladas de los resultados reales en las vidas individuales y en las comunidades. A continuación, examinamos cómo la resistencia sostenida al formalismo dentro de la profesión jurídica dio lugar a las escuelas —de teoría realista y crítica— </w:t>
      </w:r>
      <w:r w:rsidRPr="009257E7">
        <w:rPr>
          <w:rFonts w:ascii="Times New Roman" w:eastAsia="Times New Roman" w:hAnsi="Times New Roman" w:cs="Times New Roman"/>
          <w:kern w:val="0"/>
          <w:lang w:val="es-ES"/>
          <w14:ligatures w14:val="none"/>
        </w:rPr>
        <w:lastRenderedPageBreak/>
        <w:t>y a los enfoques de abogacía —sobre el uso del derecho para la justicia— como formaciones distintas pero superpuestas dentro de la cultura jurídica, cuyas décadas de perspectivas informan este libro.</w:t>
      </w:r>
    </w:p>
    <w:p w14:paraId="0C78232E" w14:textId="219BEBF8" w:rsidR="00810F2C" w:rsidRPr="009257E7" w:rsidRDefault="00810F2C" w:rsidP="00943FF1">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L</w:t>
      </w:r>
      <w:r w:rsidR="00943FF1" w:rsidRPr="009257E7">
        <w:rPr>
          <w:rFonts w:ascii="Times New Roman" w:eastAsia="Times New Roman" w:hAnsi="Times New Roman" w:cs="Times New Roman"/>
          <w:kern w:val="0"/>
          <w:lang w:val="es-ES"/>
          <w14:ligatures w14:val="none"/>
        </w:rPr>
        <w:t>o</w:t>
      </w:r>
      <w:r w:rsidRPr="009257E7">
        <w:rPr>
          <w:rFonts w:ascii="Times New Roman" w:eastAsia="Times New Roman" w:hAnsi="Times New Roman" w:cs="Times New Roman"/>
          <w:kern w:val="0"/>
          <w:lang w:val="es-ES"/>
          <w14:ligatures w14:val="none"/>
        </w:rPr>
        <w:t xml:space="preserve">s “realistas jurídicos” de finales del siglo XIX y comienzos del siglo XX comenzaron a criticar las ficciones jurídicas que justificaban resultados persistentemente desiguales e introdujeron un enfoque menos “mecánico” </w:t>
      </w:r>
      <w:r w:rsidR="00943FF1" w:rsidRPr="009257E7">
        <w:rPr>
          <w:rFonts w:ascii="Times New Roman" w:eastAsia="Times New Roman" w:hAnsi="Times New Roman" w:cs="Times New Roman"/>
          <w:kern w:val="0"/>
          <w:lang w:val="es-ES"/>
          <w14:ligatures w14:val="none"/>
        </w:rPr>
        <w:t xml:space="preserve">en </w:t>
      </w:r>
      <w:r w:rsidRPr="009257E7">
        <w:rPr>
          <w:rFonts w:ascii="Times New Roman" w:eastAsia="Times New Roman" w:hAnsi="Times New Roman" w:cs="Times New Roman"/>
          <w:kern w:val="0"/>
          <w:lang w:val="es-ES"/>
          <w14:ligatures w14:val="none"/>
        </w:rPr>
        <w:t>el análisis jurídico y la solución de problemas. Para enfatizar su enfoque más sociológico, l</w:t>
      </w:r>
      <w:r w:rsidR="000C4A85" w:rsidRPr="009257E7">
        <w:rPr>
          <w:rFonts w:ascii="Times New Roman" w:eastAsia="Times New Roman" w:hAnsi="Times New Roman" w:cs="Times New Roman"/>
          <w:kern w:val="0"/>
          <w:lang w:val="es-ES"/>
          <w14:ligatures w14:val="none"/>
        </w:rPr>
        <w:t>o</w:t>
      </w:r>
      <w:r w:rsidRPr="009257E7">
        <w:rPr>
          <w:rFonts w:ascii="Times New Roman" w:eastAsia="Times New Roman" w:hAnsi="Times New Roman" w:cs="Times New Roman"/>
          <w:kern w:val="0"/>
          <w:lang w:val="es-ES"/>
          <w14:ligatures w14:val="none"/>
        </w:rPr>
        <w:t>s realistas llamaron a l</w:t>
      </w:r>
      <w:r w:rsidR="0076515D" w:rsidRPr="009257E7">
        <w:rPr>
          <w:rFonts w:ascii="Times New Roman" w:eastAsia="Times New Roman" w:hAnsi="Times New Roman" w:cs="Times New Roman"/>
          <w:kern w:val="0"/>
          <w:lang w:val="es-ES"/>
          <w14:ligatures w14:val="none"/>
        </w:rPr>
        <w:t>o</w:t>
      </w:r>
      <w:r w:rsidRPr="009257E7">
        <w:rPr>
          <w:rFonts w:ascii="Times New Roman" w:eastAsia="Times New Roman" w:hAnsi="Times New Roman" w:cs="Times New Roman"/>
          <w:kern w:val="0"/>
          <w:lang w:val="es-ES"/>
          <w14:ligatures w14:val="none"/>
        </w:rPr>
        <w:t>s abogades y a los tribunales a alinear la doctrina con la realidad. L</w:t>
      </w:r>
      <w:r w:rsidR="0076515D" w:rsidRPr="009257E7">
        <w:rPr>
          <w:rFonts w:ascii="Times New Roman" w:eastAsia="Times New Roman" w:hAnsi="Times New Roman" w:cs="Times New Roman"/>
          <w:kern w:val="0"/>
          <w:lang w:val="es-ES"/>
          <w14:ligatures w14:val="none"/>
        </w:rPr>
        <w:t>o</w:t>
      </w:r>
      <w:r w:rsidRPr="009257E7">
        <w:rPr>
          <w:rFonts w:ascii="Times New Roman" w:eastAsia="Times New Roman" w:hAnsi="Times New Roman" w:cs="Times New Roman"/>
          <w:kern w:val="0"/>
          <w:lang w:val="es-ES"/>
          <w14:ligatures w14:val="none"/>
        </w:rPr>
        <w:t>s realistas jurídicos afirmaron que los enfoques formalistas del derecho “creaban una ilusión de certeza que ocultaba los supuestos sociales y políticos no dichos que guiaban gran parte de la toma de decisiones judiciales. La exposición de esta ilusión de certeza condujo a los pronunciamientos realistas sobre la naturaleza indeterminada del derecho”</w:t>
      </w:r>
      <w:r w:rsidR="00D66A95" w:rsidRPr="009257E7">
        <w:rPr>
          <w:rStyle w:val="FootnoteReference"/>
          <w:rFonts w:ascii="Times New Roman" w:eastAsia="Times New Roman" w:hAnsi="Times New Roman" w:cs="Times New Roman"/>
          <w:kern w:val="0"/>
          <w:lang w:val="es-ES"/>
          <w14:ligatures w14:val="none"/>
        </w:rPr>
        <w:footnoteReference w:id="185"/>
      </w:r>
      <w:r w:rsidRPr="009257E7">
        <w:rPr>
          <w:rFonts w:ascii="Times New Roman" w:eastAsia="Times New Roman" w:hAnsi="Times New Roman" w:cs="Times New Roman"/>
          <w:kern w:val="0"/>
          <w:lang w:val="es-ES"/>
          <w14:ligatures w14:val="none"/>
        </w:rPr>
        <w:t>.</w:t>
      </w:r>
    </w:p>
    <w:p w14:paraId="77EA6510" w14:textId="5A28E408" w:rsidR="00810F2C" w:rsidRPr="009257E7" w:rsidRDefault="00810F2C" w:rsidP="00D66A95">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L</w:t>
      </w:r>
      <w:r w:rsidR="00D66A95" w:rsidRPr="009257E7">
        <w:rPr>
          <w:rFonts w:ascii="Times New Roman" w:eastAsia="Times New Roman" w:hAnsi="Times New Roman" w:cs="Times New Roman"/>
          <w:kern w:val="0"/>
          <w:lang w:val="es-ES"/>
          <w14:ligatures w14:val="none"/>
        </w:rPr>
        <w:t>o</w:t>
      </w:r>
      <w:r w:rsidRPr="009257E7">
        <w:rPr>
          <w:rFonts w:ascii="Times New Roman" w:eastAsia="Times New Roman" w:hAnsi="Times New Roman" w:cs="Times New Roman"/>
          <w:kern w:val="0"/>
          <w:lang w:val="es-ES"/>
          <w14:ligatures w14:val="none"/>
        </w:rPr>
        <w:t>s realistas insistieron en que tanto las operaciones reales de los procesos jurídicos como sus resultados concretos debían estudiarse para mejorar la solución de problemas jurídicos en sociedades complejas</w:t>
      </w:r>
      <w:r w:rsidR="003F62CA" w:rsidRPr="009257E7">
        <w:rPr>
          <w:rStyle w:val="FootnoteReference"/>
          <w:rFonts w:ascii="Times New Roman" w:eastAsia="Times New Roman" w:hAnsi="Times New Roman" w:cs="Times New Roman"/>
          <w:kern w:val="0"/>
          <w:lang w:val="es-ES"/>
          <w14:ligatures w14:val="none"/>
        </w:rPr>
        <w:footnoteReference w:id="186"/>
      </w:r>
      <w:r w:rsidRPr="009257E7">
        <w:rPr>
          <w:rFonts w:ascii="Times New Roman" w:eastAsia="Times New Roman" w:hAnsi="Times New Roman" w:cs="Times New Roman"/>
          <w:kern w:val="0"/>
          <w:lang w:val="es-ES"/>
          <w14:ligatures w14:val="none"/>
        </w:rPr>
        <w:t xml:space="preserve">. Realistas como Oliver Wendell Holmes, Karl Llewellyn, Jerome Frank, </w:t>
      </w:r>
      <w:proofErr w:type="spellStart"/>
      <w:r w:rsidRPr="009257E7">
        <w:rPr>
          <w:rFonts w:ascii="Times New Roman" w:eastAsia="Times New Roman" w:hAnsi="Times New Roman" w:cs="Times New Roman"/>
          <w:kern w:val="0"/>
          <w:lang w:val="es-ES"/>
          <w14:ligatures w14:val="none"/>
        </w:rPr>
        <w:t>Felix</w:t>
      </w:r>
      <w:proofErr w:type="spellEnd"/>
      <w:r w:rsidRPr="009257E7">
        <w:rPr>
          <w:rFonts w:ascii="Times New Roman" w:eastAsia="Times New Roman" w:hAnsi="Times New Roman" w:cs="Times New Roman"/>
          <w:kern w:val="0"/>
          <w:lang w:val="es-ES"/>
          <w14:ligatures w14:val="none"/>
        </w:rPr>
        <w:t xml:space="preserve"> Cohen y otres argumentaron que el derecho no podía entenderse como un proceso descarnado y descontextualizado de deducir resultados jurídicos a partir de principios. Holmes, por ejemplo, advirtió en 1897 que el “derecho” es lo que l</w:t>
      </w:r>
      <w:r w:rsidR="003F62CA" w:rsidRPr="009257E7">
        <w:rPr>
          <w:rFonts w:ascii="Times New Roman" w:eastAsia="Times New Roman" w:hAnsi="Times New Roman" w:cs="Times New Roman"/>
          <w:kern w:val="0"/>
          <w:lang w:val="es-ES"/>
          <w14:ligatures w14:val="none"/>
        </w:rPr>
        <w:t>o</w:t>
      </w:r>
      <w:r w:rsidRPr="009257E7">
        <w:rPr>
          <w:rFonts w:ascii="Times New Roman" w:eastAsia="Times New Roman" w:hAnsi="Times New Roman" w:cs="Times New Roman"/>
          <w:kern w:val="0"/>
          <w:lang w:val="es-ES"/>
          <w14:ligatures w14:val="none"/>
        </w:rPr>
        <w:t>s abogad</w:t>
      </w:r>
      <w:r w:rsidR="003F62CA" w:rsidRPr="009257E7">
        <w:rPr>
          <w:rFonts w:ascii="Times New Roman" w:eastAsia="Times New Roman" w:hAnsi="Times New Roman" w:cs="Times New Roman"/>
          <w:kern w:val="0"/>
          <w:lang w:val="es-ES"/>
          <w14:ligatures w14:val="none"/>
        </w:rPr>
        <w:t>o</w:t>
      </w:r>
      <w:r w:rsidRPr="009257E7">
        <w:rPr>
          <w:rFonts w:ascii="Times New Roman" w:eastAsia="Times New Roman" w:hAnsi="Times New Roman" w:cs="Times New Roman"/>
          <w:kern w:val="0"/>
          <w:lang w:val="es-ES"/>
          <w14:ligatures w14:val="none"/>
        </w:rPr>
        <w:t xml:space="preserve">s y </w:t>
      </w:r>
      <w:r w:rsidR="003F62CA" w:rsidRPr="009257E7">
        <w:rPr>
          <w:rFonts w:ascii="Times New Roman" w:eastAsia="Times New Roman" w:hAnsi="Times New Roman" w:cs="Times New Roman"/>
          <w:kern w:val="0"/>
          <w:lang w:val="es-ES"/>
          <w14:ligatures w14:val="none"/>
        </w:rPr>
        <w:t xml:space="preserve">los </w:t>
      </w:r>
      <w:r w:rsidRPr="009257E7">
        <w:rPr>
          <w:rFonts w:ascii="Times New Roman" w:eastAsia="Times New Roman" w:hAnsi="Times New Roman" w:cs="Times New Roman"/>
          <w:kern w:val="0"/>
          <w:lang w:val="es-ES"/>
          <w14:ligatures w14:val="none"/>
        </w:rPr>
        <w:t>jueces realmente</w:t>
      </w:r>
      <w:r w:rsidR="005B408D" w:rsidRPr="009257E7">
        <w:rPr>
          <w:rFonts w:ascii="Times New Roman" w:eastAsia="Times New Roman" w:hAnsi="Times New Roman" w:cs="Times New Roman"/>
          <w:kern w:val="0"/>
          <w:lang w:val="es-ES"/>
          <w14:ligatures w14:val="none"/>
        </w:rPr>
        <w:t xml:space="preserve"> hacen</w:t>
      </w:r>
      <w:r w:rsidRPr="009257E7">
        <w:rPr>
          <w:rFonts w:ascii="Times New Roman" w:eastAsia="Times New Roman" w:hAnsi="Times New Roman" w:cs="Times New Roman"/>
          <w:kern w:val="0"/>
          <w:lang w:val="es-ES"/>
          <w14:ligatures w14:val="none"/>
        </w:rPr>
        <w:t>, y que nadie debe creer que el derecho es “un sistema de razón que es una deducción a partir de principios éticos o axiomas admitidos o lo que sea, que pueden o no coincidir con las decisiones”</w:t>
      </w:r>
      <w:r w:rsidR="00E8190A" w:rsidRPr="009257E7">
        <w:rPr>
          <w:rStyle w:val="FootnoteReference"/>
          <w:rFonts w:ascii="Times New Roman" w:eastAsia="Times New Roman" w:hAnsi="Times New Roman" w:cs="Times New Roman"/>
          <w:kern w:val="0"/>
          <w:lang w:val="es-ES"/>
          <w14:ligatures w14:val="none"/>
        </w:rPr>
        <w:footnoteReference w:id="187"/>
      </w:r>
      <w:r w:rsidRPr="009257E7">
        <w:rPr>
          <w:rFonts w:ascii="Times New Roman" w:eastAsia="Times New Roman" w:hAnsi="Times New Roman" w:cs="Times New Roman"/>
          <w:kern w:val="0"/>
          <w:lang w:val="es-ES"/>
          <w14:ligatures w14:val="none"/>
        </w:rPr>
        <w:t xml:space="preserve">. Desde esta perspectiva sociológica, el problema con los legalismos arraigados del enfoque mecánico o formalista del derecho era que los hechos, </w:t>
      </w:r>
      <w:r w:rsidR="00E8190A" w:rsidRPr="009257E7">
        <w:rPr>
          <w:rFonts w:ascii="Times New Roman" w:eastAsia="Times New Roman" w:hAnsi="Times New Roman" w:cs="Times New Roman"/>
          <w:kern w:val="0"/>
          <w:lang w:val="es-ES"/>
          <w14:ligatures w14:val="none"/>
        </w:rPr>
        <w:t xml:space="preserve">los </w:t>
      </w:r>
      <w:r w:rsidRPr="009257E7">
        <w:rPr>
          <w:rFonts w:ascii="Times New Roman" w:eastAsia="Times New Roman" w:hAnsi="Times New Roman" w:cs="Times New Roman"/>
          <w:kern w:val="0"/>
          <w:lang w:val="es-ES"/>
          <w14:ligatures w14:val="none"/>
        </w:rPr>
        <w:t xml:space="preserve">procesos y </w:t>
      </w:r>
      <w:r w:rsidR="00E8190A" w:rsidRPr="009257E7">
        <w:rPr>
          <w:rFonts w:ascii="Times New Roman" w:eastAsia="Times New Roman" w:hAnsi="Times New Roman" w:cs="Times New Roman"/>
          <w:kern w:val="0"/>
          <w:lang w:val="es-ES"/>
          <w14:ligatures w14:val="none"/>
        </w:rPr>
        <w:t xml:space="preserve">los </w:t>
      </w:r>
      <w:r w:rsidRPr="009257E7">
        <w:rPr>
          <w:rFonts w:ascii="Times New Roman" w:eastAsia="Times New Roman" w:hAnsi="Times New Roman" w:cs="Times New Roman"/>
          <w:kern w:val="0"/>
          <w:lang w:val="es-ES"/>
          <w14:ligatures w14:val="none"/>
        </w:rPr>
        <w:t>resultados sociales eran ignorados: “La justicia en casos concretos deja de ser su objetivo. En cambio, [l</w:t>
      </w:r>
      <w:r w:rsidR="00E8190A" w:rsidRPr="009257E7">
        <w:rPr>
          <w:rFonts w:ascii="Times New Roman" w:eastAsia="Times New Roman" w:hAnsi="Times New Roman" w:cs="Times New Roman"/>
          <w:kern w:val="0"/>
          <w:lang w:val="es-ES"/>
          <w14:ligatures w14:val="none"/>
        </w:rPr>
        <w:t>o</w:t>
      </w:r>
      <w:r w:rsidRPr="009257E7">
        <w:rPr>
          <w:rFonts w:ascii="Times New Roman" w:eastAsia="Times New Roman" w:hAnsi="Times New Roman" w:cs="Times New Roman"/>
          <w:kern w:val="0"/>
          <w:lang w:val="es-ES"/>
          <w14:ligatures w14:val="none"/>
        </w:rPr>
        <w:t>s jueces] buscan desarrollar a fondo el contenido lógico de principios establecidos mediante deducción rígida”</w:t>
      </w:r>
      <w:r w:rsidR="00E57FC5" w:rsidRPr="009257E7">
        <w:rPr>
          <w:rStyle w:val="FootnoteReference"/>
          <w:rFonts w:ascii="Times New Roman" w:eastAsia="Times New Roman" w:hAnsi="Times New Roman" w:cs="Times New Roman"/>
          <w:kern w:val="0"/>
          <w:lang w:val="es-ES"/>
          <w14:ligatures w14:val="none"/>
        </w:rPr>
        <w:footnoteReference w:id="188"/>
      </w:r>
      <w:r w:rsidRPr="009257E7">
        <w:rPr>
          <w:rFonts w:ascii="Times New Roman" w:eastAsia="Times New Roman" w:hAnsi="Times New Roman" w:cs="Times New Roman"/>
          <w:kern w:val="0"/>
          <w:lang w:val="es-ES"/>
          <w14:ligatures w14:val="none"/>
        </w:rPr>
        <w:t>. Así, l</w:t>
      </w:r>
      <w:r w:rsidR="00E57FC5" w:rsidRPr="009257E7">
        <w:rPr>
          <w:rFonts w:ascii="Times New Roman" w:eastAsia="Times New Roman" w:hAnsi="Times New Roman" w:cs="Times New Roman"/>
          <w:kern w:val="0"/>
          <w:lang w:val="es-ES"/>
          <w14:ligatures w14:val="none"/>
        </w:rPr>
        <w:t>o</w:t>
      </w:r>
      <w:r w:rsidRPr="009257E7">
        <w:rPr>
          <w:rFonts w:ascii="Times New Roman" w:eastAsia="Times New Roman" w:hAnsi="Times New Roman" w:cs="Times New Roman"/>
          <w:kern w:val="0"/>
          <w:lang w:val="es-ES"/>
          <w14:ligatures w14:val="none"/>
        </w:rPr>
        <w:t>s realistas defendieron que el derecho incorporara la investigación de hechos sociales. L</w:t>
      </w:r>
      <w:r w:rsidR="00E57FC5" w:rsidRPr="009257E7">
        <w:rPr>
          <w:rFonts w:ascii="Times New Roman" w:eastAsia="Times New Roman" w:hAnsi="Times New Roman" w:cs="Times New Roman"/>
          <w:kern w:val="0"/>
          <w:lang w:val="es-ES"/>
          <w14:ligatures w14:val="none"/>
        </w:rPr>
        <w:t>o</w:t>
      </w:r>
      <w:r w:rsidRPr="009257E7">
        <w:rPr>
          <w:rFonts w:ascii="Times New Roman" w:eastAsia="Times New Roman" w:hAnsi="Times New Roman" w:cs="Times New Roman"/>
          <w:kern w:val="0"/>
          <w:lang w:val="es-ES"/>
          <w14:ligatures w14:val="none"/>
        </w:rPr>
        <w:t>s abogad</w:t>
      </w:r>
      <w:r w:rsidR="00E57FC5" w:rsidRPr="009257E7">
        <w:rPr>
          <w:rFonts w:ascii="Times New Roman" w:eastAsia="Times New Roman" w:hAnsi="Times New Roman" w:cs="Times New Roman"/>
          <w:kern w:val="0"/>
          <w:lang w:val="es-ES"/>
          <w14:ligatures w14:val="none"/>
        </w:rPr>
        <w:t>o</w:t>
      </w:r>
      <w:r w:rsidRPr="009257E7">
        <w:rPr>
          <w:rFonts w:ascii="Times New Roman" w:eastAsia="Times New Roman" w:hAnsi="Times New Roman" w:cs="Times New Roman"/>
          <w:kern w:val="0"/>
          <w:lang w:val="es-ES"/>
          <w14:ligatures w14:val="none"/>
        </w:rPr>
        <w:t>s pusieron en práctica las perspectivas de Holmes, Roscoe Pound y otres realistas al ampliar las técnicas de investigación y escritura jurídica</w:t>
      </w:r>
      <w:r w:rsidR="00E57FC5" w:rsidRPr="009257E7">
        <w:rPr>
          <w:rFonts w:ascii="Times New Roman" w:eastAsia="Times New Roman" w:hAnsi="Times New Roman" w:cs="Times New Roman"/>
          <w:kern w:val="0"/>
          <w:lang w:val="es-ES"/>
          <w14:ligatures w14:val="none"/>
        </w:rPr>
        <w:t>,</w:t>
      </w:r>
      <w:r w:rsidRPr="009257E7">
        <w:rPr>
          <w:rFonts w:ascii="Times New Roman" w:eastAsia="Times New Roman" w:hAnsi="Times New Roman" w:cs="Times New Roman"/>
          <w:kern w:val="0"/>
          <w:lang w:val="es-ES"/>
          <w14:ligatures w14:val="none"/>
        </w:rPr>
        <w:t xml:space="preserve"> para incorporar la recopilación y el uso de datos sociológicos. El ahora famoso </w:t>
      </w:r>
      <w:r w:rsidRPr="009257E7">
        <w:rPr>
          <w:rFonts w:ascii="Times New Roman" w:eastAsia="Times New Roman" w:hAnsi="Times New Roman" w:cs="Times New Roman"/>
          <w:i/>
          <w:iCs/>
          <w:kern w:val="0"/>
          <w:lang w:val="es-ES"/>
          <w14:ligatures w14:val="none"/>
        </w:rPr>
        <w:t xml:space="preserve">Brandeis </w:t>
      </w:r>
      <w:proofErr w:type="spellStart"/>
      <w:r w:rsidRPr="009257E7">
        <w:rPr>
          <w:rFonts w:ascii="Times New Roman" w:eastAsia="Times New Roman" w:hAnsi="Times New Roman" w:cs="Times New Roman"/>
          <w:i/>
          <w:iCs/>
          <w:kern w:val="0"/>
          <w:lang w:val="es-ES"/>
          <w14:ligatures w14:val="none"/>
        </w:rPr>
        <w:t>brief</w:t>
      </w:r>
      <w:proofErr w:type="spellEnd"/>
      <w:r w:rsidRPr="009257E7">
        <w:rPr>
          <w:rFonts w:ascii="Times New Roman" w:eastAsia="Times New Roman" w:hAnsi="Times New Roman" w:cs="Times New Roman"/>
          <w:kern w:val="0"/>
          <w:lang w:val="es-ES"/>
          <w14:ligatures w14:val="none"/>
        </w:rPr>
        <w:t xml:space="preserve"> —en el cual </w:t>
      </w:r>
      <w:r w:rsidR="00480DED" w:rsidRPr="009257E7">
        <w:rPr>
          <w:rFonts w:ascii="Times New Roman" w:eastAsia="Times New Roman" w:hAnsi="Times New Roman" w:cs="Times New Roman"/>
          <w:kern w:val="0"/>
          <w:lang w:val="es-ES"/>
          <w14:ligatures w14:val="none"/>
        </w:rPr>
        <w:t>el</w:t>
      </w:r>
      <w:r w:rsidRPr="009257E7">
        <w:rPr>
          <w:rFonts w:ascii="Times New Roman" w:eastAsia="Times New Roman" w:hAnsi="Times New Roman" w:cs="Times New Roman"/>
          <w:kern w:val="0"/>
          <w:lang w:val="es-ES"/>
          <w14:ligatures w14:val="none"/>
        </w:rPr>
        <w:t xml:space="preserve"> abogad</w:t>
      </w:r>
      <w:r w:rsidR="00480DED" w:rsidRPr="009257E7">
        <w:rPr>
          <w:rFonts w:ascii="Times New Roman" w:eastAsia="Times New Roman" w:hAnsi="Times New Roman" w:cs="Times New Roman"/>
          <w:kern w:val="0"/>
          <w:lang w:val="es-ES"/>
          <w14:ligatures w14:val="none"/>
        </w:rPr>
        <w:t>o</w:t>
      </w:r>
      <w:r w:rsidRPr="009257E7">
        <w:rPr>
          <w:rFonts w:ascii="Times New Roman" w:eastAsia="Times New Roman" w:hAnsi="Times New Roman" w:cs="Times New Roman"/>
          <w:kern w:val="0"/>
          <w:lang w:val="es-ES"/>
          <w14:ligatures w14:val="none"/>
        </w:rPr>
        <w:t xml:space="preserve"> salpica el escrito jurídico con hechos sociales— ilustra este giro jurídico hacia la sociedad. La cultura jurídica, en conjunto, comenzó a orientarse de </w:t>
      </w:r>
      <w:r w:rsidR="00480DED" w:rsidRPr="009257E7">
        <w:rPr>
          <w:rFonts w:ascii="Times New Roman" w:eastAsia="Times New Roman" w:hAnsi="Times New Roman" w:cs="Times New Roman"/>
          <w:kern w:val="0"/>
          <w:lang w:val="es-ES"/>
          <w14:ligatures w14:val="none"/>
        </w:rPr>
        <w:t>maner</w:t>
      </w:r>
      <w:r w:rsidRPr="009257E7">
        <w:rPr>
          <w:rFonts w:ascii="Times New Roman" w:eastAsia="Times New Roman" w:hAnsi="Times New Roman" w:cs="Times New Roman"/>
          <w:kern w:val="0"/>
          <w:lang w:val="es-ES"/>
          <w14:ligatures w14:val="none"/>
        </w:rPr>
        <w:t xml:space="preserve">a más consciente </w:t>
      </w:r>
      <w:r w:rsidR="00480DED" w:rsidRPr="009257E7">
        <w:rPr>
          <w:rFonts w:ascii="Times New Roman" w:eastAsia="Times New Roman" w:hAnsi="Times New Roman" w:cs="Times New Roman"/>
          <w:kern w:val="0"/>
          <w:lang w:val="es-ES"/>
          <w14:ligatures w14:val="none"/>
        </w:rPr>
        <w:t>a partir de</w:t>
      </w:r>
      <w:r w:rsidRPr="009257E7">
        <w:rPr>
          <w:rFonts w:ascii="Times New Roman" w:eastAsia="Times New Roman" w:hAnsi="Times New Roman" w:cs="Times New Roman"/>
          <w:kern w:val="0"/>
          <w:lang w:val="es-ES"/>
          <w14:ligatures w14:val="none"/>
        </w:rPr>
        <w:t xml:space="preserve"> hechos sociales documentados.</w:t>
      </w:r>
    </w:p>
    <w:p w14:paraId="76341058" w14:textId="0BA1BAFA" w:rsidR="00810F2C" w:rsidRPr="009257E7" w:rsidRDefault="00810F2C" w:rsidP="00480DED">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 xml:space="preserve">El </w:t>
      </w:r>
      <w:r w:rsidRPr="009257E7">
        <w:rPr>
          <w:rFonts w:ascii="Times New Roman" w:eastAsia="Times New Roman" w:hAnsi="Times New Roman" w:cs="Times New Roman"/>
          <w:i/>
          <w:iCs/>
          <w:kern w:val="0"/>
          <w:lang w:val="es-ES"/>
          <w14:ligatures w14:val="none"/>
        </w:rPr>
        <w:t xml:space="preserve">Brandeis </w:t>
      </w:r>
      <w:proofErr w:type="spellStart"/>
      <w:r w:rsidRPr="009257E7">
        <w:rPr>
          <w:rFonts w:ascii="Times New Roman" w:eastAsia="Times New Roman" w:hAnsi="Times New Roman" w:cs="Times New Roman"/>
          <w:i/>
          <w:iCs/>
          <w:kern w:val="0"/>
          <w:lang w:val="es-ES"/>
          <w14:ligatures w14:val="none"/>
        </w:rPr>
        <w:t>brief</w:t>
      </w:r>
      <w:proofErr w:type="spellEnd"/>
      <w:r w:rsidRPr="009257E7">
        <w:rPr>
          <w:rFonts w:ascii="Times New Roman" w:eastAsia="Times New Roman" w:hAnsi="Times New Roman" w:cs="Times New Roman"/>
          <w:kern w:val="0"/>
          <w:lang w:val="es-ES"/>
          <w14:ligatures w14:val="none"/>
        </w:rPr>
        <w:t xml:space="preserve"> se convirtió en un mecanismo para introducir información y análisis sociológicos en los procedimientos jurídicos. El primer escrito de este tipo se presentó en </w:t>
      </w:r>
      <w:r w:rsidRPr="009257E7">
        <w:rPr>
          <w:rFonts w:ascii="Times New Roman" w:eastAsia="Times New Roman" w:hAnsi="Times New Roman" w:cs="Times New Roman"/>
          <w:i/>
          <w:iCs/>
          <w:kern w:val="0"/>
          <w:lang w:val="es-ES"/>
          <w14:ligatures w14:val="none"/>
        </w:rPr>
        <w:t xml:space="preserve">Muller v. </w:t>
      </w:r>
      <w:proofErr w:type="spellStart"/>
      <w:r w:rsidRPr="009257E7">
        <w:rPr>
          <w:rFonts w:ascii="Times New Roman" w:eastAsia="Times New Roman" w:hAnsi="Times New Roman" w:cs="Times New Roman"/>
          <w:i/>
          <w:iCs/>
          <w:kern w:val="0"/>
          <w:lang w:val="es-ES"/>
          <w14:ligatures w14:val="none"/>
        </w:rPr>
        <w:t>Oregon</w:t>
      </w:r>
      <w:proofErr w:type="spellEnd"/>
      <w:r w:rsidRPr="009257E7">
        <w:rPr>
          <w:rFonts w:ascii="Times New Roman" w:eastAsia="Times New Roman" w:hAnsi="Times New Roman" w:cs="Times New Roman"/>
          <w:kern w:val="0"/>
          <w:lang w:val="es-ES"/>
          <w14:ligatures w14:val="none"/>
        </w:rPr>
        <w:t xml:space="preserve"> en 1908, un caso que consideraba si el estado tenía autoridad para restringir las horas de trabajo de las mujeres con el fin de proteger su salud</w:t>
      </w:r>
      <w:r w:rsidR="00F64C02" w:rsidRPr="009257E7">
        <w:rPr>
          <w:rStyle w:val="FootnoteReference"/>
          <w:rFonts w:ascii="Times New Roman" w:eastAsia="Times New Roman" w:hAnsi="Times New Roman" w:cs="Times New Roman"/>
          <w:kern w:val="0"/>
          <w:lang w:val="es-ES"/>
          <w14:ligatures w14:val="none"/>
        </w:rPr>
        <w:footnoteReference w:id="189"/>
      </w:r>
      <w:r w:rsidRPr="009257E7">
        <w:rPr>
          <w:rFonts w:ascii="Times New Roman" w:eastAsia="Times New Roman" w:hAnsi="Times New Roman" w:cs="Times New Roman"/>
          <w:kern w:val="0"/>
          <w:lang w:val="es-ES"/>
          <w14:ligatures w14:val="none"/>
        </w:rPr>
        <w:t>. Se presentaron declaraciones de expert</w:t>
      </w:r>
      <w:r w:rsidR="00F64C02" w:rsidRPr="009257E7">
        <w:rPr>
          <w:rFonts w:ascii="Times New Roman" w:eastAsia="Times New Roman" w:hAnsi="Times New Roman" w:cs="Times New Roman"/>
          <w:kern w:val="0"/>
          <w:lang w:val="es-ES"/>
          <w14:ligatures w14:val="none"/>
        </w:rPr>
        <w:t>o</w:t>
      </w:r>
      <w:r w:rsidRPr="009257E7">
        <w:rPr>
          <w:rFonts w:ascii="Times New Roman" w:eastAsia="Times New Roman" w:hAnsi="Times New Roman" w:cs="Times New Roman"/>
          <w:kern w:val="0"/>
          <w:lang w:val="es-ES"/>
          <w14:ligatures w14:val="none"/>
        </w:rPr>
        <w:t xml:space="preserve">s y trabajadoras, así como datos sociológicos, para </w:t>
      </w:r>
      <w:r w:rsidR="00F64C02" w:rsidRPr="009257E7">
        <w:rPr>
          <w:rFonts w:ascii="Times New Roman" w:eastAsia="Times New Roman" w:hAnsi="Times New Roman" w:cs="Times New Roman"/>
          <w:kern w:val="0"/>
          <w:lang w:val="es-ES"/>
          <w14:ligatures w14:val="none"/>
        </w:rPr>
        <w:t>analiz</w:t>
      </w:r>
      <w:r w:rsidRPr="009257E7">
        <w:rPr>
          <w:rFonts w:ascii="Times New Roman" w:eastAsia="Times New Roman" w:hAnsi="Times New Roman" w:cs="Times New Roman"/>
          <w:kern w:val="0"/>
          <w:lang w:val="es-ES"/>
          <w14:ligatures w14:val="none"/>
        </w:rPr>
        <w:t xml:space="preserve">ar los efectos del exceso de trabajo en las mujeres. Más recientemente, las “alegaciones densas” y los “escritos de voces” se </w:t>
      </w:r>
      <w:r w:rsidRPr="009257E7">
        <w:rPr>
          <w:rFonts w:ascii="Times New Roman" w:eastAsia="Times New Roman" w:hAnsi="Times New Roman" w:cs="Times New Roman"/>
          <w:kern w:val="0"/>
          <w:lang w:val="es-ES"/>
          <w14:ligatures w14:val="none"/>
        </w:rPr>
        <w:lastRenderedPageBreak/>
        <w:t>han u</w:t>
      </w:r>
      <w:r w:rsidR="00F64C02" w:rsidRPr="009257E7">
        <w:rPr>
          <w:rFonts w:ascii="Times New Roman" w:eastAsia="Times New Roman" w:hAnsi="Times New Roman" w:cs="Times New Roman"/>
          <w:kern w:val="0"/>
          <w:lang w:val="es-ES"/>
          <w14:ligatures w14:val="none"/>
        </w:rPr>
        <w:t>tiliz</w:t>
      </w:r>
      <w:r w:rsidRPr="009257E7">
        <w:rPr>
          <w:rFonts w:ascii="Times New Roman" w:eastAsia="Times New Roman" w:hAnsi="Times New Roman" w:cs="Times New Roman"/>
          <w:kern w:val="0"/>
          <w:lang w:val="es-ES"/>
          <w14:ligatures w14:val="none"/>
        </w:rPr>
        <w:t>ado como mecanismos para incorporar hechos, relatos y análisis socialmente arraigados y diversos en los escritos jurídicos. Estos desarrollos cuestionaron cada vez más la versión estrecha de la “relevancia” jurídica que el formalismo había establecido para el análisis y la acción.</w:t>
      </w:r>
    </w:p>
    <w:p w14:paraId="4663F1A3" w14:textId="5885D685" w:rsidR="00810F2C" w:rsidRPr="009257E7" w:rsidRDefault="00810F2C" w:rsidP="00B03CA8">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L</w:t>
      </w:r>
      <w:r w:rsidR="00B03CA8" w:rsidRPr="009257E7">
        <w:rPr>
          <w:rFonts w:ascii="Times New Roman" w:eastAsia="Times New Roman" w:hAnsi="Times New Roman" w:cs="Times New Roman"/>
          <w:kern w:val="0"/>
          <w:lang w:val="es-ES"/>
          <w14:ligatures w14:val="none"/>
        </w:rPr>
        <w:t>o</w:t>
      </w:r>
      <w:r w:rsidRPr="009257E7">
        <w:rPr>
          <w:rFonts w:ascii="Times New Roman" w:eastAsia="Times New Roman" w:hAnsi="Times New Roman" w:cs="Times New Roman"/>
          <w:kern w:val="0"/>
          <w:lang w:val="es-ES"/>
          <w14:ligatures w14:val="none"/>
        </w:rPr>
        <w:t>s realistas jurídicos y otr</w:t>
      </w:r>
      <w:r w:rsidR="00B03CA8" w:rsidRPr="009257E7">
        <w:rPr>
          <w:rFonts w:ascii="Times New Roman" w:eastAsia="Times New Roman" w:hAnsi="Times New Roman" w:cs="Times New Roman"/>
          <w:kern w:val="0"/>
          <w:lang w:val="es-ES"/>
          <w14:ligatures w14:val="none"/>
        </w:rPr>
        <w:t>o</w:t>
      </w:r>
      <w:r w:rsidRPr="009257E7">
        <w:rPr>
          <w:rFonts w:ascii="Times New Roman" w:eastAsia="Times New Roman" w:hAnsi="Times New Roman" w:cs="Times New Roman"/>
          <w:kern w:val="0"/>
          <w:lang w:val="es-ES"/>
          <w14:ligatures w14:val="none"/>
        </w:rPr>
        <w:t>s continuaron profundizando</w:t>
      </w:r>
      <w:r w:rsidR="00B03CA8" w:rsidRPr="009257E7">
        <w:rPr>
          <w:rFonts w:ascii="Times New Roman" w:eastAsia="Times New Roman" w:hAnsi="Times New Roman" w:cs="Times New Roman"/>
          <w:kern w:val="0"/>
          <w:lang w:val="es-ES"/>
          <w14:ligatures w14:val="none"/>
        </w:rPr>
        <w:t xml:space="preserve"> en</w:t>
      </w:r>
      <w:r w:rsidRPr="009257E7">
        <w:rPr>
          <w:rFonts w:ascii="Times New Roman" w:eastAsia="Times New Roman" w:hAnsi="Times New Roman" w:cs="Times New Roman"/>
          <w:kern w:val="0"/>
          <w:lang w:val="es-ES"/>
          <w14:ligatures w14:val="none"/>
        </w:rPr>
        <w:t xml:space="preserve"> sus críticas </w:t>
      </w:r>
      <w:r w:rsidR="00B03CA8" w:rsidRPr="009257E7">
        <w:rPr>
          <w:rFonts w:ascii="Times New Roman" w:eastAsia="Times New Roman" w:hAnsi="Times New Roman" w:cs="Times New Roman"/>
          <w:kern w:val="0"/>
          <w:lang w:val="es-ES"/>
          <w14:ligatures w14:val="none"/>
        </w:rPr>
        <w:t>a</w:t>
      </w:r>
      <w:r w:rsidRPr="009257E7">
        <w:rPr>
          <w:rFonts w:ascii="Times New Roman" w:eastAsia="Times New Roman" w:hAnsi="Times New Roman" w:cs="Times New Roman"/>
          <w:kern w:val="0"/>
          <w:lang w:val="es-ES"/>
          <w14:ligatures w14:val="none"/>
        </w:rPr>
        <w:t xml:space="preserve">l formalismo durante décadas. Según les </w:t>
      </w:r>
      <w:proofErr w:type="spellStart"/>
      <w:r w:rsidRPr="009257E7">
        <w:rPr>
          <w:rFonts w:ascii="Times New Roman" w:eastAsia="Times New Roman" w:hAnsi="Times New Roman" w:cs="Times New Roman"/>
          <w:kern w:val="0"/>
          <w:lang w:val="es-ES"/>
          <w14:ligatures w14:val="none"/>
        </w:rPr>
        <w:t>críticxs</w:t>
      </w:r>
      <w:proofErr w:type="spellEnd"/>
      <w:r w:rsidRPr="009257E7">
        <w:rPr>
          <w:rFonts w:ascii="Times New Roman" w:eastAsia="Times New Roman" w:hAnsi="Times New Roman" w:cs="Times New Roman"/>
          <w:kern w:val="0"/>
          <w:lang w:val="es-ES"/>
          <w14:ligatures w14:val="none"/>
        </w:rPr>
        <w:t xml:space="preserve">, el marco dominante falla en parte porque el formalismo ignora intereses, poder y experiencia. La cura realista </w:t>
      </w:r>
      <w:r w:rsidR="00B03CA8" w:rsidRPr="009257E7">
        <w:rPr>
          <w:rFonts w:ascii="Times New Roman" w:eastAsia="Times New Roman" w:hAnsi="Times New Roman" w:cs="Times New Roman"/>
          <w:kern w:val="0"/>
          <w:lang w:val="es-ES"/>
          <w14:ligatures w14:val="none"/>
        </w:rPr>
        <w:t>consistió en</w:t>
      </w:r>
      <w:r w:rsidRPr="009257E7">
        <w:rPr>
          <w:rFonts w:ascii="Times New Roman" w:eastAsia="Times New Roman" w:hAnsi="Times New Roman" w:cs="Times New Roman"/>
          <w:kern w:val="0"/>
          <w:lang w:val="es-ES"/>
          <w14:ligatures w14:val="none"/>
        </w:rPr>
        <w:t xml:space="preserve"> la producción de más hechos sociales: la incorporación crítica de más conocimiento interdisciplinario, que siempre sería externo al derecho en su origen, pero usado internamente en espacios jurídicos para guiar acciones jurídicas. El giro hacia el realismo se extendió por la cultura jurídica, desde la educación hasta la adjudicación y la práctica. Las estadísticas sociales, los métodos empíricos y el conocimiento interdisciplinario informaron cada vez más las decisiones y </w:t>
      </w:r>
      <w:r w:rsidR="00755C88" w:rsidRPr="009257E7">
        <w:rPr>
          <w:rFonts w:ascii="Times New Roman" w:eastAsia="Times New Roman" w:hAnsi="Times New Roman" w:cs="Times New Roman"/>
          <w:kern w:val="0"/>
          <w:lang w:val="es-ES"/>
          <w14:ligatures w14:val="none"/>
        </w:rPr>
        <w:t xml:space="preserve">las </w:t>
      </w:r>
      <w:r w:rsidRPr="009257E7">
        <w:rPr>
          <w:rFonts w:ascii="Times New Roman" w:eastAsia="Times New Roman" w:hAnsi="Times New Roman" w:cs="Times New Roman"/>
          <w:kern w:val="0"/>
          <w:lang w:val="es-ES"/>
          <w14:ligatures w14:val="none"/>
        </w:rPr>
        <w:t xml:space="preserve">construcciones jurídicas. De esta manera, las nociones de relevancia jurídica comenzaron a expandirse </w:t>
      </w:r>
      <w:proofErr w:type="gramStart"/>
      <w:r w:rsidR="00755C88" w:rsidRPr="009257E7">
        <w:rPr>
          <w:rFonts w:ascii="Times New Roman" w:eastAsia="Times New Roman" w:hAnsi="Times New Roman" w:cs="Times New Roman"/>
          <w:kern w:val="0"/>
          <w:lang w:val="es-ES"/>
          <w14:ligatures w14:val="none"/>
        </w:rPr>
        <w:t>lentamente</w:t>
      </w:r>
      <w:r w:rsidRPr="009257E7">
        <w:rPr>
          <w:rFonts w:ascii="Times New Roman" w:eastAsia="Times New Roman" w:hAnsi="Times New Roman" w:cs="Times New Roman"/>
          <w:kern w:val="0"/>
          <w:lang w:val="es-ES"/>
          <w14:ligatures w14:val="none"/>
        </w:rPr>
        <w:t xml:space="preserve"> y renuente</w:t>
      </w:r>
      <w:r w:rsidR="00755C88" w:rsidRPr="009257E7">
        <w:rPr>
          <w:rFonts w:ascii="Times New Roman" w:eastAsia="Times New Roman" w:hAnsi="Times New Roman" w:cs="Times New Roman"/>
          <w:kern w:val="0"/>
          <w:lang w:val="es-ES"/>
          <w14:ligatures w14:val="none"/>
        </w:rPr>
        <w:t>mente</w:t>
      </w:r>
      <w:proofErr w:type="gramEnd"/>
      <w:r w:rsidRPr="009257E7">
        <w:rPr>
          <w:rFonts w:ascii="Times New Roman" w:eastAsia="Times New Roman" w:hAnsi="Times New Roman" w:cs="Times New Roman"/>
          <w:kern w:val="0"/>
          <w:lang w:val="es-ES"/>
          <w14:ligatures w14:val="none"/>
        </w:rPr>
        <w:t>.</w:t>
      </w:r>
    </w:p>
    <w:p w14:paraId="0339C2D3" w14:textId="724FC48D" w:rsidR="00810F2C" w:rsidRPr="009257E7" w:rsidRDefault="00810F2C" w:rsidP="003D6416">
      <w:pPr>
        <w:pStyle w:val="NormalWeb"/>
        <w:rPr>
          <w:lang w:val="es-ES"/>
        </w:rPr>
      </w:pPr>
      <w:r w:rsidRPr="009257E7">
        <w:rPr>
          <w:lang w:val="es-ES"/>
        </w:rPr>
        <w:t xml:space="preserve">Las sensibilidades realistas prepararon el terreno para introducir conocimiento interdisciplinario y transnacional en la cultura jurídica estadounidense, así como para </w:t>
      </w:r>
      <w:r w:rsidR="00755C88" w:rsidRPr="009257E7">
        <w:rPr>
          <w:lang w:val="es-ES"/>
        </w:rPr>
        <w:t xml:space="preserve">plantear </w:t>
      </w:r>
      <w:r w:rsidRPr="009257E7">
        <w:rPr>
          <w:lang w:val="es-ES"/>
        </w:rPr>
        <w:t xml:space="preserve">desafíos “críticos” al formalismo. El realismo jurídico abrió gradualmente la puerta a “escuelas” o esfuerzos de mentalidad crítica enfocados en la identidad. Todas estas escuelas buscan, de maneras variadas, hacer que el derecho sea más justo socialmente en su aplicación. </w:t>
      </w:r>
      <w:r w:rsidR="004D23FE" w:rsidRPr="009257E7">
        <w:rPr>
          <w:lang w:val="es-ES"/>
        </w:rPr>
        <w:t>Estas corrientes de pensamiento jurídico crítico se derivan, por tanto, de las perspectivas,</w:t>
      </w:r>
      <w:r w:rsidR="003D6416" w:rsidRPr="009257E7">
        <w:rPr>
          <w:lang w:val="es-ES"/>
        </w:rPr>
        <w:t xml:space="preserve"> </w:t>
      </w:r>
      <w:r w:rsidRPr="009257E7">
        <w:rPr>
          <w:lang w:val="es-ES"/>
        </w:rPr>
        <w:t xml:space="preserve">intuiciones e iniciativas realistas. Aunque cada una puede usar una identidad social “diferente”, como la raza o el sexo, como punto de entrada, todas investigan patrones más amplios de injusticia sistémica basados en la interacción —o intersección— de identidades </w:t>
      </w:r>
      <w:r w:rsidR="003D6416" w:rsidRPr="009257E7">
        <w:rPr>
          <w:lang w:val="es-ES"/>
        </w:rPr>
        <w:t>divers</w:t>
      </w:r>
      <w:r w:rsidRPr="009257E7">
        <w:rPr>
          <w:lang w:val="es-ES"/>
        </w:rPr>
        <w:t>as en contextos concretos.</w:t>
      </w:r>
    </w:p>
    <w:p w14:paraId="59F3CC80" w14:textId="51BF62FD" w:rsidR="00810F2C" w:rsidRPr="009257E7" w:rsidRDefault="00810F2C" w:rsidP="003D6416">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 xml:space="preserve">A partir de la década de 1970, por ejemplo, la Law and </w:t>
      </w:r>
      <w:proofErr w:type="spellStart"/>
      <w:r w:rsidRPr="009257E7">
        <w:rPr>
          <w:rFonts w:ascii="Times New Roman" w:eastAsia="Times New Roman" w:hAnsi="Times New Roman" w:cs="Times New Roman"/>
          <w:kern w:val="0"/>
          <w:lang w:val="es-ES"/>
          <w14:ligatures w14:val="none"/>
        </w:rPr>
        <w:t>Society</w:t>
      </w:r>
      <w:proofErr w:type="spellEnd"/>
      <w:r w:rsidRPr="009257E7">
        <w:rPr>
          <w:rFonts w:ascii="Times New Roman" w:eastAsia="Times New Roman" w:hAnsi="Times New Roman" w:cs="Times New Roman"/>
          <w:kern w:val="0"/>
          <w:lang w:val="es-ES"/>
          <w14:ligatures w14:val="none"/>
        </w:rPr>
        <w:t xml:space="preserve"> </w:t>
      </w:r>
      <w:proofErr w:type="spellStart"/>
      <w:r w:rsidRPr="009257E7">
        <w:rPr>
          <w:rFonts w:ascii="Times New Roman" w:eastAsia="Times New Roman" w:hAnsi="Times New Roman" w:cs="Times New Roman"/>
          <w:kern w:val="0"/>
          <w:lang w:val="es-ES"/>
          <w14:ligatures w14:val="none"/>
        </w:rPr>
        <w:t>Association</w:t>
      </w:r>
      <w:proofErr w:type="spellEnd"/>
      <w:r w:rsidRPr="009257E7">
        <w:rPr>
          <w:rFonts w:ascii="Times New Roman" w:eastAsia="Times New Roman" w:hAnsi="Times New Roman" w:cs="Times New Roman"/>
          <w:kern w:val="0"/>
          <w:lang w:val="es-ES"/>
          <w14:ligatures w14:val="none"/>
        </w:rPr>
        <w:t xml:space="preserve"> </w:t>
      </w:r>
      <w:r w:rsidR="009C326B" w:rsidRPr="009257E7">
        <w:rPr>
          <w:rFonts w:ascii="Times New Roman" w:eastAsia="Times New Roman" w:hAnsi="Times New Roman" w:cs="Times New Roman"/>
          <w:kern w:val="0"/>
          <w:lang w:val="es-ES"/>
          <w14:ligatures w14:val="none"/>
        </w:rPr>
        <w:t>(LSA)</w:t>
      </w:r>
      <w:r w:rsidRPr="009257E7">
        <w:rPr>
          <w:rFonts w:ascii="Times New Roman" w:eastAsia="Times New Roman" w:hAnsi="Times New Roman" w:cs="Times New Roman"/>
          <w:kern w:val="0"/>
          <w:lang w:val="es-ES"/>
          <w14:ligatures w14:val="none"/>
        </w:rPr>
        <w:t xml:space="preserve"> y la producción académica clínica jurídica surgieron como dos desarrollos clave en este proceso histórico de producción de conocimiento. Como sugiere su nombre, la producción académica de la LSA se dedica a comprender y reformar el derecho tal como se aplica, se experimenta empíricamente y se informa </w:t>
      </w:r>
      <w:r w:rsidR="009C326B" w:rsidRPr="009257E7">
        <w:rPr>
          <w:rFonts w:ascii="Times New Roman" w:eastAsia="Times New Roman" w:hAnsi="Times New Roman" w:cs="Times New Roman"/>
          <w:kern w:val="0"/>
          <w:lang w:val="es-ES"/>
          <w14:ligatures w14:val="none"/>
        </w:rPr>
        <w:t>desde</w:t>
      </w:r>
      <w:r w:rsidRPr="009257E7">
        <w:rPr>
          <w:rFonts w:ascii="Times New Roman" w:eastAsia="Times New Roman" w:hAnsi="Times New Roman" w:cs="Times New Roman"/>
          <w:kern w:val="0"/>
          <w:lang w:val="es-ES"/>
          <w14:ligatures w14:val="none"/>
        </w:rPr>
        <w:t xml:space="preserve"> disciplinas más allá del derecho. De forma similar, la producción académica clínica jurídica se enfoca en las aplicaciones del derecho en contextos socialmente sensibles y está arraigada en e</w:t>
      </w:r>
      <w:r w:rsidR="009C326B" w:rsidRPr="009257E7">
        <w:rPr>
          <w:rFonts w:ascii="Times New Roman" w:eastAsia="Times New Roman" w:hAnsi="Times New Roman" w:cs="Times New Roman"/>
          <w:kern w:val="0"/>
          <w:lang w:val="es-ES"/>
          <w14:ligatures w14:val="none"/>
        </w:rPr>
        <w:t>stos contexto</w:t>
      </w:r>
      <w:r w:rsidRPr="009257E7">
        <w:rPr>
          <w:rFonts w:ascii="Times New Roman" w:eastAsia="Times New Roman" w:hAnsi="Times New Roman" w:cs="Times New Roman"/>
          <w:kern w:val="0"/>
          <w:lang w:val="es-ES"/>
          <w14:ligatures w14:val="none"/>
        </w:rPr>
        <w:t xml:space="preserve">s. A menudo, aunque no </w:t>
      </w:r>
      <w:r w:rsidR="00846996" w:rsidRPr="009257E7">
        <w:rPr>
          <w:rFonts w:ascii="Times New Roman" w:eastAsia="Times New Roman" w:hAnsi="Times New Roman" w:cs="Times New Roman"/>
          <w:kern w:val="0"/>
          <w:lang w:val="es-ES"/>
          <w14:ligatures w14:val="none"/>
        </w:rPr>
        <w:t>exclusiva</w:t>
      </w:r>
      <w:r w:rsidRPr="009257E7">
        <w:rPr>
          <w:rFonts w:ascii="Times New Roman" w:eastAsia="Times New Roman" w:hAnsi="Times New Roman" w:cs="Times New Roman"/>
          <w:kern w:val="0"/>
          <w:lang w:val="es-ES"/>
          <w14:ligatures w14:val="none"/>
        </w:rPr>
        <w:t>mente, estos cuerpos de producción académica se enfocan en identidades sociales grupales, especialmente en marcos conscientes de clase diseñados para a</w:t>
      </w:r>
      <w:r w:rsidR="009C326B" w:rsidRPr="009257E7">
        <w:rPr>
          <w:rFonts w:ascii="Times New Roman" w:eastAsia="Times New Roman" w:hAnsi="Times New Roman" w:cs="Times New Roman"/>
          <w:kern w:val="0"/>
          <w:lang w:val="es-ES"/>
          <w14:ligatures w14:val="none"/>
        </w:rPr>
        <w:t>bord</w:t>
      </w:r>
      <w:r w:rsidRPr="009257E7">
        <w:rPr>
          <w:rFonts w:ascii="Times New Roman" w:eastAsia="Times New Roman" w:hAnsi="Times New Roman" w:cs="Times New Roman"/>
          <w:kern w:val="0"/>
          <w:lang w:val="es-ES"/>
          <w14:ligatures w14:val="none"/>
        </w:rPr>
        <w:t>ar patrones persistentes de pobreza.</w:t>
      </w:r>
      <w:r w:rsidR="003D6416" w:rsidRPr="009257E7">
        <w:rPr>
          <w:rFonts w:ascii="Times New Roman" w:eastAsia="Times New Roman" w:hAnsi="Times New Roman" w:cs="Times New Roman"/>
          <w:kern w:val="0"/>
          <w:lang w:val="es-ES"/>
          <w14:ligatures w14:val="none"/>
        </w:rPr>
        <w:t xml:space="preserve"> </w:t>
      </w:r>
    </w:p>
    <w:p w14:paraId="78F93F03" w14:textId="7EEBA9FE" w:rsidR="00810F2C" w:rsidRPr="009257E7" w:rsidRDefault="00810F2C" w:rsidP="00846996">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 xml:space="preserve">En la década de 1980, surgieron otros dos movimientos clave como pioneros de las escuelas críticas de las cuales les abogades sistémiques se nutren hoy. </w:t>
      </w:r>
      <w:proofErr w:type="spellStart"/>
      <w:r w:rsidRPr="009257E7">
        <w:rPr>
          <w:rFonts w:ascii="Times New Roman" w:eastAsia="Times New Roman" w:hAnsi="Times New Roman" w:cs="Times New Roman"/>
          <w:kern w:val="0"/>
          <w:lang w:val="es-ES"/>
          <w14:ligatures w14:val="none"/>
        </w:rPr>
        <w:t>Critical</w:t>
      </w:r>
      <w:proofErr w:type="spellEnd"/>
      <w:r w:rsidRPr="009257E7">
        <w:rPr>
          <w:rFonts w:ascii="Times New Roman" w:eastAsia="Times New Roman" w:hAnsi="Times New Roman" w:cs="Times New Roman"/>
          <w:kern w:val="0"/>
          <w:lang w:val="es-ES"/>
          <w14:ligatures w14:val="none"/>
        </w:rPr>
        <w:t xml:space="preserve"> Legal </w:t>
      </w:r>
      <w:proofErr w:type="spellStart"/>
      <w:r w:rsidRPr="009257E7">
        <w:rPr>
          <w:rFonts w:ascii="Times New Roman" w:eastAsia="Times New Roman" w:hAnsi="Times New Roman" w:cs="Times New Roman"/>
          <w:kern w:val="0"/>
          <w:lang w:val="es-ES"/>
          <w14:ligatures w14:val="none"/>
        </w:rPr>
        <w:t>Studies</w:t>
      </w:r>
      <w:proofErr w:type="spellEnd"/>
      <w:r w:rsidRPr="009257E7">
        <w:rPr>
          <w:rFonts w:ascii="Times New Roman" w:eastAsia="Times New Roman" w:hAnsi="Times New Roman" w:cs="Times New Roman"/>
          <w:kern w:val="0"/>
          <w:lang w:val="es-ES"/>
          <w14:ligatures w14:val="none"/>
        </w:rPr>
        <w:t xml:space="preserve"> </w:t>
      </w:r>
      <w:r w:rsidR="007B0C25" w:rsidRPr="009257E7">
        <w:rPr>
          <w:rFonts w:ascii="Times New Roman" w:eastAsia="Times New Roman" w:hAnsi="Times New Roman" w:cs="Times New Roman"/>
          <w:kern w:val="0"/>
          <w:lang w:val="es-ES"/>
          <w14:ligatures w14:val="none"/>
        </w:rPr>
        <w:t>(</w:t>
      </w:r>
      <w:r w:rsidRPr="009257E7">
        <w:rPr>
          <w:rFonts w:ascii="Times New Roman" w:eastAsia="Times New Roman" w:hAnsi="Times New Roman" w:cs="Times New Roman"/>
          <w:kern w:val="0"/>
          <w:lang w:val="es-ES"/>
          <w14:ligatures w14:val="none"/>
        </w:rPr>
        <w:t>CLS</w:t>
      </w:r>
      <w:r w:rsidR="007B0C25" w:rsidRPr="009257E7">
        <w:rPr>
          <w:rFonts w:ascii="Times New Roman" w:eastAsia="Times New Roman" w:hAnsi="Times New Roman" w:cs="Times New Roman"/>
          <w:kern w:val="0"/>
          <w:lang w:val="es-ES"/>
          <w14:ligatures w14:val="none"/>
        </w:rPr>
        <w:t>)</w:t>
      </w:r>
      <w:r w:rsidRPr="009257E7">
        <w:rPr>
          <w:rFonts w:ascii="Times New Roman" w:eastAsia="Times New Roman" w:hAnsi="Times New Roman" w:cs="Times New Roman"/>
          <w:kern w:val="0"/>
          <w:lang w:val="es-ES"/>
          <w14:ligatures w14:val="none"/>
        </w:rPr>
        <w:t xml:space="preserve"> cuestionó la legitimidad reclamada del derecho como sistema basado en principios, con un enfoque principal en </w:t>
      </w:r>
      <w:r w:rsidR="007B0C25" w:rsidRPr="009257E7">
        <w:rPr>
          <w:rFonts w:ascii="Times New Roman" w:eastAsia="Times New Roman" w:hAnsi="Times New Roman" w:cs="Times New Roman"/>
          <w:kern w:val="0"/>
          <w:lang w:val="es-ES"/>
          <w14:ligatures w14:val="none"/>
        </w:rPr>
        <w:t xml:space="preserve">las </w:t>
      </w:r>
      <w:r w:rsidRPr="009257E7">
        <w:rPr>
          <w:rFonts w:ascii="Times New Roman" w:eastAsia="Times New Roman" w:hAnsi="Times New Roman" w:cs="Times New Roman"/>
          <w:kern w:val="0"/>
          <w:lang w:val="es-ES"/>
          <w14:ligatures w14:val="none"/>
        </w:rPr>
        <w:t>jerarquías de clase y</w:t>
      </w:r>
      <w:r w:rsidR="007B0C25" w:rsidRPr="009257E7">
        <w:rPr>
          <w:rFonts w:ascii="Times New Roman" w:eastAsia="Times New Roman" w:hAnsi="Times New Roman" w:cs="Times New Roman"/>
          <w:kern w:val="0"/>
          <w:lang w:val="es-ES"/>
          <w14:ligatures w14:val="none"/>
        </w:rPr>
        <w:t xml:space="preserve"> en los</w:t>
      </w:r>
      <w:r w:rsidRPr="009257E7">
        <w:rPr>
          <w:rFonts w:ascii="Times New Roman" w:eastAsia="Times New Roman" w:hAnsi="Times New Roman" w:cs="Times New Roman"/>
          <w:kern w:val="0"/>
          <w:lang w:val="es-ES"/>
          <w14:ligatures w14:val="none"/>
        </w:rPr>
        <w:t xml:space="preserve"> legalismos que </w:t>
      </w:r>
      <w:r w:rsidR="007B0C25" w:rsidRPr="009257E7">
        <w:rPr>
          <w:rFonts w:ascii="Times New Roman" w:eastAsia="Times New Roman" w:hAnsi="Times New Roman" w:cs="Times New Roman"/>
          <w:kern w:val="0"/>
          <w:lang w:val="es-ES"/>
          <w14:ligatures w14:val="none"/>
        </w:rPr>
        <w:t xml:space="preserve">las </w:t>
      </w:r>
      <w:r w:rsidRPr="009257E7">
        <w:rPr>
          <w:rFonts w:ascii="Times New Roman" w:eastAsia="Times New Roman" w:hAnsi="Times New Roman" w:cs="Times New Roman"/>
          <w:kern w:val="0"/>
          <w:lang w:val="es-ES"/>
          <w14:ligatures w14:val="none"/>
        </w:rPr>
        <w:t xml:space="preserve">oscurecen. CLS destacó las </w:t>
      </w:r>
      <w:r w:rsidR="007B0C25" w:rsidRPr="009257E7">
        <w:rPr>
          <w:rFonts w:ascii="Times New Roman" w:eastAsia="Times New Roman" w:hAnsi="Times New Roman" w:cs="Times New Roman"/>
          <w:kern w:val="0"/>
          <w:lang w:val="es-ES"/>
          <w14:ligatures w14:val="none"/>
        </w:rPr>
        <w:t>numeros</w:t>
      </w:r>
      <w:r w:rsidRPr="009257E7">
        <w:rPr>
          <w:rFonts w:ascii="Times New Roman" w:eastAsia="Times New Roman" w:hAnsi="Times New Roman" w:cs="Times New Roman"/>
          <w:kern w:val="0"/>
          <w:lang w:val="es-ES"/>
          <w14:ligatures w14:val="none"/>
        </w:rPr>
        <w:t>as inconsistencias inexplicables del derecho y mostró cómo la manipulación de la indeterminación jurídica oculta usos discrecionales del poder</w:t>
      </w:r>
      <w:r w:rsidR="007B0C25" w:rsidRPr="009257E7">
        <w:rPr>
          <w:rFonts w:ascii="Times New Roman" w:eastAsia="Times New Roman" w:hAnsi="Times New Roman" w:cs="Times New Roman"/>
          <w:kern w:val="0"/>
          <w:lang w:val="es-ES"/>
          <w14:ligatures w14:val="none"/>
        </w:rPr>
        <w:t>,</w:t>
      </w:r>
      <w:r w:rsidRPr="009257E7">
        <w:rPr>
          <w:rFonts w:ascii="Times New Roman" w:eastAsia="Times New Roman" w:hAnsi="Times New Roman" w:cs="Times New Roman"/>
          <w:kern w:val="0"/>
          <w:lang w:val="es-ES"/>
          <w14:ligatures w14:val="none"/>
        </w:rPr>
        <w:t xml:space="preserve"> para proteger privilegios grupales y justificar patrones de subordinación. Con el género como punto de investigación crítica, </w:t>
      </w:r>
      <w:r w:rsidR="00D738B0" w:rsidRPr="009257E7">
        <w:rPr>
          <w:rFonts w:ascii="Times New Roman" w:eastAsia="Times New Roman" w:hAnsi="Times New Roman" w:cs="Times New Roman"/>
          <w:kern w:val="0"/>
          <w:lang w:val="es-ES"/>
          <w14:ligatures w14:val="none"/>
        </w:rPr>
        <w:t xml:space="preserve">la </w:t>
      </w:r>
      <w:proofErr w:type="spellStart"/>
      <w:r w:rsidRPr="009257E7">
        <w:rPr>
          <w:rFonts w:ascii="Times New Roman" w:eastAsia="Times New Roman" w:hAnsi="Times New Roman" w:cs="Times New Roman"/>
          <w:kern w:val="0"/>
          <w:lang w:val="es-ES"/>
          <w14:ligatures w14:val="none"/>
        </w:rPr>
        <w:t>Feminist</w:t>
      </w:r>
      <w:proofErr w:type="spellEnd"/>
      <w:r w:rsidRPr="009257E7">
        <w:rPr>
          <w:rFonts w:ascii="Times New Roman" w:eastAsia="Times New Roman" w:hAnsi="Times New Roman" w:cs="Times New Roman"/>
          <w:kern w:val="0"/>
          <w:lang w:val="es-ES"/>
          <w14:ligatures w14:val="none"/>
        </w:rPr>
        <w:t xml:space="preserve"> Legal Theory </w:t>
      </w:r>
      <w:r w:rsidR="00D738B0" w:rsidRPr="009257E7">
        <w:rPr>
          <w:rFonts w:ascii="Times New Roman" w:eastAsia="Times New Roman" w:hAnsi="Times New Roman" w:cs="Times New Roman"/>
          <w:kern w:val="0"/>
          <w:lang w:val="es-ES"/>
          <w14:ligatures w14:val="none"/>
        </w:rPr>
        <w:t>(</w:t>
      </w:r>
      <w:r w:rsidRPr="009257E7">
        <w:rPr>
          <w:rFonts w:ascii="Times New Roman" w:eastAsia="Times New Roman" w:hAnsi="Times New Roman" w:cs="Times New Roman"/>
          <w:kern w:val="0"/>
          <w:lang w:val="es-ES"/>
          <w14:ligatures w14:val="none"/>
        </w:rPr>
        <w:t>FLT</w:t>
      </w:r>
      <w:r w:rsidR="00D738B0" w:rsidRPr="009257E7">
        <w:rPr>
          <w:rFonts w:ascii="Times New Roman" w:eastAsia="Times New Roman" w:hAnsi="Times New Roman" w:cs="Times New Roman"/>
          <w:kern w:val="0"/>
          <w:lang w:val="es-ES"/>
          <w14:ligatures w14:val="none"/>
        </w:rPr>
        <w:t>)</w:t>
      </w:r>
      <w:r w:rsidRPr="009257E7">
        <w:rPr>
          <w:rFonts w:ascii="Times New Roman" w:eastAsia="Times New Roman" w:hAnsi="Times New Roman" w:cs="Times New Roman"/>
          <w:kern w:val="0"/>
          <w:lang w:val="es-ES"/>
          <w14:ligatures w14:val="none"/>
        </w:rPr>
        <w:t xml:space="preserve"> </w:t>
      </w:r>
      <w:r w:rsidR="00D738B0" w:rsidRPr="009257E7">
        <w:rPr>
          <w:rFonts w:ascii="Times New Roman" w:eastAsia="Times New Roman" w:hAnsi="Times New Roman" w:cs="Times New Roman"/>
          <w:kern w:val="0"/>
          <w:lang w:val="es-ES"/>
          <w14:ligatures w14:val="none"/>
        </w:rPr>
        <w:t>cuestionó</w:t>
      </w:r>
      <w:r w:rsidRPr="009257E7">
        <w:rPr>
          <w:rFonts w:ascii="Times New Roman" w:eastAsia="Times New Roman" w:hAnsi="Times New Roman" w:cs="Times New Roman"/>
          <w:kern w:val="0"/>
          <w:lang w:val="es-ES"/>
          <w14:ligatures w14:val="none"/>
        </w:rPr>
        <w:t xml:space="preserve"> los mismos desafíos a los legalismos sistémicos que </w:t>
      </w:r>
      <w:r w:rsidR="00D738B0" w:rsidRPr="009257E7">
        <w:rPr>
          <w:rFonts w:ascii="Times New Roman" w:eastAsia="Times New Roman" w:hAnsi="Times New Roman" w:cs="Times New Roman"/>
          <w:kern w:val="0"/>
          <w:lang w:val="es-ES"/>
          <w14:ligatures w14:val="none"/>
        </w:rPr>
        <w:t>contribuye</w:t>
      </w:r>
      <w:r w:rsidRPr="009257E7">
        <w:rPr>
          <w:rFonts w:ascii="Times New Roman" w:eastAsia="Times New Roman" w:hAnsi="Times New Roman" w:cs="Times New Roman"/>
          <w:kern w:val="0"/>
          <w:lang w:val="es-ES"/>
          <w14:ligatures w14:val="none"/>
        </w:rPr>
        <w:t xml:space="preserve">ron a normalizar </w:t>
      </w:r>
      <w:r w:rsidR="00D738B0" w:rsidRPr="009257E7">
        <w:rPr>
          <w:rFonts w:ascii="Times New Roman" w:eastAsia="Times New Roman" w:hAnsi="Times New Roman" w:cs="Times New Roman"/>
          <w:kern w:val="0"/>
          <w:lang w:val="es-ES"/>
          <w14:ligatures w14:val="none"/>
        </w:rPr>
        <w:t xml:space="preserve">las </w:t>
      </w:r>
      <w:r w:rsidRPr="009257E7">
        <w:rPr>
          <w:rFonts w:ascii="Times New Roman" w:eastAsia="Times New Roman" w:hAnsi="Times New Roman" w:cs="Times New Roman"/>
          <w:kern w:val="0"/>
          <w:lang w:val="es-ES"/>
          <w14:ligatures w14:val="none"/>
        </w:rPr>
        <w:t xml:space="preserve">jerarquías patriarcales. Durante esta década, estos dos </w:t>
      </w:r>
      <w:r w:rsidRPr="009257E7">
        <w:rPr>
          <w:rFonts w:ascii="Times New Roman" w:eastAsia="Times New Roman" w:hAnsi="Times New Roman" w:cs="Times New Roman"/>
          <w:kern w:val="0"/>
          <w:lang w:val="es-ES"/>
          <w14:ligatures w14:val="none"/>
        </w:rPr>
        <w:lastRenderedPageBreak/>
        <w:t xml:space="preserve">movimientos vincularon </w:t>
      </w:r>
      <w:r w:rsidR="00D738B0" w:rsidRPr="009257E7">
        <w:rPr>
          <w:rFonts w:ascii="Times New Roman" w:eastAsia="Times New Roman" w:hAnsi="Times New Roman" w:cs="Times New Roman"/>
          <w:kern w:val="0"/>
          <w:lang w:val="es-ES"/>
          <w14:ligatures w14:val="none"/>
        </w:rPr>
        <w:t>de manera efectiva</w:t>
      </w:r>
      <w:r w:rsidRPr="009257E7">
        <w:rPr>
          <w:rFonts w:ascii="Times New Roman" w:eastAsia="Times New Roman" w:hAnsi="Times New Roman" w:cs="Times New Roman"/>
          <w:kern w:val="0"/>
          <w:lang w:val="es-ES"/>
          <w14:ligatures w14:val="none"/>
        </w:rPr>
        <w:t xml:space="preserve"> los estudios “críticos” con el análisis de </w:t>
      </w:r>
      <w:r w:rsidR="00D738B0" w:rsidRPr="009257E7">
        <w:rPr>
          <w:rFonts w:ascii="Times New Roman" w:eastAsia="Times New Roman" w:hAnsi="Times New Roman" w:cs="Times New Roman"/>
          <w:kern w:val="0"/>
          <w:lang w:val="es-ES"/>
          <w14:ligatures w14:val="none"/>
        </w:rPr>
        <w:t xml:space="preserve">la </w:t>
      </w:r>
      <w:r w:rsidRPr="009257E7">
        <w:rPr>
          <w:rFonts w:ascii="Times New Roman" w:eastAsia="Times New Roman" w:hAnsi="Times New Roman" w:cs="Times New Roman"/>
          <w:kern w:val="0"/>
          <w:lang w:val="es-ES"/>
          <w14:ligatures w14:val="none"/>
        </w:rPr>
        <w:t>“identidad” para cuestionar la legitimidad y</w:t>
      </w:r>
      <w:r w:rsidR="00D738B0" w:rsidRPr="009257E7">
        <w:rPr>
          <w:rFonts w:ascii="Times New Roman" w:eastAsia="Times New Roman" w:hAnsi="Times New Roman" w:cs="Times New Roman"/>
          <w:kern w:val="0"/>
          <w:lang w:val="es-ES"/>
          <w14:ligatures w14:val="none"/>
        </w:rPr>
        <w:t xml:space="preserve"> la</w:t>
      </w:r>
      <w:r w:rsidRPr="009257E7">
        <w:rPr>
          <w:rFonts w:ascii="Times New Roman" w:eastAsia="Times New Roman" w:hAnsi="Times New Roman" w:cs="Times New Roman"/>
          <w:kern w:val="0"/>
          <w:lang w:val="es-ES"/>
          <w14:ligatures w14:val="none"/>
        </w:rPr>
        <w:t xml:space="preserve"> utilidad del derecho como garante de la justicia igualitaria.</w:t>
      </w:r>
    </w:p>
    <w:p w14:paraId="0CF3583E" w14:textId="5A274A71" w:rsidR="00810F2C" w:rsidRPr="009257E7" w:rsidRDefault="00810F2C" w:rsidP="00D738B0">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 xml:space="preserve">Al dar el siguiente paso, </w:t>
      </w:r>
      <w:proofErr w:type="spellStart"/>
      <w:r w:rsidRPr="009257E7">
        <w:rPr>
          <w:rFonts w:ascii="Times New Roman" w:eastAsia="Times New Roman" w:hAnsi="Times New Roman" w:cs="Times New Roman"/>
          <w:kern w:val="0"/>
          <w:lang w:val="es-ES"/>
          <w14:ligatures w14:val="none"/>
        </w:rPr>
        <w:t>Critical</w:t>
      </w:r>
      <w:proofErr w:type="spellEnd"/>
      <w:r w:rsidRPr="009257E7">
        <w:rPr>
          <w:rFonts w:ascii="Times New Roman" w:eastAsia="Times New Roman" w:hAnsi="Times New Roman" w:cs="Times New Roman"/>
          <w:kern w:val="0"/>
          <w:lang w:val="es-ES"/>
          <w14:ligatures w14:val="none"/>
        </w:rPr>
        <w:t xml:space="preserve"> </w:t>
      </w:r>
      <w:proofErr w:type="spellStart"/>
      <w:r w:rsidRPr="009257E7">
        <w:rPr>
          <w:rFonts w:ascii="Times New Roman" w:eastAsia="Times New Roman" w:hAnsi="Times New Roman" w:cs="Times New Roman"/>
          <w:kern w:val="0"/>
          <w:lang w:val="es-ES"/>
          <w14:ligatures w14:val="none"/>
        </w:rPr>
        <w:t>Race</w:t>
      </w:r>
      <w:proofErr w:type="spellEnd"/>
      <w:r w:rsidRPr="009257E7">
        <w:rPr>
          <w:rFonts w:ascii="Times New Roman" w:eastAsia="Times New Roman" w:hAnsi="Times New Roman" w:cs="Times New Roman"/>
          <w:kern w:val="0"/>
          <w:lang w:val="es-ES"/>
          <w14:ligatures w14:val="none"/>
        </w:rPr>
        <w:t xml:space="preserve"> Theory </w:t>
      </w:r>
      <w:r w:rsidR="00F314EC" w:rsidRPr="009257E7">
        <w:rPr>
          <w:rFonts w:ascii="Times New Roman" w:eastAsia="Times New Roman" w:hAnsi="Times New Roman" w:cs="Times New Roman"/>
          <w:kern w:val="0"/>
          <w:lang w:val="es-ES"/>
          <w14:ligatures w14:val="none"/>
        </w:rPr>
        <w:t>(</w:t>
      </w:r>
      <w:r w:rsidRPr="009257E7">
        <w:rPr>
          <w:rFonts w:ascii="Times New Roman" w:eastAsia="Times New Roman" w:hAnsi="Times New Roman" w:cs="Times New Roman"/>
          <w:kern w:val="0"/>
          <w:lang w:val="es-ES"/>
          <w14:ligatures w14:val="none"/>
        </w:rPr>
        <w:t>CRT</w:t>
      </w:r>
      <w:r w:rsidR="00F314EC" w:rsidRPr="009257E7">
        <w:rPr>
          <w:rFonts w:ascii="Times New Roman" w:eastAsia="Times New Roman" w:hAnsi="Times New Roman" w:cs="Times New Roman"/>
          <w:kern w:val="0"/>
          <w:lang w:val="es-ES"/>
          <w14:ligatures w14:val="none"/>
        </w:rPr>
        <w:t>)</w:t>
      </w:r>
      <w:r w:rsidRPr="009257E7">
        <w:rPr>
          <w:rFonts w:ascii="Times New Roman" w:eastAsia="Times New Roman" w:hAnsi="Times New Roman" w:cs="Times New Roman"/>
          <w:kern w:val="0"/>
          <w:lang w:val="es-ES"/>
          <w14:ligatures w14:val="none"/>
        </w:rPr>
        <w:t xml:space="preserve"> y </w:t>
      </w:r>
      <w:proofErr w:type="spellStart"/>
      <w:r w:rsidRPr="009257E7">
        <w:rPr>
          <w:rFonts w:ascii="Times New Roman" w:eastAsia="Times New Roman" w:hAnsi="Times New Roman" w:cs="Times New Roman"/>
          <w:kern w:val="0"/>
          <w:lang w:val="es-ES"/>
          <w14:ligatures w14:val="none"/>
        </w:rPr>
        <w:t>Critical</w:t>
      </w:r>
      <w:proofErr w:type="spellEnd"/>
      <w:r w:rsidRPr="009257E7">
        <w:rPr>
          <w:rFonts w:ascii="Times New Roman" w:eastAsia="Times New Roman" w:hAnsi="Times New Roman" w:cs="Times New Roman"/>
          <w:kern w:val="0"/>
          <w:lang w:val="es-ES"/>
          <w14:ligatures w14:val="none"/>
        </w:rPr>
        <w:t xml:space="preserve"> </w:t>
      </w:r>
      <w:proofErr w:type="spellStart"/>
      <w:r w:rsidRPr="009257E7">
        <w:rPr>
          <w:rFonts w:ascii="Times New Roman" w:eastAsia="Times New Roman" w:hAnsi="Times New Roman" w:cs="Times New Roman"/>
          <w:kern w:val="0"/>
          <w:lang w:val="es-ES"/>
          <w14:ligatures w14:val="none"/>
        </w:rPr>
        <w:t>Race</w:t>
      </w:r>
      <w:proofErr w:type="spellEnd"/>
      <w:r w:rsidRPr="009257E7">
        <w:rPr>
          <w:rFonts w:ascii="Times New Roman" w:eastAsia="Times New Roman" w:hAnsi="Times New Roman" w:cs="Times New Roman"/>
          <w:kern w:val="0"/>
          <w:lang w:val="es-ES"/>
          <w14:ligatures w14:val="none"/>
        </w:rPr>
        <w:t xml:space="preserve"> </w:t>
      </w:r>
      <w:proofErr w:type="spellStart"/>
      <w:r w:rsidRPr="009257E7">
        <w:rPr>
          <w:rFonts w:ascii="Times New Roman" w:eastAsia="Times New Roman" w:hAnsi="Times New Roman" w:cs="Times New Roman"/>
          <w:kern w:val="0"/>
          <w:lang w:val="es-ES"/>
          <w14:ligatures w14:val="none"/>
        </w:rPr>
        <w:t>Feminism</w:t>
      </w:r>
      <w:proofErr w:type="spellEnd"/>
      <w:r w:rsidRPr="009257E7">
        <w:rPr>
          <w:rFonts w:ascii="Times New Roman" w:eastAsia="Times New Roman" w:hAnsi="Times New Roman" w:cs="Times New Roman"/>
          <w:kern w:val="0"/>
          <w:lang w:val="es-ES"/>
          <w14:ligatures w14:val="none"/>
        </w:rPr>
        <w:t xml:space="preserve"> </w:t>
      </w:r>
      <w:r w:rsidR="00F314EC" w:rsidRPr="009257E7">
        <w:rPr>
          <w:rFonts w:ascii="Times New Roman" w:eastAsia="Times New Roman" w:hAnsi="Times New Roman" w:cs="Times New Roman"/>
          <w:kern w:val="0"/>
          <w:lang w:val="es-ES"/>
          <w14:ligatures w14:val="none"/>
        </w:rPr>
        <w:t>(</w:t>
      </w:r>
      <w:r w:rsidRPr="009257E7">
        <w:rPr>
          <w:rFonts w:ascii="Times New Roman" w:eastAsia="Times New Roman" w:hAnsi="Times New Roman" w:cs="Times New Roman"/>
          <w:kern w:val="0"/>
          <w:lang w:val="es-ES"/>
          <w14:ligatures w14:val="none"/>
        </w:rPr>
        <w:t>CRF</w:t>
      </w:r>
      <w:r w:rsidR="00F314EC" w:rsidRPr="009257E7">
        <w:rPr>
          <w:rFonts w:ascii="Times New Roman" w:eastAsia="Times New Roman" w:hAnsi="Times New Roman" w:cs="Times New Roman"/>
          <w:kern w:val="0"/>
          <w:lang w:val="es-ES"/>
          <w14:ligatures w14:val="none"/>
        </w:rPr>
        <w:t>)</w:t>
      </w:r>
      <w:r w:rsidRPr="009257E7">
        <w:rPr>
          <w:rFonts w:ascii="Times New Roman" w:eastAsia="Times New Roman" w:hAnsi="Times New Roman" w:cs="Times New Roman"/>
          <w:kern w:val="0"/>
          <w:lang w:val="es-ES"/>
          <w14:ligatures w14:val="none"/>
        </w:rPr>
        <w:t xml:space="preserve">, a finales de la década de 1980 y comienzos de la década de 1990, centraron la identidad social en </w:t>
      </w:r>
      <w:r w:rsidR="00F314EC" w:rsidRPr="009257E7">
        <w:rPr>
          <w:rFonts w:ascii="Times New Roman" w:eastAsia="Times New Roman" w:hAnsi="Times New Roman" w:cs="Times New Roman"/>
          <w:kern w:val="0"/>
          <w:lang w:val="es-ES"/>
          <w14:ligatures w14:val="none"/>
        </w:rPr>
        <w:t>términos</w:t>
      </w:r>
      <w:r w:rsidRPr="009257E7">
        <w:rPr>
          <w:rFonts w:ascii="Times New Roman" w:eastAsia="Times New Roman" w:hAnsi="Times New Roman" w:cs="Times New Roman"/>
          <w:kern w:val="0"/>
          <w:lang w:val="es-ES"/>
          <w14:ligatures w14:val="none"/>
        </w:rPr>
        <w:t xml:space="preserve"> de raza y género y su interacción, junto con CLS y FLT. De manera similar, pronto se desarrollaron otros géneros de producción académica sensible a la identidad, lo que ayudó a trazar y conectar </w:t>
      </w:r>
      <w:proofErr w:type="spellStart"/>
      <w:r w:rsidRPr="009257E7">
        <w:rPr>
          <w:rFonts w:ascii="Times New Roman" w:eastAsia="Times New Roman" w:hAnsi="Times New Roman" w:cs="Times New Roman"/>
          <w:kern w:val="0"/>
          <w:lang w:val="es-ES"/>
          <w14:ligatures w14:val="none"/>
        </w:rPr>
        <w:t>a</w:t>
      </w:r>
      <w:r w:rsidR="000062EF" w:rsidRPr="009257E7">
        <w:rPr>
          <w:rFonts w:ascii="Times New Roman" w:eastAsia="Times New Roman" w:hAnsi="Times New Roman" w:cs="Times New Roman"/>
          <w:kern w:val="0"/>
          <w:lang w:val="es-ES"/>
          <w14:ligatures w14:val="none"/>
        </w:rPr>
        <w:t>u</w:t>
      </w:r>
      <w:r w:rsidRPr="009257E7">
        <w:rPr>
          <w:rFonts w:ascii="Times New Roman" w:eastAsia="Times New Roman" w:hAnsi="Times New Roman" w:cs="Times New Roman"/>
          <w:kern w:val="0"/>
          <w:lang w:val="es-ES"/>
          <w14:ligatures w14:val="none"/>
        </w:rPr>
        <w:t>n</w:t>
      </w:r>
      <w:proofErr w:type="spellEnd"/>
      <w:r w:rsidRPr="009257E7">
        <w:rPr>
          <w:rFonts w:ascii="Times New Roman" w:eastAsia="Times New Roman" w:hAnsi="Times New Roman" w:cs="Times New Roman"/>
          <w:kern w:val="0"/>
          <w:lang w:val="es-ES"/>
          <w14:ligatures w14:val="none"/>
        </w:rPr>
        <w:t xml:space="preserve"> más identidades y sistemas “diferentes” con los mismos patrones injustos. Para mediados de la década de 1990, las escuelas críticas de conocimiento jurídico se </w:t>
      </w:r>
      <w:r w:rsidR="000062EF" w:rsidRPr="009257E7">
        <w:rPr>
          <w:rFonts w:ascii="Times New Roman" w:eastAsia="Times New Roman" w:hAnsi="Times New Roman" w:cs="Times New Roman"/>
          <w:kern w:val="0"/>
          <w:lang w:val="es-ES"/>
          <w14:ligatures w14:val="none"/>
        </w:rPr>
        <w:t>unieron</w:t>
      </w:r>
      <w:r w:rsidRPr="009257E7">
        <w:rPr>
          <w:rFonts w:ascii="Times New Roman" w:eastAsia="Times New Roman" w:hAnsi="Times New Roman" w:cs="Times New Roman"/>
          <w:kern w:val="0"/>
          <w:lang w:val="es-ES"/>
          <w14:ligatures w14:val="none"/>
        </w:rPr>
        <w:t xml:space="preserve"> en redes superpuestas de estudios críticos, conocidas colectivamente como </w:t>
      </w:r>
      <w:proofErr w:type="spellStart"/>
      <w:r w:rsidRPr="009257E7">
        <w:rPr>
          <w:rFonts w:ascii="Times New Roman" w:eastAsia="Times New Roman" w:hAnsi="Times New Roman" w:cs="Times New Roman"/>
          <w:kern w:val="0"/>
          <w:lang w:val="es-ES"/>
          <w14:ligatures w14:val="none"/>
        </w:rPr>
        <w:t>Critical</w:t>
      </w:r>
      <w:proofErr w:type="spellEnd"/>
      <w:r w:rsidRPr="009257E7">
        <w:rPr>
          <w:rFonts w:ascii="Times New Roman" w:eastAsia="Times New Roman" w:hAnsi="Times New Roman" w:cs="Times New Roman"/>
          <w:kern w:val="0"/>
          <w:lang w:val="es-ES"/>
          <w14:ligatures w14:val="none"/>
        </w:rPr>
        <w:t xml:space="preserve"> </w:t>
      </w:r>
      <w:proofErr w:type="gramStart"/>
      <w:r w:rsidRPr="009257E7">
        <w:rPr>
          <w:rFonts w:ascii="Times New Roman" w:eastAsia="Times New Roman" w:hAnsi="Times New Roman" w:cs="Times New Roman"/>
          <w:kern w:val="0"/>
          <w:lang w:val="es-ES"/>
          <w14:ligatures w14:val="none"/>
        </w:rPr>
        <w:t>Outsider</w:t>
      </w:r>
      <w:proofErr w:type="gramEnd"/>
      <w:r w:rsidRPr="009257E7">
        <w:rPr>
          <w:rFonts w:ascii="Times New Roman" w:eastAsia="Times New Roman" w:hAnsi="Times New Roman" w:cs="Times New Roman"/>
          <w:kern w:val="0"/>
          <w:lang w:val="es-ES"/>
          <w14:ligatures w14:val="none"/>
        </w:rPr>
        <w:t xml:space="preserve"> </w:t>
      </w:r>
      <w:proofErr w:type="spellStart"/>
      <w:r w:rsidRPr="009257E7">
        <w:rPr>
          <w:rFonts w:ascii="Times New Roman" w:eastAsia="Times New Roman" w:hAnsi="Times New Roman" w:cs="Times New Roman"/>
          <w:kern w:val="0"/>
          <w:lang w:val="es-ES"/>
          <w14:ligatures w14:val="none"/>
        </w:rPr>
        <w:t>Jurisprudence</w:t>
      </w:r>
      <w:proofErr w:type="spellEnd"/>
      <w:r w:rsidRPr="009257E7">
        <w:rPr>
          <w:rFonts w:ascii="Times New Roman" w:eastAsia="Times New Roman" w:hAnsi="Times New Roman" w:cs="Times New Roman"/>
          <w:kern w:val="0"/>
          <w:lang w:val="es-ES"/>
          <w14:ligatures w14:val="none"/>
        </w:rPr>
        <w:t xml:space="preserve">. </w:t>
      </w:r>
      <w:proofErr w:type="spellStart"/>
      <w:r w:rsidRPr="009257E7">
        <w:rPr>
          <w:rFonts w:ascii="Times New Roman" w:eastAsia="Times New Roman" w:hAnsi="Times New Roman" w:cs="Times New Roman"/>
          <w:kern w:val="0"/>
          <w:lang w:val="es-ES"/>
          <w14:ligatures w14:val="none"/>
        </w:rPr>
        <w:t>Critical</w:t>
      </w:r>
      <w:proofErr w:type="spellEnd"/>
      <w:r w:rsidRPr="009257E7">
        <w:rPr>
          <w:rFonts w:ascii="Times New Roman" w:eastAsia="Times New Roman" w:hAnsi="Times New Roman" w:cs="Times New Roman"/>
          <w:kern w:val="0"/>
          <w:lang w:val="es-ES"/>
          <w14:ligatures w14:val="none"/>
        </w:rPr>
        <w:t xml:space="preserve"> </w:t>
      </w:r>
      <w:proofErr w:type="gramStart"/>
      <w:r w:rsidRPr="009257E7">
        <w:rPr>
          <w:rFonts w:ascii="Times New Roman" w:eastAsia="Times New Roman" w:hAnsi="Times New Roman" w:cs="Times New Roman"/>
          <w:kern w:val="0"/>
          <w:lang w:val="es-ES"/>
          <w14:ligatures w14:val="none"/>
        </w:rPr>
        <w:t>Outsider</w:t>
      </w:r>
      <w:proofErr w:type="gramEnd"/>
      <w:r w:rsidRPr="009257E7">
        <w:rPr>
          <w:rFonts w:ascii="Times New Roman" w:eastAsia="Times New Roman" w:hAnsi="Times New Roman" w:cs="Times New Roman"/>
          <w:kern w:val="0"/>
          <w:lang w:val="es-ES"/>
          <w14:ligatures w14:val="none"/>
        </w:rPr>
        <w:t xml:space="preserve"> </w:t>
      </w:r>
      <w:proofErr w:type="spellStart"/>
      <w:r w:rsidRPr="009257E7">
        <w:rPr>
          <w:rFonts w:ascii="Times New Roman" w:eastAsia="Times New Roman" w:hAnsi="Times New Roman" w:cs="Times New Roman"/>
          <w:kern w:val="0"/>
          <w:lang w:val="es-ES"/>
          <w14:ligatures w14:val="none"/>
        </w:rPr>
        <w:t>Jurisprudence</w:t>
      </w:r>
      <w:proofErr w:type="spellEnd"/>
      <w:r w:rsidRPr="009257E7">
        <w:rPr>
          <w:rFonts w:ascii="Times New Roman" w:eastAsia="Times New Roman" w:hAnsi="Times New Roman" w:cs="Times New Roman"/>
          <w:kern w:val="0"/>
          <w:lang w:val="es-ES"/>
          <w14:ligatures w14:val="none"/>
        </w:rPr>
        <w:t xml:space="preserve"> se enfocó en identidades sociales “externas” variadas y superpuestas, basadas en etnicidad, nacionalidad, </w:t>
      </w:r>
      <w:proofErr w:type="spellStart"/>
      <w:r w:rsidRPr="009257E7">
        <w:rPr>
          <w:rFonts w:ascii="Times New Roman" w:eastAsia="Times New Roman" w:hAnsi="Times New Roman" w:cs="Times New Roman"/>
          <w:kern w:val="0"/>
          <w:lang w:val="es-ES"/>
          <w14:ligatures w14:val="none"/>
        </w:rPr>
        <w:t>indigeneidad</w:t>
      </w:r>
      <w:proofErr w:type="spellEnd"/>
      <w:r w:rsidRPr="009257E7">
        <w:rPr>
          <w:rFonts w:ascii="Times New Roman" w:eastAsia="Times New Roman" w:hAnsi="Times New Roman" w:cs="Times New Roman"/>
          <w:kern w:val="0"/>
          <w:lang w:val="es-ES"/>
          <w14:ligatures w14:val="none"/>
        </w:rPr>
        <w:t xml:space="preserve">, sexualidad, discapacidad, clase y religión. Estas redes críticas y externas —u </w:t>
      </w:r>
      <w:proofErr w:type="spellStart"/>
      <w:r w:rsidRPr="009257E7">
        <w:rPr>
          <w:rFonts w:ascii="Times New Roman" w:eastAsia="Times New Roman" w:hAnsi="Times New Roman" w:cs="Times New Roman"/>
          <w:kern w:val="0"/>
          <w:lang w:val="es-ES"/>
          <w14:ligatures w14:val="none"/>
        </w:rPr>
        <w:t>OutCrit</w:t>
      </w:r>
      <w:proofErr w:type="spellEnd"/>
      <w:r w:rsidRPr="009257E7">
        <w:rPr>
          <w:rFonts w:ascii="Times New Roman" w:eastAsia="Times New Roman" w:hAnsi="Times New Roman" w:cs="Times New Roman"/>
          <w:kern w:val="0"/>
          <w:lang w:val="es-ES"/>
          <w14:ligatures w14:val="none"/>
        </w:rPr>
        <w:t xml:space="preserve">— lanzaron y nutrieron </w:t>
      </w:r>
      <w:proofErr w:type="spellStart"/>
      <w:r w:rsidRPr="009257E7">
        <w:rPr>
          <w:rFonts w:ascii="Times New Roman" w:eastAsia="Times New Roman" w:hAnsi="Times New Roman" w:cs="Times New Roman"/>
          <w:kern w:val="0"/>
          <w:lang w:val="es-ES"/>
          <w14:ligatures w14:val="none"/>
        </w:rPr>
        <w:t>QueerCrit</w:t>
      </w:r>
      <w:proofErr w:type="spellEnd"/>
      <w:r w:rsidRPr="009257E7">
        <w:rPr>
          <w:rFonts w:ascii="Times New Roman" w:eastAsia="Times New Roman" w:hAnsi="Times New Roman" w:cs="Times New Roman"/>
          <w:kern w:val="0"/>
          <w:lang w:val="es-ES"/>
          <w14:ligatures w14:val="none"/>
        </w:rPr>
        <w:t xml:space="preserve">, </w:t>
      </w:r>
      <w:proofErr w:type="spellStart"/>
      <w:r w:rsidRPr="009257E7">
        <w:rPr>
          <w:rFonts w:ascii="Times New Roman" w:eastAsia="Times New Roman" w:hAnsi="Times New Roman" w:cs="Times New Roman"/>
          <w:kern w:val="0"/>
          <w:lang w:val="es-ES"/>
          <w14:ligatures w14:val="none"/>
        </w:rPr>
        <w:t>LatCrit</w:t>
      </w:r>
      <w:proofErr w:type="spellEnd"/>
      <w:r w:rsidRPr="009257E7">
        <w:rPr>
          <w:rFonts w:ascii="Times New Roman" w:eastAsia="Times New Roman" w:hAnsi="Times New Roman" w:cs="Times New Roman"/>
          <w:kern w:val="0"/>
          <w:lang w:val="es-ES"/>
          <w14:ligatures w14:val="none"/>
        </w:rPr>
        <w:t xml:space="preserve"> </w:t>
      </w:r>
      <w:r w:rsidR="00425B9D" w:rsidRPr="009257E7">
        <w:rPr>
          <w:rFonts w:ascii="Times New Roman" w:eastAsia="Times New Roman" w:hAnsi="Times New Roman" w:cs="Times New Roman"/>
          <w:kern w:val="0"/>
          <w:lang w:val="es-ES"/>
          <w14:ligatures w14:val="none"/>
        </w:rPr>
        <w:t>(</w:t>
      </w:r>
      <w:r w:rsidRPr="009257E7">
        <w:rPr>
          <w:rFonts w:ascii="Times New Roman" w:eastAsia="Times New Roman" w:hAnsi="Times New Roman" w:cs="Times New Roman"/>
          <w:kern w:val="0"/>
          <w:lang w:val="es-ES"/>
          <w14:ligatures w14:val="none"/>
        </w:rPr>
        <w:t xml:space="preserve">Latina and Latino </w:t>
      </w:r>
      <w:proofErr w:type="spellStart"/>
      <w:r w:rsidRPr="009257E7">
        <w:rPr>
          <w:rFonts w:ascii="Times New Roman" w:eastAsia="Times New Roman" w:hAnsi="Times New Roman" w:cs="Times New Roman"/>
          <w:kern w:val="0"/>
          <w:lang w:val="es-ES"/>
          <w14:ligatures w14:val="none"/>
        </w:rPr>
        <w:t>Critical</w:t>
      </w:r>
      <w:proofErr w:type="spellEnd"/>
      <w:r w:rsidRPr="009257E7">
        <w:rPr>
          <w:rFonts w:ascii="Times New Roman" w:eastAsia="Times New Roman" w:hAnsi="Times New Roman" w:cs="Times New Roman"/>
          <w:kern w:val="0"/>
          <w:lang w:val="es-ES"/>
          <w14:ligatures w14:val="none"/>
        </w:rPr>
        <w:t xml:space="preserve"> Legal Theory</w:t>
      </w:r>
      <w:r w:rsidR="00425B9D" w:rsidRPr="009257E7">
        <w:rPr>
          <w:rFonts w:ascii="Times New Roman" w:eastAsia="Times New Roman" w:hAnsi="Times New Roman" w:cs="Times New Roman"/>
          <w:kern w:val="0"/>
          <w:lang w:val="es-ES"/>
          <w14:ligatures w14:val="none"/>
        </w:rPr>
        <w:t>)</w:t>
      </w:r>
      <w:r w:rsidRPr="009257E7">
        <w:rPr>
          <w:rFonts w:ascii="Times New Roman" w:eastAsia="Times New Roman" w:hAnsi="Times New Roman" w:cs="Times New Roman"/>
          <w:kern w:val="0"/>
          <w:lang w:val="es-ES"/>
          <w14:ligatures w14:val="none"/>
        </w:rPr>
        <w:t xml:space="preserve">, </w:t>
      </w:r>
      <w:proofErr w:type="spellStart"/>
      <w:r w:rsidRPr="009257E7">
        <w:rPr>
          <w:rFonts w:ascii="Times New Roman" w:eastAsia="Times New Roman" w:hAnsi="Times New Roman" w:cs="Times New Roman"/>
          <w:kern w:val="0"/>
          <w:lang w:val="es-ES"/>
          <w14:ligatures w14:val="none"/>
        </w:rPr>
        <w:t>ClassCrit</w:t>
      </w:r>
      <w:proofErr w:type="spellEnd"/>
      <w:r w:rsidRPr="009257E7">
        <w:rPr>
          <w:rFonts w:ascii="Times New Roman" w:eastAsia="Times New Roman" w:hAnsi="Times New Roman" w:cs="Times New Roman"/>
          <w:kern w:val="0"/>
          <w:lang w:val="es-ES"/>
          <w14:ligatures w14:val="none"/>
        </w:rPr>
        <w:t xml:space="preserve">, </w:t>
      </w:r>
      <w:proofErr w:type="spellStart"/>
      <w:r w:rsidRPr="009257E7">
        <w:rPr>
          <w:rFonts w:ascii="Times New Roman" w:eastAsia="Times New Roman" w:hAnsi="Times New Roman" w:cs="Times New Roman"/>
          <w:kern w:val="0"/>
          <w:lang w:val="es-ES"/>
          <w14:ligatures w14:val="none"/>
        </w:rPr>
        <w:t>DisCrit</w:t>
      </w:r>
      <w:proofErr w:type="spellEnd"/>
      <w:r w:rsidRPr="009257E7">
        <w:rPr>
          <w:rFonts w:ascii="Times New Roman" w:eastAsia="Times New Roman" w:hAnsi="Times New Roman" w:cs="Times New Roman"/>
          <w:kern w:val="0"/>
          <w:lang w:val="es-ES"/>
          <w14:ligatures w14:val="none"/>
        </w:rPr>
        <w:t xml:space="preserve"> </w:t>
      </w:r>
      <w:r w:rsidR="00425B9D" w:rsidRPr="009257E7">
        <w:rPr>
          <w:rFonts w:ascii="Times New Roman" w:eastAsia="Times New Roman" w:hAnsi="Times New Roman" w:cs="Times New Roman"/>
          <w:kern w:val="0"/>
          <w:lang w:val="es-ES"/>
          <w14:ligatures w14:val="none"/>
        </w:rPr>
        <w:t>(</w:t>
      </w:r>
      <w:proofErr w:type="spellStart"/>
      <w:r w:rsidRPr="009257E7">
        <w:rPr>
          <w:rFonts w:ascii="Times New Roman" w:eastAsia="Times New Roman" w:hAnsi="Times New Roman" w:cs="Times New Roman"/>
          <w:kern w:val="0"/>
          <w:lang w:val="es-ES"/>
          <w14:ligatures w14:val="none"/>
        </w:rPr>
        <w:t>Dis</w:t>
      </w:r>
      <w:proofErr w:type="spellEnd"/>
      <w:r w:rsidRPr="009257E7">
        <w:rPr>
          <w:rFonts w:ascii="Times New Roman" w:eastAsia="Times New Roman" w:hAnsi="Times New Roman" w:cs="Times New Roman"/>
          <w:kern w:val="0"/>
          <w:lang w:val="es-ES"/>
          <w14:ligatures w14:val="none"/>
        </w:rPr>
        <w:t>/</w:t>
      </w:r>
      <w:proofErr w:type="spellStart"/>
      <w:r w:rsidRPr="009257E7">
        <w:rPr>
          <w:rFonts w:ascii="Times New Roman" w:eastAsia="Times New Roman" w:hAnsi="Times New Roman" w:cs="Times New Roman"/>
          <w:kern w:val="0"/>
          <w:lang w:val="es-ES"/>
          <w14:ligatures w14:val="none"/>
        </w:rPr>
        <w:t>ability</w:t>
      </w:r>
      <w:proofErr w:type="spellEnd"/>
      <w:r w:rsidRPr="009257E7">
        <w:rPr>
          <w:rFonts w:ascii="Times New Roman" w:eastAsia="Times New Roman" w:hAnsi="Times New Roman" w:cs="Times New Roman"/>
          <w:kern w:val="0"/>
          <w:lang w:val="es-ES"/>
          <w14:ligatures w14:val="none"/>
        </w:rPr>
        <w:t xml:space="preserve"> </w:t>
      </w:r>
      <w:proofErr w:type="spellStart"/>
      <w:r w:rsidRPr="009257E7">
        <w:rPr>
          <w:rFonts w:ascii="Times New Roman" w:eastAsia="Times New Roman" w:hAnsi="Times New Roman" w:cs="Times New Roman"/>
          <w:kern w:val="0"/>
          <w:lang w:val="es-ES"/>
          <w14:ligatures w14:val="none"/>
        </w:rPr>
        <w:t>Critical</w:t>
      </w:r>
      <w:proofErr w:type="spellEnd"/>
      <w:r w:rsidRPr="009257E7">
        <w:rPr>
          <w:rFonts w:ascii="Times New Roman" w:eastAsia="Times New Roman" w:hAnsi="Times New Roman" w:cs="Times New Roman"/>
          <w:kern w:val="0"/>
          <w:lang w:val="es-ES"/>
          <w14:ligatures w14:val="none"/>
        </w:rPr>
        <w:t xml:space="preserve"> </w:t>
      </w:r>
      <w:proofErr w:type="spellStart"/>
      <w:r w:rsidRPr="009257E7">
        <w:rPr>
          <w:rFonts w:ascii="Times New Roman" w:eastAsia="Times New Roman" w:hAnsi="Times New Roman" w:cs="Times New Roman"/>
          <w:kern w:val="0"/>
          <w:lang w:val="es-ES"/>
          <w14:ligatures w14:val="none"/>
        </w:rPr>
        <w:t>Race</w:t>
      </w:r>
      <w:proofErr w:type="spellEnd"/>
      <w:r w:rsidRPr="009257E7">
        <w:rPr>
          <w:rFonts w:ascii="Times New Roman" w:eastAsia="Times New Roman" w:hAnsi="Times New Roman" w:cs="Times New Roman"/>
          <w:kern w:val="0"/>
          <w:lang w:val="es-ES"/>
          <w14:ligatures w14:val="none"/>
        </w:rPr>
        <w:t xml:space="preserve"> </w:t>
      </w:r>
      <w:proofErr w:type="spellStart"/>
      <w:r w:rsidRPr="009257E7">
        <w:rPr>
          <w:rFonts w:ascii="Times New Roman" w:eastAsia="Times New Roman" w:hAnsi="Times New Roman" w:cs="Times New Roman"/>
          <w:kern w:val="0"/>
          <w:lang w:val="es-ES"/>
          <w14:ligatures w14:val="none"/>
        </w:rPr>
        <w:t>Studies</w:t>
      </w:r>
      <w:proofErr w:type="spellEnd"/>
      <w:r w:rsidR="00425B9D" w:rsidRPr="009257E7">
        <w:rPr>
          <w:rFonts w:ascii="Times New Roman" w:eastAsia="Times New Roman" w:hAnsi="Times New Roman" w:cs="Times New Roman"/>
          <w:kern w:val="0"/>
          <w:lang w:val="es-ES"/>
          <w14:ligatures w14:val="none"/>
        </w:rPr>
        <w:t>)</w:t>
      </w:r>
      <w:r w:rsidRPr="009257E7">
        <w:rPr>
          <w:rFonts w:ascii="Times New Roman" w:eastAsia="Times New Roman" w:hAnsi="Times New Roman" w:cs="Times New Roman"/>
          <w:kern w:val="0"/>
          <w:lang w:val="es-ES"/>
          <w14:ligatures w14:val="none"/>
        </w:rPr>
        <w:t xml:space="preserve"> y escuelas similares para conectar mejor el derecho con la justicia y la realidad a través de grupos identitarios “diferentes”</w:t>
      </w:r>
      <w:r w:rsidR="00425B9D" w:rsidRPr="009257E7">
        <w:rPr>
          <w:rFonts w:ascii="Times New Roman" w:eastAsia="Times New Roman" w:hAnsi="Times New Roman" w:cs="Times New Roman"/>
          <w:kern w:val="0"/>
          <w:lang w:val="es-ES"/>
          <w14:ligatures w14:val="none"/>
        </w:rPr>
        <w:t>,</w:t>
      </w:r>
      <w:r w:rsidRPr="009257E7">
        <w:rPr>
          <w:rFonts w:ascii="Times New Roman" w:eastAsia="Times New Roman" w:hAnsi="Times New Roman" w:cs="Times New Roman"/>
          <w:kern w:val="0"/>
          <w:lang w:val="es-ES"/>
          <w14:ligatures w14:val="none"/>
        </w:rPr>
        <w:t xml:space="preserve"> en contextos cada vez más multiculturales y globalizados.</w:t>
      </w:r>
    </w:p>
    <w:p w14:paraId="6E8D09A1" w14:textId="2718C2E1" w:rsidR="00810F2C" w:rsidRPr="009257E7" w:rsidRDefault="00810F2C" w:rsidP="00425B9D">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 xml:space="preserve">Durante estas mismas décadas, movimientos académicos enfocados en Law and Social Change y </w:t>
      </w:r>
      <w:proofErr w:type="spellStart"/>
      <w:r w:rsidRPr="009257E7">
        <w:rPr>
          <w:rFonts w:ascii="Times New Roman" w:eastAsia="Times New Roman" w:hAnsi="Times New Roman" w:cs="Times New Roman"/>
          <w:kern w:val="0"/>
          <w:lang w:val="es-ES"/>
          <w14:ligatures w14:val="none"/>
        </w:rPr>
        <w:t>Therapeutic</w:t>
      </w:r>
      <w:proofErr w:type="spellEnd"/>
      <w:r w:rsidRPr="009257E7">
        <w:rPr>
          <w:rFonts w:ascii="Times New Roman" w:eastAsia="Times New Roman" w:hAnsi="Times New Roman" w:cs="Times New Roman"/>
          <w:kern w:val="0"/>
          <w:lang w:val="es-ES"/>
          <w14:ligatures w14:val="none"/>
        </w:rPr>
        <w:t xml:space="preserve"> </w:t>
      </w:r>
      <w:proofErr w:type="spellStart"/>
      <w:r w:rsidRPr="009257E7">
        <w:rPr>
          <w:rFonts w:ascii="Times New Roman" w:eastAsia="Times New Roman" w:hAnsi="Times New Roman" w:cs="Times New Roman"/>
          <w:kern w:val="0"/>
          <w:lang w:val="es-ES"/>
          <w14:ligatures w14:val="none"/>
        </w:rPr>
        <w:t>Jurisprudence</w:t>
      </w:r>
      <w:proofErr w:type="spellEnd"/>
      <w:r w:rsidRPr="009257E7">
        <w:rPr>
          <w:rFonts w:ascii="Times New Roman" w:eastAsia="Times New Roman" w:hAnsi="Times New Roman" w:cs="Times New Roman"/>
          <w:kern w:val="0"/>
          <w:lang w:val="es-ES"/>
          <w14:ligatures w14:val="none"/>
        </w:rPr>
        <w:t xml:space="preserve"> </w:t>
      </w:r>
      <w:r w:rsidR="001512AE" w:rsidRPr="009257E7">
        <w:rPr>
          <w:rFonts w:ascii="Times New Roman" w:eastAsia="Times New Roman" w:hAnsi="Times New Roman" w:cs="Times New Roman"/>
          <w:kern w:val="0"/>
          <w:lang w:val="es-ES"/>
          <w14:ligatures w14:val="none"/>
        </w:rPr>
        <w:t>promovieron</w:t>
      </w:r>
      <w:r w:rsidRPr="009257E7">
        <w:rPr>
          <w:rFonts w:ascii="Times New Roman" w:eastAsia="Times New Roman" w:hAnsi="Times New Roman" w:cs="Times New Roman"/>
          <w:kern w:val="0"/>
          <w:lang w:val="es-ES"/>
          <w14:ligatures w14:val="none"/>
        </w:rPr>
        <w:t xml:space="preserve"> que el derecho y sus remedios fueran más holísticos y basados en principios</w:t>
      </w:r>
      <w:r w:rsidR="001512AE" w:rsidRPr="009257E7">
        <w:rPr>
          <w:rFonts w:ascii="Times New Roman" w:eastAsia="Times New Roman" w:hAnsi="Times New Roman" w:cs="Times New Roman"/>
          <w:kern w:val="0"/>
          <w:lang w:val="es-ES"/>
          <w14:ligatures w14:val="none"/>
        </w:rPr>
        <w:t>,</w:t>
      </w:r>
      <w:r w:rsidRPr="009257E7">
        <w:rPr>
          <w:rFonts w:ascii="Times New Roman" w:eastAsia="Times New Roman" w:hAnsi="Times New Roman" w:cs="Times New Roman"/>
          <w:kern w:val="0"/>
          <w:lang w:val="es-ES"/>
          <w14:ligatures w14:val="none"/>
        </w:rPr>
        <w:t xml:space="preserve"> en relación con su promesa de justicia igualitaria. Otras iniciativas, como las diversas escuelas de investigación “Law-and”, buscaron introducir perspectivas de otras disciplinas, incluidas, de manera notable, aproximaciones críticas a las ciencias sociales y las humanidades. Otros campos</w:t>
      </w:r>
      <w:r w:rsidR="001512AE" w:rsidRPr="009257E7">
        <w:rPr>
          <w:rFonts w:ascii="Times New Roman" w:eastAsia="Times New Roman" w:hAnsi="Times New Roman" w:cs="Times New Roman"/>
          <w:kern w:val="0"/>
          <w:lang w:val="es-ES"/>
          <w14:ligatures w14:val="none"/>
        </w:rPr>
        <w:t>,</w:t>
      </w:r>
      <w:r w:rsidRPr="009257E7">
        <w:rPr>
          <w:rFonts w:ascii="Times New Roman" w:eastAsia="Times New Roman" w:hAnsi="Times New Roman" w:cs="Times New Roman"/>
          <w:kern w:val="0"/>
          <w:lang w:val="es-ES"/>
          <w14:ligatures w14:val="none"/>
        </w:rPr>
        <w:t xml:space="preserve"> como los estudios subalternos, la economía política y los estudios étnicos críticos</w:t>
      </w:r>
      <w:r w:rsidR="001512AE" w:rsidRPr="009257E7">
        <w:rPr>
          <w:rFonts w:ascii="Times New Roman" w:eastAsia="Times New Roman" w:hAnsi="Times New Roman" w:cs="Times New Roman"/>
          <w:kern w:val="0"/>
          <w:lang w:val="es-ES"/>
          <w14:ligatures w14:val="none"/>
        </w:rPr>
        <w:t>,</w:t>
      </w:r>
      <w:r w:rsidRPr="009257E7">
        <w:rPr>
          <w:rFonts w:ascii="Times New Roman" w:eastAsia="Times New Roman" w:hAnsi="Times New Roman" w:cs="Times New Roman"/>
          <w:kern w:val="0"/>
          <w:lang w:val="es-ES"/>
          <w14:ligatures w14:val="none"/>
        </w:rPr>
        <w:t xml:space="preserve"> expanden el filo crítico del conocimiento </w:t>
      </w:r>
      <w:proofErr w:type="spellStart"/>
      <w:r w:rsidR="00885B46" w:rsidRPr="009257E7">
        <w:rPr>
          <w:rFonts w:ascii="Times New Roman" w:eastAsia="Times New Roman" w:hAnsi="Times New Roman" w:cs="Times New Roman"/>
          <w:kern w:val="0"/>
          <w:lang w:val="es-ES"/>
          <w14:ligatures w14:val="none"/>
        </w:rPr>
        <w:t>prático</w:t>
      </w:r>
      <w:proofErr w:type="spellEnd"/>
      <w:r w:rsidRPr="009257E7">
        <w:rPr>
          <w:rFonts w:ascii="Times New Roman" w:eastAsia="Times New Roman" w:hAnsi="Times New Roman" w:cs="Times New Roman"/>
          <w:kern w:val="0"/>
          <w:lang w:val="es-ES"/>
          <w14:ligatures w14:val="none"/>
        </w:rPr>
        <w:t>.</w:t>
      </w:r>
    </w:p>
    <w:p w14:paraId="33B74DCA" w14:textId="5E23DCA2" w:rsidR="00810F2C" w:rsidRPr="009257E7" w:rsidRDefault="00885B46" w:rsidP="00885B46">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Los c</w:t>
      </w:r>
      <w:r w:rsidR="00810F2C" w:rsidRPr="009257E7">
        <w:rPr>
          <w:rFonts w:ascii="Times New Roman" w:eastAsia="Times New Roman" w:hAnsi="Times New Roman" w:cs="Times New Roman"/>
          <w:kern w:val="0"/>
          <w:lang w:val="es-ES"/>
          <w14:ligatures w14:val="none"/>
        </w:rPr>
        <w:t xml:space="preserve">uerpos afines de </w:t>
      </w:r>
      <w:r w:rsidRPr="009257E7">
        <w:rPr>
          <w:rFonts w:ascii="Times New Roman" w:eastAsia="Times New Roman" w:hAnsi="Times New Roman" w:cs="Times New Roman"/>
          <w:kern w:val="0"/>
          <w:lang w:val="es-ES"/>
          <w14:ligatures w14:val="none"/>
        </w:rPr>
        <w:t xml:space="preserve">la </w:t>
      </w:r>
      <w:r w:rsidR="00810F2C" w:rsidRPr="009257E7">
        <w:rPr>
          <w:rFonts w:ascii="Times New Roman" w:eastAsia="Times New Roman" w:hAnsi="Times New Roman" w:cs="Times New Roman"/>
          <w:kern w:val="0"/>
          <w:lang w:val="es-ES"/>
          <w14:ligatures w14:val="none"/>
        </w:rPr>
        <w:t xml:space="preserve">producción académica, además, han conectado estos esfuerzos a través de las fronteras de </w:t>
      </w:r>
      <w:r w:rsidRPr="009257E7">
        <w:rPr>
          <w:rFonts w:ascii="Times New Roman" w:eastAsia="Times New Roman" w:hAnsi="Times New Roman" w:cs="Times New Roman"/>
          <w:kern w:val="0"/>
          <w:lang w:val="es-ES"/>
          <w14:ligatures w14:val="none"/>
        </w:rPr>
        <w:t xml:space="preserve">las </w:t>
      </w:r>
      <w:r w:rsidR="00810F2C" w:rsidRPr="009257E7">
        <w:rPr>
          <w:rFonts w:ascii="Times New Roman" w:eastAsia="Times New Roman" w:hAnsi="Times New Roman" w:cs="Times New Roman"/>
          <w:kern w:val="0"/>
          <w:lang w:val="es-ES"/>
          <w14:ligatures w14:val="none"/>
        </w:rPr>
        <w:t>culturas y</w:t>
      </w:r>
      <w:r w:rsidRPr="009257E7">
        <w:rPr>
          <w:rFonts w:ascii="Times New Roman" w:eastAsia="Times New Roman" w:hAnsi="Times New Roman" w:cs="Times New Roman"/>
          <w:kern w:val="0"/>
          <w:lang w:val="es-ES"/>
          <w14:ligatures w14:val="none"/>
        </w:rPr>
        <w:t xml:space="preserve"> de los</w:t>
      </w:r>
      <w:r w:rsidR="00810F2C" w:rsidRPr="009257E7">
        <w:rPr>
          <w:rFonts w:ascii="Times New Roman" w:eastAsia="Times New Roman" w:hAnsi="Times New Roman" w:cs="Times New Roman"/>
          <w:kern w:val="0"/>
          <w:lang w:val="es-ES"/>
          <w14:ligatures w14:val="none"/>
        </w:rPr>
        <w:t xml:space="preserve"> Estados nación. New </w:t>
      </w:r>
      <w:proofErr w:type="spellStart"/>
      <w:r w:rsidR="00810F2C" w:rsidRPr="009257E7">
        <w:rPr>
          <w:rFonts w:ascii="Times New Roman" w:eastAsia="Times New Roman" w:hAnsi="Times New Roman" w:cs="Times New Roman"/>
          <w:kern w:val="0"/>
          <w:lang w:val="es-ES"/>
          <w14:ligatures w14:val="none"/>
        </w:rPr>
        <w:t>Approaches</w:t>
      </w:r>
      <w:proofErr w:type="spellEnd"/>
      <w:r w:rsidR="00810F2C" w:rsidRPr="009257E7">
        <w:rPr>
          <w:rFonts w:ascii="Times New Roman" w:eastAsia="Times New Roman" w:hAnsi="Times New Roman" w:cs="Times New Roman"/>
          <w:kern w:val="0"/>
          <w:lang w:val="es-ES"/>
          <w14:ligatures w14:val="none"/>
        </w:rPr>
        <w:t xml:space="preserve"> </w:t>
      </w:r>
      <w:proofErr w:type="spellStart"/>
      <w:r w:rsidR="00810F2C" w:rsidRPr="009257E7">
        <w:rPr>
          <w:rFonts w:ascii="Times New Roman" w:eastAsia="Times New Roman" w:hAnsi="Times New Roman" w:cs="Times New Roman"/>
          <w:kern w:val="0"/>
          <w:lang w:val="es-ES"/>
          <w14:ligatures w14:val="none"/>
        </w:rPr>
        <w:t>to</w:t>
      </w:r>
      <w:proofErr w:type="spellEnd"/>
      <w:r w:rsidR="00810F2C" w:rsidRPr="009257E7">
        <w:rPr>
          <w:rFonts w:ascii="Times New Roman" w:eastAsia="Times New Roman" w:hAnsi="Times New Roman" w:cs="Times New Roman"/>
          <w:kern w:val="0"/>
          <w:lang w:val="es-ES"/>
          <w14:ligatures w14:val="none"/>
        </w:rPr>
        <w:t xml:space="preserve"> International Law y Third World </w:t>
      </w:r>
      <w:proofErr w:type="spellStart"/>
      <w:r w:rsidR="00810F2C" w:rsidRPr="009257E7">
        <w:rPr>
          <w:rFonts w:ascii="Times New Roman" w:eastAsia="Times New Roman" w:hAnsi="Times New Roman" w:cs="Times New Roman"/>
          <w:kern w:val="0"/>
          <w:lang w:val="es-ES"/>
          <w14:ligatures w14:val="none"/>
        </w:rPr>
        <w:t>Approaches</w:t>
      </w:r>
      <w:proofErr w:type="spellEnd"/>
      <w:r w:rsidR="00810F2C" w:rsidRPr="009257E7">
        <w:rPr>
          <w:rFonts w:ascii="Times New Roman" w:eastAsia="Times New Roman" w:hAnsi="Times New Roman" w:cs="Times New Roman"/>
          <w:kern w:val="0"/>
          <w:lang w:val="es-ES"/>
          <w14:ligatures w14:val="none"/>
        </w:rPr>
        <w:t xml:space="preserve"> </w:t>
      </w:r>
      <w:proofErr w:type="spellStart"/>
      <w:r w:rsidR="00810F2C" w:rsidRPr="009257E7">
        <w:rPr>
          <w:rFonts w:ascii="Times New Roman" w:eastAsia="Times New Roman" w:hAnsi="Times New Roman" w:cs="Times New Roman"/>
          <w:kern w:val="0"/>
          <w:lang w:val="es-ES"/>
          <w14:ligatures w14:val="none"/>
        </w:rPr>
        <w:t>to</w:t>
      </w:r>
      <w:proofErr w:type="spellEnd"/>
      <w:r w:rsidR="00810F2C" w:rsidRPr="009257E7">
        <w:rPr>
          <w:rFonts w:ascii="Times New Roman" w:eastAsia="Times New Roman" w:hAnsi="Times New Roman" w:cs="Times New Roman"/>
          <w:kern w:val="0"/>
          <w:lang w:val="es-ES"/>
          <w14:ligatures w14:val="none"/>
        </w:rPr>
        <w:t xml:space="preserve"> International Law </w:t>
      </w:r>
      <w:r w:rsidR="00F34CA5" w:rsidRPr="009257E7">
        <w:rPr>
          <w:rFonts w:ascii="Times New Roman" w:eastAsia="Times New Roman" w:hAnsi="Times New Roman" w:cs="Times New Roman"/>
          <w:kern w:val="0"/>
          <w:lang w:val="es-ES"/>
          <w14:ligatures w14:val="none"/>
        </w:rPr>
        <w:t>(</w:t>
      </w:r>
      <w:r w:rsidR="00810F2C" w:rsidRPr="009257E7">
        <w:rPr>
          <w:rFonts w:ascii="Times New Roman" w:eastAsia="Times New Roman" w:hAnsi="Times New Roman" w:cs="Times New Roman"/>
          <w:kern w:val="0"/>
          <w:lang w:val="es-ES"/>
          <w14:ligatures w14:val="none"/>
        </w:rPr>
        <w:t>NAIL/TWAIL</w:t>
      </w:r>
      <w:r w:rsidR="00F34CA5" w:rsidRPr="009257E7">
        <w:rPr>
          <w:rFonts w:ascii="Times New Roman" w:eastAsia="Times New Roman" w:hAnsi="Times New Roman" w:cs="Times New Roman"/>
          <w:kern w:val="0"/>
          <w:lang w:val="es-ES"/>
          <w14:ligatures w14:val="none"/>
        </w:rPr>
        <w:t>)</w:t>
      </w:r>
      <w:r w:rsidR="00810F2C" w:rsidRPr="009257E7">
        <w:rPr>
          <w:rFonts w:ascii="Times New Roman" w:eastAsia="Times New Roman" w:hAnsi="Times New Roman" w:cs="Times New Roman"/>
          <w:kern w:val="0"/>
          <w:lang w:val="es-ES"/>
          <w14:ligatures w14:val="none"/>
        </w:rPr>
        <w:t xml:space="preserve"> se desarrollaron de manera similar a través de varios sistemas jurídicos que moldean realidades jurídicas y sociales transnacionales. Desde la década de 1970 hasta hoy, la creación de est</w:t>
      </w:r>
      <w:r w:rsidR="003D24EC" w:rsidRPr="009257E7">
        <w:rPr>
          <w:rFonts w:ascii="Times New Roman" w:eastAsia="Times New Roman" w:hAnsi="Times New Roman" w:cs="Times New Roman"/>
          <w:kern w:val="0"/>
          <w:lang w:val="es-ES"/>
          <w14:ligatures w14:val="none"/>
        </w:rPr>
        <w:t>a fuente</w:t>
      </w:r>
      <w:r w:rsidR="00810F2C" w:rsidRPr="009257E7">
        <w:rPr>
          <w:rFonts w:ascii="Times New Roman" w:eastAsia="Times New Roman" w:hAnsi="Times New Roman" w:cs="Times New Roman"/>
          <w:kern w:val="0"/>
          <w:lang w:val="es-ES"/>
          <w14:ligatures w14:val="none"/>
        </w:rPr>
        <w:t xml:space="preserve"> profund</w:t>
      </w:r>
      <w:r w:rsidR="003D24EC" w:rsidRPr="009257E7">
        <w:rPr>
          <w:rFonts w:ascii="Times New Roman" w:eastAsia="Times New Roman" w:hAnsi="Times New Roman" w:cs="Times New Roman"/>
          <w:kern w:val="0"/>
          <w:lang w:val="es-ES"/>
          <w14:ligatures w14:val="none"/>
        </w:rPr>
        <w:t>a</w:t>
      </w:r>
      <w:r w:rsidR="00810F2C" w:rsidRPr="009257E7">
        <w:rPr>
          <w:rFonts w:ascii="Times New Roman" w:eastAsia="Times New Roman" w:hAnsi="Times New Roman" w:cs="Times New Roman"/>
          <w:kern w:val="0"/>
          <w:lang w:val="es-ES"/>
          <w14:ligatures w14:val="none"/>
        </w:rPr>
        <w:t xml:space="preserve"> de conocimiento </w:t>
      </w:r>
      <w:proofErr w:type="spellStart"/>
      <w:r w:rsidR="00810F2C" w:rsidRPr="009257E7">
        <w:rPr>
          <w:rFonts w:ascii="Times New Roman" w:eastAsia="Times New Roman" w:hAnsi="Times New Roman" w:cs="Times New Roman"/>
          <w:kern w:val="0"/>
          <w:lang w:val="es-ES"/>
          <w14:ligatures w14:val="none"/>
        </w:rPr>
        <w:t>posrealista</w:t>
      </w:r>
      <w:proofErr w:type="spellEnd"/>
      <w:r w:rsidR="00810F2C" w:rsidRPr="009257E7">
        <w:rPr>
          <w:rFonts w:ascii="Times New Roman" w:eastAsia="Times New Roman" w:hAnsi="Times New Roman" w:cs="Times New Roman"/>
          <w:kern w:val="0"/>
          <w:lang w:val="es-ES"/>
          <w14:ligatures w14:val="none"/>
        </w:rPr>
        <w:t xml:space="preserve"> —y el desarrollo continuo de lecciones críticas extraídas de los enfoques de abogacía </w:t>
      </w:r>
      <w:r w:rsidR="002420D7" w:rsidRPr="009257E7">
        <w:rPr>
          <w:rFonts w:ascii="Times New Roman" w:eastAsia="Times New Roman" w:hAnsi="Times New Roman" w:cs="Times New Roman"/>
          <w:kern w:val="0"/>
          <w:lang w:val="es-ES"/>
          <w14:ligatures w14:val="none"/>
        </w:rPr>
        <w:t xml:space="preserve">desde </w:t>
      </w:r>
      <w:r w:rsidR="00810F2C" w:rsidRPr="009257E7">
        <w:rPr>
          <w:rFonts w:ascii="Times New Roman" w:eastAsia="Times New Roman" w:hAnsi="Times New Roman" w:cs="Times New Roman"/>
          <w:kern w:val="0"/>
          <w:lang w:val="es-ES"/>
          <w14:ligatures w14:val="none"/>
        </w:rPr>
        <w:t>abajo— han afilado las herramientas de la abogacía sistémica, a pesar de las perspectivas e intereses desde arriba</w:t>
      </w:r>
      <w:r w:rsidR="002420D7" w:rsidRPr="009257E7">
        <w:rPr>
          <w:rFonts w:ascii="Times New Roman" w:eastAsia="Times New Roman" w:hAnsi="Times New Roman" w:cs="Times New Roman"/>
          <w:kern w:val="0"/>
          <w:lang w:val="es-ES"/>
          <w14:ligatures w14:val="none"/>
        </w:rPr>
        <w:t>,</w:t>
      </w:r>
      <w:r w:rsidR="00810F2C" w:rsidRPr="009257E7">
        <w:rPr>
          <w:rFonts w:ascii="Times New Roman" w:eastAsia="Times New Roman" w:hAnsi="Times New Roman" w:cs="Times New Roman"/>
          <w:kern w:val="0"/>
          <w:lang w:val="es-ES"/>
          <w14:ligatures w14:val="none"/>
        </w:rPr>
        <w:t xml:space="preserve"> promovidos durante este mismo período por escuelas de conocimiento jurídico como “</w:t>
      </w:r>
      <w:proofErr w:type="spellStart"/>
      <w:r w:rsidR="00810F2C" w:rsidRPr="009257E7">
        <w:rPr>
          <w:rFonts w:ascii="Times New Roman" w:eastAsia="Times New Roman" w:hAnsi="Times New Roman" w:cs="Times New Roman"/>
          <w:kern w:val="0"/>
          <w:lang w:val="es-ES"/>
          <w14:ligatures w14:val="none"/>
        </w:rPr>
        <w:t>law</w:t>
      </w:r>
      <w:proofErr w:type="spellEnd"/>
      <w:r w:rsidR="00810F2C" w:rsidRPr="009257E7">
        <w:rPr>
          <w:rFonts w:ascii="Times New Roman" w:eastAsia="Times New Roman" w:hAnsi="Times New Roman" w:cs="Times New Roman"/>
          <w:kern w:val="0"/>
          <w:lang w:val="es-ES"/>
          <w14:ligatures w14:val="none"/>
        </w:rPr>
        <w:t xml:space="preserve"> and </w:t>
      </w:r>
      <w:proofErr w:type="spellStart"/>
      <w:r w:rsidR="00810F2C" w:rsidRPr="009257E7">
        <w:rPr>
          <w:rFonts w:ascii="Times New Roman" w:eastAsia="Times New Roman" w:hAnsi="Times New Roman" w:cs="Times New Roman"/>
          <w:kern w:val="0"/>
          <w:lang w:val="es-ES"/>
          <w14:ligatures w14:val="none"/>
        </w:rPr>
        <w:t>economics</w:t>
      </w:r>
      <w:proofErr w:type="spellEnd"/>
      <w:r w:rsidR="00810F2C" w:rsidRPr="009257E7">
        <w:rPr>
          <w:rFonts w:ascii="Times New Roman" w:eastAsia="Times New Roman" w:hAnsi="Times New Roman" w:cs="Times New Roman"/>
          <w:kern w:val="0"/>
          <w:lang w:val="es-ES"/>
          <w14:ligatures w14:val="none"/>
        </w:rPr>
        <w:t>” o la teoría de “</w:t>
      </w:r>
      <w:proofErr w:type="spellStart"/>
      <w:r w:rsidR="00810F2C" w:rsidRPr="009257E7">
        <w:rPr>
          <w:rFonts w:ascii="Times New Roman" w:eastAsia="Times New Roman" w:hAnsi="Times New Roman" w:cs="Times New Roman"/>
          <w:kern w:val="0"/>
          <w:lang w:val="es-ES"/>
          <w14:ligatures w14:val="none"/>
        </w:rPr>
        <w:t>public</w:t>
      </w:r>
      <w:proofErr w:type="spellEnd"/>
      <w:r w:rsidR="00810F2C" w:rsidRPr="009257E7">
        <w:rPr>
          <w:rFonts w:ascii="Times New Roman" w:eastAsia="Times New Roman" w:hAnsi="Times New Roman" w:cs="Times New Roman"/>
          <w:kern w:val="0"/>
          <w:lang w:val="es-ES"/>
          <w14:ligatures w14:val="none"/>
        </w:rPr>
        <w:t xml:space="preserve"> </w:t>
      </w:r>
      <w:proofErr w:type="spellStart"/>
      <w:r w:rsidR="00810F2C" w:rsidRPr="009257E7">
        <w:rPr>
          <w:rFonts w:ascii="Times New Roman" w:eastAsia="Times New Roman" w:hAnsi="Times New Roman" w:cs="Times New Roman"/>
          <w:kern w:val="0"/>
          <w:lang w:val="es-ES"/>
          <w14:ligatures w14:val="none"/>
        </w:rPr>
        <w:t>choice</w:t>
      </w:r>
      <w:proofErr w:type="spellEnd"/>
      <w:r w:rsidR="00810F2C" w:rsidRPr="009257E7">
        <w:rPr>
          <w:rFonts w:ascii="Times New Roman" w:eastAsia="Times New Roman" w:hAnsi="Times New Roman" w:cs="Times New Roman"/>
          <w:kern w:val="0"/>
          <w:lang w:val="es-ES"/>
          <w14:ligatures w14:val="none"/>
        </w:rPr>
        <w:t>”.</w:t>
      </w:r>
    </w:p>
    <w:p w14:paraId="1A30123B" w14:textId="0B0953C9" w:rsidR="00810F2C" w:rsidRPr="009257E7" w:rsidRDefault="00810F2C" w:rsidP="00875EAC">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 xml:space="preserve">Sabemos que las escuelas y los enfoques desde abajo ofrecen recursos potentes para la abogacía efectiva y la lucha organizada </w:t>
      </w:r>
      <w:r w:rsidR="00875EAC" w:rsidRPr="009257E7">
        <w:rPr>
          <w:rFonts w:ascii="Times New Roman" w:eastAsia="Times New Roman" w:hAnsi="Times New Roman" w:cs="Times New Roman"/>
          <w:kern w:val="0"/>
          <w:lang w:val="es-ES"/>
          <w14:ligatures w14:val="none"/>
        </w:rPr>
        <w:t>contra</w:t>
      </w:r>
      <w:r w:rsidRPr="009257E7">
        <w:rPr>
          <w:rFonts w:ascii="Times New Roman" w:eastAsia="Times New Roman" w:hAnsi="Times New Roman" w:cs="Times New Roman"/>
          <w:kern w:val="0"/>
          <w:lang w:val="es-ES"/>
          <w14:ligatures w14:val="none"/>
        </w:rPr>
        <w:t xml:space="preserve"> el miedo, la ansiedad y la represalia colectivos que provocan los sectores elitistas más tradicionales. En la década de 1990, instituciones de alto perfil organizaron purgas de </w:t>
      </w:r>
      <w:proofErr w:type="spellStart"/>
      <w:r w:rsidRPr="009257E7">
        <w:rPr>
          <w:rFonts w:ascii="Times New Roman" w:eastAsia="Times New Roman" w:hAnsi="Times New Roman" w:cs="Times New Roman"/>
          <w:kern w:val="0"/>
          <w:lang w:val="es-ES"/>
          <w14:ligatures w14:val="none"/>
        </w:rPr>
        <w:t>académicxs</w:t>
      </w:r>
      <w:proofErr w:type="spellEnd"/>
      <w:r w:rsidRPr="009257E7">
        <w:rPr>
          <w:rFonts w:ascii="Times New Roman" w:eastAsia="Times New Roman" w:hAnsi="Times New Roman" w:cs="Times New Roman"/>
          <w:kern w:val="0"/>
          <w:lang w:val="es-ES"/>
          <w14:ligatures w14:val="none"/>
        </w:rPr>
        <w:t xml:space="preserve"> jurídicos “críticos” asociados </w:t>
      </w:r>
      <w:r w:rsidR="001F4726" w:rsidRPr="009257E7">
        <w:rPr>
          <w:rFonts w:ascii="Times New Roman" w:eastAsia="Times New Roman" w:hAnsi="Times New Roman" w:cs="Times New Roman"/>
          <w:kern w:val="0"/>
          <w:lang w:val="es-ES"/>
          <w14:ligatures w14:val="none"/>
        </w:rPr>
        <w:t>a</w:t>
      </w:r>
      <w:r w:rsidRPr="009257E7">
        <w:rPr>
          <w:rFonts w:ascii="Times New Roman" w:eastAsia="Times New Roman" w:hAnsi="Times New Roman" w:cs="Times New Roman"/>
          <w:kern w:val="0"/>
          <w:lang w:val="es-ES"/>
          <w14:ligatures w14:val="none"/>
        </w:rPr>
        <w:t xml:space="preserve"> estas escuelas y enfoques. Los ataques directos continuos contra </w:t>
      </w:r>
      <w:proofErr w:type="spellStart"/>
      <w:r w:rsidRPr="009257E7">
        <w:rPr>
          <w:rFonts w:ascii="Times New Roman" w:eastAsia="Times New Roman" w:hAnsi="Times New Roman" w:cs="Times New Roman"/>
          <w:kern w:val="0"/>
          <w:lang w:val="es-ES"/>
          <w14:ligatures w14:val="none"/>
        </w:rPr>
        <w:t>Critical</w:t>
      </w:r>
      <w:proofErr w:type="spellEnd"/>
      <w:r w:rsidRPr="009257E7">
        <w:rPr>
          <w:rFonts w:ascii="Times New Roman" w:eastAsia="Times New Roman" w:hAnsi="Times New Roman" w:cs="Times New Roman"/>
          <w:kern w:val="0"/>
          <w:lang w:val="es-ES"/>
          <w14:ligatures w14:val="none"/>
        </w:rPr>
        <w:t xml:space="preserve"> </w:t>
      </w:r>
      <w:proofErr w:type="spellStart"/>
      <w:r w:rsidRPr="009257E7">
        <w:rPr>
          <w:rFonts w:ascii="Times New Roman" w:eastAsia="Times New Roman" w:hAnsi="Times New Roman" w:cs="Times New Roman"/>
          <w:kern w:val="0"/>
          <w:lang w:val="es-ES"/>
          <w14:ligatures w14:val="none"/>
        </w:rPr>
        <w:t>Race</w:t>
      </w:r>
      <w:proofErr w:type="spellEnd"/>
      <w:r w:rsidRPr="009257E7">
        <w:rPr>
          <w:rFonts w:ascii="Times New Roman" w:eastAsia="Times New Roman" w:hAnsi="Times New Roman" w:cs="Times New Roman"/>
          <w:kern w:val="0"/>
          <w:lang w:val="es-ES"/>
          <w14:ligatures w14:val="none"/>
        </w:rPr>
        <w:t xml:space="preserve"> Theory —una de las escuelas desde abajo— dan cuenta del poder fundamental del conocimiento crítico como conocimiento </w:t>
      </w:r>
      <w:r w:rsidR="001F4726" w:rsidRPr="009257E7">
        <w:rPr>
          <w:rFonts w:ascii="Times New Roman" w:eastAsia="Times New Roman" w:hAnsi="Times New Roman" w:cs="Times New Roman"/>
          <w:kern w:val="0"/>
          <w:lang w:val="es-ES"/>
          <w14:ligatures w14:val="none"/>
        </w:rPr>
        <w:t>práctico</w:t>
      </w:r>
      <w:r w:rsidRPr="009257E7">
        <w:rPr>
          <w:rFonts w:ascii="Times New Roman" w:eastAsia="Times New Roman" w:hAnsi="Times New Roman" w:cs="Times New Roman"/>
          <w:kern w:val="0"/>
          <w:lang w:val="es-ES"/>
          <w14:ligatures w14:val="none"/>
        </w:rPr>
        <w:t xml:space="preserve">. Un ataque temprano en 2020, bajo la dirección del presidente Trump, fue la prohibición, por parte del director de la Office </w:t>
      </w:r>
      <w:proofErr w:type="spellStart"/>
      <w:r w:rsidRPr="009257E7">
        <w:rPr>
          <w:rFonts w:ascii="Times New Roman" w:eastAsia="Times New Roman" w:hAnsi="Times New Roman" w:cs="Times New Roman"/>
          <w:kern w:val="0"/>
          <w:lang w:val="es-ES"/>
          <w14:ligatures w14:val="none"/>
        </w:rPr>
        <w:t>of</w:t>
      </w:r>
      <w:proofErr w:type="spellEnd"/>
      <w:r w:rsidRPr="009257E7">
        <w:rPr>
          <w:rFonts w:ascii="Times New Roman" w:eastAsia="Times New Roman" w:hAnsi="Times New Roman" w:cs="Times New Roman"/>
          <w:kern w:val="0"/>
          <w:lang w:val="es-ES"/>
          <w14:ligatures w14:val="none"/>
        </w:rPr>
        <w:t xml:space="preserve"> Management and Budget, de cualquier capacitación del gobierno federal relacionada con </w:t>
      </w:r>
      <w:r w:rsidR="001F4726" w:rsidRPr="009257E7">
        <w:rPr>
          <w:rFonts w:ascii="Times New Roman" w:eastAsia="Times New Roman" w:hAnsi="Times New Roman" w:cs="Times New Roman"/>
          <w:kern w:val="0"/>
          <w:lang w:val="es-ES"/>
          <w14:ligatures w14:val="none"/>
        </w:rPr>
        <w:t xml:space="preserve">la </w:t>
      </w:r>
      <w:proofErr w:type="spellStart"/>
      <w:r w:rsidRPr="009257E7">
        <w:rPr>
          <w:rFonts w:ascii="Times New Roman" w:eastAsia="Times New Roman" w:hAnsi="Times New Roman" w:cs="Times New Roman"/>
          <w:kern w:val="0"/>
          <w:lang w:val="es-ES"/>
          <w14:ligatures w14:val="none"/>
        </w:rPr>
        <w:t>Critical</w:t>
      </w:r>
      <w:proofErr w:type="spellEnd"/>
      <w:r w:rsidRPr="009257E7">
        <w:rPr>
          <w:rFonts w:ascii="Times New Roman" w:eastAsia="Times New Roman" w:hAnsi="Times New Roman" w:cs="Times New Roman"/>
          <w:kern w:val="0"/>
          <w:lang w:val="es-ES"/>
          <w14:ligatures w14:val="none"/>
        </w:rPr>
        <w:t xml:space="preserve"> </w:t>
      </w:r>
      <w:proofErr w:type="spellStart"/>
      <w:r w:rsidRPr="009257E7">
        <w:rPr>
          <w:rFonts w:ascii="Times New Roman" w:eastAsia="Times New Roman" w:hAnsi="Times New Roman" w:cs="Times New Roman"/>
          <w:kern w:val="0"/>
          <w:lang w:val="es-ES"/>
          <w14:ligatures w14:val="none"/>
        </w:rPr>
        <w:t>Race</w:t>
      </w:r>
      <w:proofErr w:type="spellEnd"/>
      <w:r w:rsidRPr="009257E7">
        <w:rPr>
          <w:rFonts w:ascii="Times New Roman" w:eastAsia="Times New Roman" w:hAnsi="Times New Roman" w:cs="Times New Roman"/>
          <w:kern w:val="0"/>
          <w:lang w:val="es-ES"/>
          <w14:ligatures w14:val="none"/>
        </w:rPr>
        <w:t xml:space="preserve"> Theory, </w:t>
      </w:r>
      <w:r w:rsidR="006D10A0" w:rsidRPr="009257E7">
        <w:rPr>
          <w:rFonts w:ascii="Times New Roman" w:eastAsia="Times New Roman" w:hAnsi="Times New Roman" w:cs="Times New Roman"/>
          <w:kern w:val="0"/>
          <w:lang w:val="es-ES"/>
          <w14:ligatures w14:val="none"/>
        </w:rPr>
        <w:t>la cual etiquetó</w:t>
      </w:r>
      <w:r w:rsidRPr="009257E7">
        <w:rPr>
          <w:rFonts w:ascii="Times New Roman" w:eastAsia="Times New Roman" w:hAnsi="Times New Roman" w:cs="Times New Roman"/>
          <w:kern w:val="0"/>
          <w:lang w:val="es-ES"/>
          <w14:ligatures w14:val="none"/>
        </w:rPr>
        <w:t xml:space="preserve"> como </w:t>
      </w:r>
      <w:r w:rsidRPr="009257E7">
        <w:rPr>
          <w:rFonts w:ascii="Times New Roman" w:eastAsia="Times New Roman" w:hAnsi="Times New Roman" w:cs="Times New Roman"/>
          <w:kern w:val="0"/>
          <w:lang w:val="es-ES"/>
          <w14:ligatures w14:val="none"/>
        </w:rPr>
        <w:lastRenderedPageBreak/>
        <w:t xml:space="preserve">“propaganda antiestadounidense”. Las respuestas rápidas en defensa de las contribuciones de CRT incluyeron una de les cinco decanes de derecho de la </w:t>
      </w:r>
      <w:proofErr w:type="spellStart"/>
      <w:r w:rsidRPr="009257E7">
        <w:rPr>
          <w:rFonts w:ascii="Times New Roman" w:eastAsia="Times New Roman" w:hAnsi="Times New Roman" w:cs="Times New Roman"/>
          <w:kern w:val="0"/>
          <w:lang w:val="es-ES"/>
          <w14:ligatures w14:val="none"/>
        </w:rPr>
        <w:t>University</w:t>
      </w:r>
      <w:proofErr w:type="spellEnd"/>
      <w:r w:rsidRPr="009257E7">
        <w:rPr>
          <w:rFonts w:ascii="Times New Roman" w:eastAsia="Times New Roman" w:hAnsi="Times New Roman" w:cs="Times New Roman"/>
          <w:kern w:val="0"/>
          <w:lang w:val="es-ES"/>
          <w14:ligatures w14:val="none"/>
        </w:rPr>
        <w:t xml:space="preserve"> </w:t>
      </w:r>
      <w:proofErr w:type="spellStart"/>
      <w:r w:rsidRPr="009257E7">
        <w:rPr>
          <w:rFonts w:ascii="Times New Roman" w:eastAsia="Times New Roman" w:hAnsi="Times New Roman" w:cs="Times New Roman"/>
          <w:kern w:val="0"/>
          <w:lang w:val="es-ES"/>
          <w14:ligatures w14:val="none"/>
        </w:rPr>
        <w:t>of</w:t>
      </w:r>
      <w:proofErr w:type="spellEnd"/>
      <w:r w:rsidRPr="009257E7">
        <w:rPr>
          <w:rFonts w:ascii="Times New Roman" w:eastAsia="Times New Roman" w:hAnsi="Times New Roman" w:cs="Times New Roman"/>
          <w:kern w:val="0"/>
          <w:lang w:val="es-ES"/>
          <w14:ligatures w14:val="none"/>
        </w:rPr>
        <w:t xml:space="preserve"> California:</w:t>
      </w:r>
    </w:p>
    <w:p w14:paraId="41381EBA" w14:textId="1C516D23" w:rsidR="00810F2C" w:rsidRPr="009257E7" w:rsidRDefault="00810F2C" w:rsidP="006D10A0">
      <w:pPr>
        <w:spacing w:before="100" w:beforeAutospacing="1" w:after="100" w:afterAutospacing="1" w:line="240" w:lineRule="auto"/>
        <w:ind w:left="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 xml:space="preserve">El memorando de la OMB equipara </w:t>
      </w:r>
      <w:r w:rsidR="006D10A0" w:rsidRPr="009257E7">
        <w:rPr>
          <w:rFonts w:ascii="Times New Roman" w:eastAsia="Times New Roman" w:hAnsi="Times New Roman" w:cs="Times New Roman"/>
          <w:kern w:val="0"/>
          <w:lang w:val="es-ES"/>
          <w14:ligatures w14:val="none"/>
        </w:rPr>
        <w:t xml:space="preserve">la </w:t>
      </w:r>
      <w:proofErr w:type="spellStart"/>
      <w:r w:rsidRPr="009257E7">
        <w:rPr>
          <w:rFonts w:ascii="Times New Roman" w:eastAsia="Times New Roman" w:hAnsi="Times New Roman" w:cs="Times New Roman"/>
          <w:kern w:val="0"/>
          <w:lang w:val="es-ES"/>
          <w14:ligatures w14:val="none"/>
        </w:rPr>
        <w:t>Critical</w:t>
      </w:r>
      <w:proofErr w:type="spellEnd"/>
      <w:r w:rsidRPr="009257E7">
        <w:rPr>
          <w:rFonts w:ascii="Times New Roman" w:eastAsia="Times New Roman" w:hAnsi="Times New Roman" w:cs="Times New Roman"/>
          <w:kern w:val="0"/>
          <w:lang w:val="es-ES"/>
          <w14:ligatures w14:val="none"/>
        </w:rPr>
        <w:t xml:space="preserve"> </w:t>
      </w:r>
      <w:proofErr w:type="spellStart"/>
      <w:r w:rsidRPr="009257E7">
        <w:rPr>
          <w:rFonts w:ascii="Times New Roman" w:eastAsia="Times New Roman" w:hAnsi="Times New Roman" w:cs="Times New Roman"/>
          <w:kern w:val="0"/>
          <w:lang w:val="es-ES"/>
          <w14:ligatures w14:val="none"/>
        </w:rPr>
        <w:t>Race</w:t>
      </w:r>
      <w:proofErr w:type="spellEnd"/>
      <w:r w:rsidRPr="009257E7">
        <w:rPr>
          <w:rFonts w:ascii="Times New Roman" w:eastAsia="Times New Roman" w:hAnsi="Times New Roman" w:cs="Times New Roman"/>
          <w:kern w:val="0"/>
          <w:lang w:val="es-ES"/>
          <w14:ligatures w14:val="none"/>
        </w:rPr>
        <w:t xml:space="preserve"> Theory con dos postulados inexactos y enormemente simplificados: (1) que Estados Unidos es “un país inherentemente racista o malo” y (2) que las personas blancas son “inherentemente racistas o malas”. Esta caracterización reduce un campo sofisticado, dinámico, interdisciplinario y de alcance global a dos absurdos simplistas. De hecho, un principio central de </w:t>
      </w:r>
      <w:r w:rsidR="004756CB" w:rsidRPr="009257E7">
        <w:rPr>
          <w:rFonts w:ascii="Times New Roman" w:eastAsia="Times New Roman" w:hAnsi="Times New Roman" w:cs="Times New Roman"/>
          <w:kern w:val="0"/>
          <w:lang w:val="es-ES"/>
          <w14:ligatures w14:val="none"/>
        </w:rPr>
        <w:t xml:space="preserve">la </w:t>
      </w:r>
      <w:proofErr w:type="spellStart"/>
      <w:r w:rsidRPr="009257E7">
        <w:rPr>
          <w:rFonts w:ascii="Times New Roman" w:eastAsia="Times New Roman" w:hAnsi="Times New Roman" w:cs="Times New Roman"/>
          <w:kern w:val="0"/>
          <w:lang w:val="es-ES"/>
          <w14:ligatures w14:val="none"/>
        </w:rPr>
        <w:t>Critical</w:t>
      </w:r>
      <w:proofErr w:type="spellEnd"/>
      <w:r w:rsidRPr="009257E7">
        <w:rPr>
          <w:rFonts w:ascii="Times New Roman" w:eastAsia="Times New Roman" w:hAnsi="Times New Roman" w:cs="Times New Roman"/>
          <w:kern w:val="0"/>
          <w:lang w:val="es-ES"/>
          <w14:ligatures w14:val="none"/>
        </w:rPr>
        <w:t xml:space="preserve"> </w:t>
      </w:r>
      <w:proofErr w:type="spellStart"/>
      <w:r w:rsidRPr="009257E7">
        <w:rPr>
          <w:rFonts w:ascii="Times New Roman" w:eastAsia="Times New Roman" w:hAnsi="Times New Roman" w:cs="Times New Roman"/>
          <w:kern w:val="0"/>
          <w:lang w:val="es-ES"/>
          <w14:ligatures w14:val="none"/>
        </w:rPr>
        <w:t>Race</w:t>
      </w:r>
      <w:proofErr w:type="spellEnd"/>
      <w:r w:rsidRPr="009257E7">
        <w:rPr>
          <w:rFonts w:ascii="Times New Roman" w:eastAsia="Times New Roman" w:hAnsi="Times New Roman" w:cs="Times New Roman"/>
          <w:kern w:val="0"/>
          <w:lang w:val="es-ES"/>
          <w14:ligatures w14:val="none"/>
        </w:rPr>
        <w:t xml:space="preserve"> Theory es que no hay nada “inherente” </w:t>
      </w:r>
      <w:r w:rsidR="004756CB" w:rsidRPr="009257E7">
        <w:rPr>
          <w:rFonts w:ascii="Times New Roman" w:eastAsia="Times New Roman" w:hAnsi="Times New Roman" w:cs="Times New Roman"/>
          <w:kern w:val="0"/>
          <w:lang w:val="es-ES"/>
          <w14:ligatures w14:val="none"/>
        </w:rPr>
        <w:t>a</w:t>
      </w:r>
      <w:r w:rsidRPr="009257E7">
        <w:rPr>
          <w:rFonts w:ascii="Times New Roman" w:eastAsia="Times New Roman" w:hAnsi="Times New Roman" w:cs="Times New Roman"/>
          <w:kern w:val="0"/>
          <w:lang w:val="es-ES"/>
          <w14:ligatures w14:val="none"/>
        </w:rPr>
        <w:t xml:space="preserve"> la raza. Más bien, CRT nos invita a confrontar con honestidad firme cómo la raza ha operado en nuestra historia y en nuestro presente, y a reconocer la operación profunda y continua del “racismo estructural”, mediante la cual la desigualdad racial se reproduce </w:t>
      </w:r>
      <w:r w:rsidR="004756CB" w:rsidRPr="009257E7">
        <w:rPr>
          <w:rFonts w:ascii="Times New Roman" w:eastAsia="Times New Roman" w:hAnsi="Times New Roman" w:cs="Times New Roman"/>
          <w:kern w:val="0"/>
          <w:lang w:val="es-ES"/>
          <w14:ligatures w14:val="none"/>
        </w:rPr>
        <w:t>en</w:t>
      </w:r>
      <w:r w:rsidRPr="009257E7">
        <w:rPr>
          <w:rFonts w:ascii="Times New Roman" w:eastAsia="Times New Roman" w:hAnsi="Times New Roman" w:cs="Times New Roman"/>
          <w:kern w:val="0"/>
          <w:lang w:val="es-ES"/>
          <w14:ligatures w14:val="none"/>
        </w:rPr>
        <w:t xml:space="preserve"> nuestros sistemas económicos, políticos y educativos, incluso sin intención racista individual.</w:t>
      </w:r>
      <w:r w:rsidR="003C50F5" w:rsidRPr="009257E7">
        <w:rPr>
          <w:rStyle w:val="FootnoteReference"/>
          <w:rFonts w:ascii="Times New Roman" w:eastAsia="Times New Roman" w:hAnsi="Times New Roman" w:cs="Times New Roman"/>
          <w:kern w:val="0"/>
          <w:lang w:val="es-ES"/>
          <w14:ligatures w14:val="none"/>
        </w:rPr>
        <w:footnoteReference w:id="190"/>
      </w:r>
    </w:p>
    <w:p w14:paraId="5E00E218" w14:textId="1B1AE942" w:rsidR="00505D83" w:rsidRPr="009257E7" w:rsidRDefault="00505D83" w:rsidP="00960EE0">
      <w:pPr>
        <w:pStyle w:val="NormalWeb"/>
        <w:ind w:firstLine="720"/>
        <w:rPr>
          <w:lang w:val="es-ES"/>
        </w:rPr>
      </w:pPr>
      <w:r w:rsidRPr="009257E7">
        <w:rPr>
          <w:lang w:val="es-ES"/>
        </w:rPr>
        <w:t xml:space="preserve">Aunque estas escuelas y enfoques puedan tener puntos de enfoque diferentes, su objetivo común es hacer que el derecho se base más en principios y sea más responsable, garantizando la justicia igualitaria para todos, tal y como indica el Cuadro A: </w:t>
      </w:r>
    </w:p>
    <w:p w14:paraId="072C2C7F" w14:textId="77777777" w:rsidR="00810F2C" w:rsidRPr="009257E7" w:rsidRDefault="00810F2C" w:rsidP="00810F2C">
      <w:pPr>
        <w:spacing w:before="100" w:beforeAutospacing="1" w:after="100" w:afterAutospacing="1" w:line="240" w:lineRule="auto"/>
        <w:outlineLvl w:val="1"/>
        <w:rPr>
          <w:rFonts w:ascii="Times New Roman" w:eastAsia="Times New Roman" w:hAnsi="Times New Roman" w:cs="Times New Roman"/>
          <w:b/>
          <w:bCs/>
          <w:kern w:val="0"/>
          <w:lang w:val="es-ES"/>
          <w14:ligatures w14:val="none"/>
        </w:rPr>
      </w:pPr>
      <w:r w:rsidRPr="009257E7">
        <w:rPr>
          <w:rFonts w:ascii="Times New Roman" w:eastAsia="Times New Roman" w:hAnsi="Times New Roman" w:cs="Times New Roman"/>
          <w:b/>
          <w:bCs/>
          <w:kern w:val="0"/>
          <w:lang w:val="es-ES"/>
          <w14:ligatures w14:val="none"/>
        </w:rPr>
        <w:t>Cuadro A: “Escuelas” críticas de conocimiento jurídico</w:t>
      </w:r>
    </w:p>
    <w:tbl>
      <w:tblPr>
        <w:tblStyle w:val="TableGrid"/>
        <w:tblW w:w="0" w:type="auto"/>
        <w:tblLook w:val="04A0" w:firstRow="1" w:lastRow="0" w:firstColumn="1" w:lastColumn="0" w:noHBand="0" w:noVBand="1"/>
      </w:tblPr>
      <w:tblGrid>
        <w:gridCol w:w="9350"/>
      </w:tblGrid>
      <w:tr w:rsidR="00960EE0" w:rsidRPr="009257E7" w14:paraId="7D666B26" w14:textId="77777777" w:rsidTr="00960EE0">
        <w:tc>
          <w:tcPr>
            <w:tcW w:w="9350" w:type="dxa"/>
          </w:tcPr>
          <w:p w14:paraId="6685F00F" w14:textId="77777777" w:rsidR="00960EE0" w:rsidRPr="009257E7" w:rsidRDefault="00960EE0" w:rsidP="00960EE0">
            <w:pPr>
              <w:spacing w:before="100" w:beforeAutospacing="1" w:after="100" w:afterAutospacing="1"/>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b/>
                <w:bCs/>
                <w:kern w:val="0"/>
                <w:lang w:val="es-ES"/>
                <w14:ligatures w14:val="none"/>
              </w:rPr>
              <w:t xml:space="preserve">Asian American </w:t>
            </w:r>
            <w:proofErr w:type="spellStart"/>
            <w:r w:rsidRPr="009257E7">
              <w:rPr>
                <w:rFonts w:ascii="Times New Roman" w:eastAsia="Times New Roman" w:hAnsi="Times New Roman" w:cs="Times New Roman"/>
                <w:b/>
                <w:bCs/>
                <w:kern w:val="0"/>
                <w:lang w:val="es-ES"/>
                <w14:ligatures w14:val="none"/>
              </w:rPr>
              <w:t>Scholarship</w:t>
            </w:r>
            <w:proofErr w:type="spellEnd"/>
            <w:r w:rsidRPr="009257E7">
              <w:rPr>
                <w:rFonts w:ascii="Times New Roman" w:eastAsia="Times New Roman" w:hAnsi="Times New Roman" w:cs="Times New Roman"/>
                <w:b/>
                <w:bCs/>
                <w:kern w:val="0"/>
                <w:lang w:val="es-ES"/>
                <w14:ligatures w14:val="none"/>
              </w:rPr>
              <w:t>:</w:t>
            </w:r>
            <w:r w:rsidRPr="009257E7">
              <w:rPr>
                <w:rFonts w:ascii="Times New Roman" w:eastAsia="Times New Roman" w:hAnsi="Times New Roman" w:cs="Times New Roman"/>
                <w:kern w:val="0"/>
                <w:lang w:val="es-ES"/>
                <w14:ligatures w14:val="none"/>
              </w:rPr>
              <w:t xml:space="preserve"> Centra la experiencia asiática y de las islas del Pacífico con el derecho. Muestra cómo las personas </w:t>
            </w:r>
            <w:proofErr w:type="spellStart"/>
            <w:r w:rsidRPr="009257E7">
              <w:rPr>
                <w:rFonts w:ascii="Times New Roman" w:eastAsia="Times New Roman" w:hAnsi="Times New Roman" w:cs="Times New Roman"/>
                <w:kern w:val="0"/>
                <w:lang w:val="es-ES"/>
                <w14:ligatures w14:val="none"/>
              </w:rPr>
              <w:t>asiaticoestadounidenses</w:t>
            </w:r>
            <w:proofErr w:type="spellEnd"/>
            <w:r w:rsidRPr="009257E7">
              <w:rPr>
                <w:rFonts w:ascii="Times New Roman" w:eastAsia="Times New Roman" w:hAnsi="Times New Roman" w:cs="Times New Roman"/>
                <w:kern w:val="0"/>
                <w:lang w:val="es-ES"/>
                <w14:ligatures w14:val="none"/>
              </w:rPr>
              <w:t xml:space="preserve"> son consideradas “extranjeras perpetuas” incluso si nacieron en Estados Unidos. Conecta nacionalidad y etnicidad con raza.</w:t>
            </w:r>
          </w:p>
          <w:p w14:paraId="3B57574D" w14:textId="1E00B576" w:rsidR="00960EE0" w:rsidRPr="009257E7" w:rsidRDefault="00960EE0" w:rsidP="00960EE0">
            <w:pPr>
              <w:spacing w:before="100" w:beforeAutospacing="1" w:after="100" w:afterAutospacing="1"/>
              <w:rPr>
                <w:rFonts w:ascii="Times New Roman" w:eastAsia="Times New Roman" w:hAnsi="Times New Roman" w:cs="Times New Roman"/>
                <w:kern w:val="0"/>
                <w:lang w:val="es-ES"/>
                <w14:ligatures w14:val="none"/>
              </w:rPr>
            </w:pPr>
            <w:proofErr w:type="spellStart"/>
            <w:r w:rsidRPr="009257E7">
              <w:rPr>
                <w:rFonts w:ascii="Times New Roman" w:eastAsia="Times New Roman" w:hAnsi="Times New Roman" w:cs="Times New Roman"/>
                <w:b/>
                <w:bCs/>
                <w:kern w:val="0"/>
                <w:lang w:val="es-ES"/>
                <w14:ligatures w14:val="none"/>
              </w:rPr>
              <w:t>ClassCrits</w:t>
            </w:r>
            <w:proofErr w:type="spellEnd"/>
            <w:r w:rsidRPr="009257E7">
              <w:rPr>
                <w:rFonts w:ascii="Times New Roman" w:eastAsia="Times New Roman" w:hAnsi="Times New Roman" w:cs="Times New Roman"/>
                <w:b/>
                <w:bCs/>
                <w:kern w:val="0"/>
                <w:lang w:val="es-ES"/>
                <w14:ligatures w14:val="none"/>
              </w:rPr>
              <w:t xml:space="preserve"> Theory:</w:t>
            </w:r>
            <w:r w:rsidRPr="009257E7">
              <w:rPr>
                <w:rFonts w:ascii="Times New Roman" w:eastAsia="Times New Roman" w:hAnsi="Times New Roman" w:cs="Times New Roman"/>
                <w:kern w:val="0"/>
                <w:lang w:val="es-ES"/>
                <w14:ligatures w14:val="none"/>
              </w:rPr>
              <w:t xml:space="preserve"> Critica el neoliberalismo y la economía clásica para descubrir sus falacias. Apunta a las </w:t>
            </w:r>
            <w:r w:rsidR="00EE1E19" w:rsidRPr="009257E7">
              <w:rPr>
                <w:rFonts w:ascii="Times New Roman" w:eastAsia="Times New Roman" w:hAnsi="Times New Roman" w:cs="Times New Roman"/>
                <w:kern w:val="0"/>
                <w:lang w:val="es-ES"/>
                <w14:ligatures w14:val="none"/>
              </w:rPr>
              <w:t>raíces</w:t>
            </w:r>
            <w:r w:rsidRPr="009257E7">
              <w:rPr>
                <w:rFonts w:ascii="Times New Roman" w:eastAsia="Times New Roman" w:hAnsi="Times New Roman" w:cs="Times New Roman"/>
                <w:kern w:val="0"/>
                <w:lang w:val="es-ES"/>
                <w14:ligatures w14:val="none"/>
              </w:rPr>
              <w:t xml:space="preserve"> de la desigualdad material. Relaciona la clase con otras identidades sociales, como el sexo y la raza.</w:t>
            </w:r>
          </w:p>
          <w:p w14:paraId="20BCF55F" w14:textId="03208590" w:rsidR="00960EE0" w:rsidRPr="009257E7" w:rsidRDefault="00960EE0" w:rsidP="00960EE0">
            <w:pPr>
              <w:spacing w:before="100" w:beforeAutospacing="1" w:after="100" w:afterAutospacing="1"/>
              <w:rPr>
                <w:rFonts w:ascii="Times New Roman" w:eastAsia="Times New Roman" w:hAnsi="Times New Roman" w:cs="Times New Roman"/>
                <w:kern w:val="0"/>
                <w:lang w:val="es-ES"/>
                <w14:ligatures w14:val="none"/>
              </w:rPr>
            </w:pPr>
            <w:proofErr w:type="spellStart"/>
            <w:r w:rsidRPr="009257E7">
              <w:rPr>
                <w:rFonts w:ascii="Times New Roman" w:eastAsia="Times New Roman" w:hAnsi="Times New Roman" w:cs="Times New Roman"/>
                <w:b/>
                <w:bCs/>
                <w:kern w:val="0"/>
                <w:lang w:val="es-ES"/>
                <w14:ligatures w14:val="none"/>
              </w:rPr>
              <w:t>Clinical</w:t>
            </w:r>
            <w:proofErr w:type="spellEnd"/>
            <w:r w:rsidRPr="009257E7">
              <w:rPr>
                <w:rFonts w:ascii="Times New Roman" w:eastAsia="Times New Roman" w:hAnsi="Times New Roman" w:cs="Times New Roman"/>
                <w:b/>
                <w:bCs/>
                <w:kern w:val="0"/>
                <w:lang w:val="es-ES"/>
                <w14:ligatures w14:val="none"/>
              </w:rPr>
              <w:t xml:space="preserve"> Legal </w:t>
            </w:r>
            <w:proofErr w:type="spellStart"/>
            <w:r w:rsidRPr="009257E7">
              <w:rPr>
                <w:rFonts w:ascii="Times New Roman" w:eastAsia="Times New Roman" w:hAnsi="Times New Roman" w:cs="Times New Roman"/>
                <w:b/>
                <w:bCs/>
                <w:kern w:val="0"/>
                <w:lang w:val="es-ES"/>
                <w14:ligatures w14:val="none"/>
              </w:rPr>
              <w:t>Scholarship</w:t>
            </w:r>
            <w:proofErr w:type="spellEnd"/>
            <w:r w:rsidRPr="009257E7">
              <w:rPr>
                <w:rFonts w:ascii="Times New Roman" w:eastAsia="Times New Roman" w:hAnsi="Times New Roman" w:cs="Times New Roman"/>
                <w:b/>
                <w:bCs/>
                <w:kern w:val="0"/>
                <w:lang w:val="es-ES"/>
                <w14:ligatures w14:val="none"/>
              </w:rPr>
              <w:t>:</w:t>
            </w:r>
            <w:r w:rsidRPr="009257E7">
              <w:rPr>
                <w:rFonts w:ascii="Times New Roman" w:eastAsia="Times New Roman" w:hAnsi="Times New Roman" w:cs="Times New Roman"/>
                <w:kern w:val="0"/>
                <w:lang w:val="es-ES"/>
                <w14:ligatures w14:val="none"/>
              </w:rPr>
              <w:t xml:space="preserve"> Promueve la formación jurídica </w:t>
            </w:r>
            <w:r w:rsidR="00CD2779" w:rsidRPr="009257E7">
              <w:rPr>
                <w:rFonts w:ascii="Times New Roman" w:eastAsia="Times New Roman" w:hAnsi="Times New Roman" w:cs="Times New Roman"/>
                <w:kern w:val="0"/>
                <w:lang w:val="es-ES"/>
                <w14:ligatures w14:val="none"/>
              </w:rPr>
              <w:t>a través de la experiencia</w:t>
            </w:r>
            <w:r w:rsidRPr="009257E7">
              <w:rPr>
                <w:rFonts w:ascii="Times New Roman" w:eastAsia="Times New Roman" w:hAnsi="Times New Roman" w:cs="Times New Roman"/>
                <w:kern w:val="0"/>
                <w:lang w:val="es-ES"/>
                <w14:ligatures w14:val="none"/>
              </w:rPr>
              <w:t>. Encabeza las clínicas jurídicas basadas en facultades de derecho y técnicas de enseñanza relacionadas. Busca proveer servicios jurídicos a poblaciones pobres o vulnerables.</w:t>
            </w:r>
          </w:p>
          <w:p w14:paraId="0C1E1388" w14:textId="77777777" w:rsidR="00960EE0" w:rsidRPr="009257E7" w:rsidRDefault="00960EE0" w:rsidP="00960EE0">
            <w:pPr>
              <w:spacing w:before="100" w:beforeAutospacing="1" w:after="100" w:afterAutospacing="1"/>
              <w:rPr>
                <w:rFonts w:ascii="Times New Roman" w:eastAsia="Times New Roman" w:hAnsi="Times New Roman" w:cs="Times New Roman"/>
                <w:kern w:val="0"/>
                <w:lang w:val="es-ES"/>
                <w14:ligatures w14:val="none"/>
              </w:rPr>
            </w:pPr>
            <w:proofErr w:type="spellStart"/>
            <w:r w:rsidRPr="009257E7">
              <w:rPr>
                <w:rFonts w:ascii="Times New Roman" w:eastAsia="Times New Roman" w:hAnsi="Times New Roman" w:cs="Times New Roman"/>
                <w:b/>
                <w:bCs/>
                <w:kern w:val="0"/>
                <w:lang w:val="es-ES"/>
                <w14:ligatures w14:val="none"/>
              </w:rPr>
              <w:t>Critical</w:t>
            </w:r>
            <w:proofErr w:type="spellEnd"/>
            <w:r w:rsidRPr="009257E7">
              <w:rPr>
                <w:rFonts w:ascii="Times New Roman" w:eastAsia="Times New Roman" w:hAnsi="Times New Roman" w:cs="Times New Roman"/>
                <w:b/>
                <w:bCs/>
                <w:kern w:val="0"/>
                <w:lang w:val="es-ES"/>
                <w14:ligatures w14:val="none"/>
              </w:rPr>
              <w:t xml:space="preserve"> Legal </w:t>
            </w:r>
            <w:proofErr w:type="spellStart"/>
            <w:r w:rsidRPr="009257E7">
              <w:rPr>
                <w:rFonts w:ascii="Times New Roman" w:eastAsia="Times New Roman" w:hAnsi="Times New Roman" w:cs="Times New Roman"/>
                <w:b/>
                <w:bCs/>
                <w:kern w:val="0"/>
                <w:lang w:val="es-ES"/>
                <w14:ligatures w14:val="none"/>
              </w:rPr>
              <w:t>Studies</w:t>
            </w:r>
            <w:proofErr w:type="spellEnd"/>
            <w:r w:rsidRPr="009257E7">
              <w:rPr>
                <w:rFonts w:ascii="Times New Roman" w:eastAsia="Times New Roman" w:hAnsi="Times New Roman" w:cs="Times New Roman"/>
                <w:b/>
                <w:bCs/>
                <w:kern w:val="0"/>
                <w:lang w:val="es-ES"/>
                <w14:ligatures w14:val="none"/>
              </w:rPr>
              <w:t>:</w:t>
            </w:r>
            <w:r w:rsidRPr="009257E7">
              <w:rPr>
                <w:rFonts w:ascii="Times New Roman" w:eastAsia="Times New Roman" w:hAnsi="Times New Roman" w:cs="Times New Roman"/>
                <w:kern w:val="0"/>
                <w:lang w:val="es-ES"/>
                <w14:ligatures w14:val="none"/>
              </w:rPr>
              <w:t xml:space="preserve"> Se enfoca en la clase y la jerarquía mediante el derecho. Expone la indeterminación jurídica y la discreción en la toma de decisiones. Sitúa el derecho como poder crudo.</w:t>
            </w:r>
          </w:p>
          <w:p w14:paraId="78E00FF6" w14:textId="1E302A84" w:rsidR="00960EE0" w:rsidRPr="009257E7" w:rsidRDefault="00960EE0" w:rsidP="00960EE0">
            <w:pPr>
              <w:spacing w:before="100" w:beforeAutospacing="1" w:after="100" w:afterAutospacing="1"/>
              <w:rPr>
                <w:rFonts w:ascii="Times New Roman" w:eastAsia="Times New Roman" w:hAnsi="Times New Roman" w:cs="Times New Roman"/>
                <w:kern w:val="0"/>
                <w:lang w:val="es-ES"/>
                <w14:ligatures w14:val="none"/>
              </w:rPr>
            </w:pPr>
            <w:proofErr w:type="spellStart"/>
            <w:r w:rsidRPr="009257E7">
              <w:rPr>
                <w:rFonts w:ascii="Times New Roman" w:eastAsia="Times New Roman" w:hAnsi="Times New Roman" w:cs="Times New Roman"/>
                <w:b/>
                <w:bCs/>
                <w:kern w:val="0"/>
                <w:lang w:val="es-ES"/>
                <w14:ligatures w14:val="none"/>
              </w:rPr>
              <w:t>Critical</w:t>
            </w:r>
            <w:proofErr w:type="spellEnd"/>
            <w:r w:rsidRPr="009257E7">
              <w:rPr>
                <w:rFonts w:ascii="Times New Roman" w:eastAsia="Times New Roman" w:hAnsi="Times New Roman" w:cs="Times New Roman"/>
                <w:b/>
                <w:bCs/>
                <w:kern w:val="0"/>
                <w:lang w:val="es-ES"/>
                <w14:ligatures w14:val="none"/>
              </w:rPr>
              <w:t xml:space="preserve"> </w:t>
            </w:r>
            <w:proofErr w:type="spellStart"/>
            <w:r w:rsidRPr="009257E7">
              <w:rPr>
                <w:rFonts w:ascii="Times New Roman" w:eastAsia="Times New Roman" w:hAnsi="Times New Roman" w:cs="Times New Roman"/>
                <w:b/>
                <w:bCs/>
                <w:kern w:val="0"/>
                <w:lang w:val="es-ES"/>
                <w14:ligatures w14:val="none"/>
              </w:rPr>
              <w:t>Race</w:t>
            </w:r>
            <w:proofErr w:type="spellEnd"/>
            <w:r w:rsidRPr="009257E7">
              <w:rPr>
                <w:rFonts w:ascii="Times New Roman" w:eastAsia="Times New Roman" w:hAnsi="Times New Roman" w:cs="Times New Roman"/>
                <w:b/>
                <w:bCs/>
                <w:kern w:val="0"/>
                <w:lang w:val="es-ES"/>
                <w14:ligatures w14:val="none"/>
              </w:rPr>
              <w:t xml:space="preserve"> Theory/</w:t>
            </w:r>
            <w:proofErr w:type="spellStart"/>
            <w:r w:rsidRPr="009257E7">
              <w:rPr>
                <w:rFonts w:ascii="Times New Roman" w:eastAsia="Times New Roman" w:hAnsi="Times New Roman" w:cs="Times New Roman"/>
                <w:b/>
                <w:bCs/>
                <w:kern w:val="0"/>
                <w:lang w:val="es-ES"/>
                <w14:ligatures w14:val="none"/>
              </w:rPr>
              <w:t>Critical</w:t>
            </w:r>
            <w:proofErr w:type="spellEnd"/>
            <w:r w:rsidRPr="009257E7">
              <w:rPr>
                <w:rFonts w:ascii="Times New Roman" w:eastAsia="Times New Roman" w:hAnsi="Times New Roman" w:cs="Times New Roman"/>
                <w:b/>
                <w:bCs/>
                <w:kern w:val="0"/>
                <w:lang w:val="es-ES"/>
                <w14:ligatures w14:val="none"/>
              </w:rPr>
              <w:t xml:space="preserve"> </w:t>
            </w:r>
            <w:proofErr w:type="spellStart"/>
            <w:r w:rsidRPr="009257E7">
              <w:rPr>
                <w:rFonts w:ascii="Times New Roman" w:eastAsia="Times New Roman" w:hAnsi="Times New Roman" w:cs="Times New Roman"/>
                <w:b/>
                <w:bCs/>
                <w:kern w:val="0"/>
                <w:lang w:val="es-ES"/>
                <w14:ligatures w14:val="none"/>
              </w:rPr>
              <w:t>Race</w:t>
            </w:r>
            <w:proofErr w:type="spellEnd"/>
            <w:r w:rsidRPr="009257E7">
              <w:rPr>
                <w:rFonts w:ascii="Times New Roman" w:eastAsia="Times New Roman" w:hAnsi="Times New Roman" w:cs="Times New Roman"/>
                <w:b/>
                <w:bCs/>
                <w:kern w:val="0"/>
                <w:lang w:val="es-ES"/>
                <w14:ligatures w14:val="none"/>
              </w:rPr>
              <w:t xml:space="preserve"> </w:t>
            </w:r>
            <w:proofErr w:type="spellStart"/>
            <w:r w:rsidRPr="009257E7">
              <w:rPr>
                <w:rFonts w:ascii="Times New Roman" w:eastAsia="Times New Roman" w:hAnsi="Times New Roman" w:cs="Times New Roman"/>
                <w:b/>
                <w:bCs/>
                <w:kern w:val="0"/>
                <w:lang w:val="es-ES"/>
                <w14:ligatures w14:val="none"/>
              </w:rPr>
              <w:t>Feminism</w:t>
            </w:r>
            <w:proofErr w:type="spellEnd"/>
            <w:r w:rsidRPr="009257E7">
              <w:rPr>
                <w:rFonts w:ascii="Times New Roman" w:eastAsia="Times New Roman" w:hAnsi="Times New Roman" w:cs="Times New Roman"/>
                <w:b/>
                <w:bCs/>
                <w:kern w:val="0"/>
                <w:lang w:val="es-ES"/>
                <w14:ligatures w14:val="none"/>
              </w:rPr>
              <w:t>:</w:t>
            </w:r>
            <w:r w:rsidRPr="009257E7">
              <w:rPr>
                <w:rFonts w:ascii="Times New Roman" w:eastAsia="Times New Roman" w:hAnsi="Times New Roman" w:cs="Times New Roman"/>
                <w:kern w:val="0"/>
                <w:lang w:val="es-ES"/>
                <w14:ligatures w14:val="none"/>
              </w:rPr>
              <w:t xml:space="preserve"> U</w:t>
            </w:r>
            <w:r w:rsidR="00ED32FC" w:rsidRPr="009257E7">
              <w:rPr>
                <w:rFonts w:ascii="Times New Roman" w:eastAsia="Times New Roman" w:hAnsi="Times New Roman" w:cs="Times New Roman"/>
                <w:kern w:val="0"/>
                <w:lang w:val="es-ES"/>
                <w14:ligatures w14:val="none"/>
              </w:rPr>
              <w:t>tilizan</w:t>
            </w:r>
            <w:r w:rsidRPr="009257E7">
              <w:rPr>
                <w:rFonts w:ascii="Times New Roman" w:eastAsia="Times New Roman" w:hAnsi="Times New Roman" w:cs="Times New Roman"/>
                <w:kern w:val="0"/>
                <w:lang w:val="es-ES"/>
                <w14:ligatures w14:val="none"/>
              </w:rPr>
              <w:t xml:space="preserve"> la raza como lente principal de estudio. Buscan desmantelar la supremacía blanca y el privilegio. También</w:t>
            </w:r>
            <w:r w:rsidR="00ED32FC" w:rsidRPr="009257E7">
              <w:rPr>
                <w:rFonts w:ascii="Times New Roman" w:eastAsia="Times New Roman" w:hAnsi="Times New Roman" w:cs="Times New Roman"/>
                <w:kern w:val="0"/>
                <w:lang w:val="es-ES"/>
                <w14:ligatures w14:val="none"/>
              </w:rPr>
              <w:t>,</w:t>
            </w:r>
            <w:r w:rsidRPr="009257E7">
              <w:rPr>
                <w:rFonts w:ascii="Times New Roman" w:eastAsia="Times New Roman" w:hAnsi="Times New Roman" w:cs="Times New Roman"/>
                <w:kern w:val="0"/>
                <w:lang w:val="es-ES"/>
                <w14:ligatures w14:val="none"/>
              </w:rPr>
              <w:t xml:space="preserve"> desarrollaron la interseccionalidad.</w:t>
            </w:r>
          </w:p>
          <w:p w14:paraId="46D13C1D" w14:textId="77777777" w:rsidR="00960EE0" w:rsidRPr="009257E7" w:rsidRDefault="00960EE0" w:rsidP="00960EE0">
            <w:pPr>
              <w:spacing w:before="100" w:beforeAutospacing="1" w:after="100" w:afterAutospacing="1"/>
              <w:rPr>
                <w:rFonts w:ascii="Times New Roman" w:eastAsia="Times New Roman" w:hAnsi="Times New Roman" w:cs="Times New Roman"/>
                <w:kern w:val="0"/>
                <w:lang w:val="es-ES"/>
                <w14:ligatures w14:val="none"/>
              </w:rPr>
            </w:pPr>
            <w:proofErr w:type="spellStart"/>
            <w:r w:rsidRPr="009257E7">
              <w:rPr>
                <w:rFonts w:ascii="Times New Roman" w:eastAsia="Times New Roman" w:hAnsi="Times New Roman" w:cs="Times New Roman"/>
                <w:b/>
                <w:bCs/>
                <w:kern w:val="0"/>
                <w:lang w:val="es-ES"/>
                <w14:ligatures w14:val="none"/>
              </w:rPr>
              <w:t>Disability</w:t>
            </w:r>
            <w:proofErr w:type="spellEnd"/>
            <w:r w:rsidRPr="009257E7">
              <w:rPr>
                <w:rFonts w:ascii="Times New Roman" w:eastAsia="Times New Roman" w:hAnsi="Times New Roman" w:cs="Times New Roman"/>
                <w:b/>
                <w:bCs/>
                <w:kern w:val="0"/>
                <w:lang w:val="es-ES"/>
                <w14:ligatures w14:val="none"/>
              </w:rPr>
              <w:t xml:space="preserve"> Legal </w:t>
            </w:r>
            <w:proofErr w:type="spellStart"/>
            <w:r w:rsidRPr="009257E7">
              <w:rPr>
                <w:rFonts w:ascii="Times New Roman" w:eastAsia="Times New Roman" w:hAnsi="Times New Roman" w:cs="Times New Roman"/>
                <w:b/>
                <w:bCs/>
                <w:kern w:val="0"/>
                <w:lang w:val="es-ES"/>
                <w14:ligatures w14:val="none"/>
              </w:rPr>
              <w:t>Studies</w:t>
            </w:r>
            <w:proofErr w:type="spellEnd"/>
            <w:r w:rsidRPr="009257E7">
              <w:rPr>
                <w:rFonts w:ascii="Times New Roman" w:eastAsia="Times New Roman" w:hAnsi="Times New Roman" w:cs="Times New Roman"/>
                <w:b/>
                <w:bCs/>
                <w:kern w:val="0"/>
                <w:lang w:val="es-ES"/>
                <w14:ligatures w14:val="none"/>
              </w:rPr>
              <w:t xml:space="preserve"> —y </w:t>
            </w:r>
            <w:proofErr w:type="spellStart"/>
            <w:r w:rsidRPr="009257E7">
              <w:rPr>
                <w:rFonts w:ascii="Times New Roman" w:eastAsia="Times New Roman" w:hAnsi="Times New Roman" w:cs="Times New Roman"/>
                <w:b/>
                <w:bCs/>
                <w:kern w:val="0"/>
                <w:lang w:val="es-ES"/>
                <w14:ligatures w14:val="none"/>
              </w:rPr>
              <w:t>DisCrit</w:t>
            </w:r>
            <w:proofErr w:type="spellEnd"/>
            <w:r w:rsidRPr="009257E7">
              <w:rPr>
                <w:rFonts w:ascii="Times New Roman" w:eastAsia="Times New Roman" w:hAnsi="Times New Roman" w:cs="Times New Roman"/>
                <w:b/>
                <w:bCs/>
                <w:kern w:val="0"/>
                <w:lang w:val="es-ES"/>
                <w14:ligatures w14:val="none"/>
              </w:rPr>
              <w:t xml:space="preserve">, </w:t>
            </w:r>
            <w:proofErr w:type="spellStart"/>
            <w:r w:rsidRPr="009257E7">
              <w:rPr>
                <w:rFonts w:ascii="Times New Roman" w:eastAsia="Times New Roman" w:hAnsi="Times New Roman" w:cs="Times New Roman"/>
                <w:b/>
                <w:bCs/>
                <w:kern w:val="0"/>
                <w:lang w:val="es-ES"/>
                <w14:ligatures w14:val="none"/>
              </w:rPr>
              <w:t>Dis</w:t>
            </w:r>
            <w:proofErr w:type="spellEnd"/>
            <w:r w:rsidRPr="009257E7">
              <w:rPr>
                <w:rFonts w:ascii="Times New Roman" w:eastAsia="Times New Roman" w:hAnsi="Times New Roman" w:cs="Times New Roman"/>
                <w:b/>
                <w:bCs/>
                <w:kern w:val="0"/>
                <w:lang w:val="es-ES"/>
                <w14:ligatures w14:val="none"/>
              </w:rPr>
              <w:t>/</w:t>
            </w:r>
            <w:proofErr w:type="spellStart"/>
            <w:r w:rsidRPr="009257E7">
              <w:rPr>
                <w:rFonts w:ascii="Times New Roman" w:eastAsia="Times New Roman" w:hAnsi="Times New Roman" w:cs="Times New Roman"/>
                <w:b/>
                <w:bCs/>
                <w:kern w:val="0"/>
                <w:lang w:val="es-ES"/>
                <w14:ligatures w14:val="none"/>
              </w:rPr>
              <w:t>ability</w:t>
            </w:r>
            <w:proofErr w:type="spellEnd"/>
            <w:r w:rsidRPr="009257E7">
              <w:rPr>
                <w:rFonts w:ascii="Times New Roman" w:eastAsia="Times New Roman" w:hAnsi="Times New Roman" w:cs="Times New Roman"/>
                <w:b/>
                <w:bCs/>
                <w:kern w:val="0"/>
                <w:lang w:val="es-ES"/>
                <w14:ligatures w14:val="none"/>
              </w:rPr>
              <w:t xml:space="preserve"> </w:t>
            </w:r>
            <w:proofErr w:type="spellStart"/>
            <w:r w:rsidRPr="009257E7">
              <w:rPr>
                <w:rFonts w:ascii="Times New Roman" w:eastAsia="Times New Roman" w:hAnsi="Times New Roman" w:cs="Times New Roman"/>
                <w:b/>
                <w:bCs/>
                <w:kern w:val="0"/>
                <w:lang w:val="es-ES"/>
                <w14:ligatures w14:val="none"/>
              </w:rPr>
              <w:t>Critical</w:t>
            </w:r>
            <w:proofErr w:type="spellEnd"/>
            <w:r w:rsidRPr="009257E7">
              <w:rPr>
                <w:rFonts w:ascii="Times New Roman" w:eastAsia="Times New Roman" w:hAnsi="Times New Roman" w:cs="Times New Roman"/>
                <w:b/>
                <w:bCs/>
                <w:kern w:val="0"/>
                <w:lang w:val="es-ES"/>
                <w14:ligatures w14:val="none"/>
              </w:rPr>
              <w:t xml:space="preserve"> </w:t>
            </w:r>
            <w:proofErr w:type="spellStart"/>
            <w:r w:rsidRPr="009257E7">
              <w:rPr>
                <w:rFonts w:ascii="Times New Roman" w:eastAsia="Times New Roman" w:hAnsi="Times New Roman" w:cs="Times New Roman"/>
                <w:b/>
                <w:bCs/>
                <w:kern w:val="0"/>
                <w:lang w:val="es-ES"/>
                <w14:ligatures w14:val="none"/>
              </w:rPr>
              <w:t>Race</w:t>
            </w:r>
            <w:proofErr w:type="spellEnd"/>
            <w:r w:rsidRPr="009257E7">
              <w:rPr>
                <w:rFonts w:ascii="Times New Roman" w:eastAsia="Times New Roman" w:hAnsi="Times New Roman" w:cs="Times New Roman"/>
                <w:b/>
                <w:bCs/>
                <w:kern w:val="0"/>
                <w:lang w:val="es-ES"/>
                <w14:ligatures w14:val="none"/>
              </w:rPr>
              <w:t xml:space="preserve"> </w:t>
            </w:r>
            <w:proofErr w:type="spellStart"/>
            <w:r w:rsidRPr="009257E7">
              <w:rPr>
                <w:rFonts w:ascii="Times New Roman" w:eastAsia="Times New Roman" w:hAnsi="Times New Roman" w:cs="Times New Roman"/>
                <w:b/>
                <w:bCs/>
                <w:kern w:val="0"/>
                <w:lang w:val="es-ES"/>
                <w14:ligatures w14:val="none"/>
              </w:rPr>
              <w:t>Studies</w:t>
            </w:r>
            <w:proofErr w:type="spellEnd"/>
            <w:r w:rsidRPr="009257E7">
              <w:rPr>
                <w:rFonts w:ascii="Times New Roman" w:eastAsia="Times New Roman" w:hAnsi="Times New Roman" w:cs="Times New Roman"/>
                <w:b/>
                <w:bCs/>
                <w:kern w:val="0"/>
                <w:lang w:val="es-ES"/>
                <w14:ligatures w14:val="none"/>
              </w:rPr>
              <w:t>—:</w:t>
            </w:r>
            <w:r w:rsidRPr="009257E7">
              <w:rPr>
                <w:rFonts w:ascii="Times New Roman" w:eastAsia="Times New Roman" w:hAnsi="Times New Roman" w:cs="Times New Roman"/>
                <w:kern w:val="0"/>
                <w:lang w:val="es-ES"/>
                <w14:ligatures w14:val="none"/>
              </w:rPr>
              <w:t xml:space="preserve"> Coloca la discapacidad junto a otras escuelas centradas en la identidad. Deconstruye las nociones </w:t>
            </w:r>
            <w:r w:rsidRPr="009257E7">
              <w:rPr>
                <w:rFonts w:ascii="Times New Roman" w:eastAsia="Times New Roman" w:hAnsi="Times New Roman" w:cs="Times New Roman"/>
                <w:kern w:val="0"/>
                <w:lang w:val="es-ES"/>
                <w14:ligatures w14:val="none"/>
              </w:rPr>
              <w:lastRenderedPageBreak/>
              <w:t>jurídicas de capacidad y discapacidad. Se preocupa por la accesibilidad de los aspectos sociales y jurídicos de la vida.</w:t>
            </w:r>
          </w:p>
          <w:p w14:paraId="63FC0604" w14:textId="4343EB45" w:rsidR="00960EE0" w:rsidRPr="009257E7" w:rsidRDefault="00960EE0" w:rsidP="00960EE0">
            <w:pPr>
              <w:spacing w:before="100" w:beforeAutospacing="1" w:after="100" w:afterAutospacing="1"/>
              <w:rPr>
                <w:rFonts w:ascii="Times New Roman" w:eastAsia="Times New Roman" w:hAnsi="Times New Roman" w:cs="Times New Roman"/>
                <w:kern w:val="0"/>
                <w:lang w:val="es-ES"/>
                <w14:ligatures w14:val="none"/>
              </w:rPr>
            </w:pPr>
            <w:proofErr w:type="spellStart"/>
            <w:r w:rsidRPr="009257E7">
              <w:rPr>
                <w:rFonts w:ascii="Times New Roman" w:eastAsia="Times New Roman" w:hAnsi="Times New Roman" w:cs="Times New Roman"/>
                <w:b/>
                <w:bCs/>
                <w:kern w:val="0"/>
                <w:lang w:val="es-ES"/>
                <w14:ligatures w14:val="none"/>
              </w:rPr>
              <w:t>Environmental</w:t>
            </w:r>
            <w:proofErr w:type="spellEnd"/>
            <w:r w:rsidRPr="009257E7">
              <w:rPr>
                <w:rFonts w:ascii="Times New Roman" w:eastAsia="Times New Roman" w:hAnsi="Times New Roman" w:cs="Times New Roman"/>
                <w:b/>
                <w:bCs/>
                <w:kern w:val="0"/>
                <w:lang w:val="es-ES"/>
                <w14:ligatures w14:val="none"/>
              </w:rPr>
              <w:t xml:space="preserve"> Justice:</w:t>
            </w:r>
            <w:r w:rsidRPr="009257E7">
              <w:rPr>
                <w:rFonts w:ascii="Times New Roman" w:eastAsia="Times New Roman" w:hAnsi="Times New Roman" w:cs="Times New Roman"/>
                <w:kern w:val="0"/>
                <w:lang w:val="es-ES"/>
                <w14:ligatures w14:val="none"/>
              </w:rPr>
              <w:t xml:space="preserve"> </w:t>
            </w:r>
            <w:r w:rsidR="00ED32FC" w:rsidRPr="009257E7">
              <w:rPr>
                <w:rFonts w:ascii="Times New Roman" w:eastAsia="Times New Roman" w:hAnsi="Times New Roman" w:cs="Times New Roman"/>
                <w:kern w:val="0"/>
                <w:lang w:val="es-ES"/>
                <w14:ligatures w14:val="none"/>
              </w:rPr>
              <w:t>Cartografía</w:t>
            </w:r>
            <w:r w:rsidRPr="009257E7">
              <w:rPr>
                <w:rFonts w:ascii="Times New Roman" w:eastAsia="Times New Roman" w:hAnsi="Times New Roman" w:cs="Times New Roman"/>
                <w:kern w:val="0"/>
                <w:lang w:val="es-ES"/>
                <w14:ligatures w14:val="none"/>
              </w:rPr>
              <w:t xml:space="preserve"> la relación entre identidades sociales y riesgos ambientales. Busca detener la degradación ambiental. Es transnacional.</w:t>
            </w:r>
          </w:p>
          <w:p w14:paraId="567FAD5B" w14:textId="77777777" w:rsidR="00960EE0" w:rsidRPr="009257E7" w:rsidRDefault="00960EE0" w:rsidP="00960EE0">
            <w:pPr>
              <w:spacing w:before="100" w:beforeAutospacing="1" w:after="100" w:afterAutospacing="1"/>
              <w:rPr>
                <w:rFonts w:ascii="Times New Roman" w:eastAsia="Times New Roman" w:hAnsi="Times New Roman" w:cs="Times New Roman"/>
                <w:kern w:val="0"/>
                <w:lang w:val="es-ES"/>
                <w14:ligatures w14:val="none"/>
              </w:rPr>
            </w:pPr>
            <w:proofErr w:type="spellStart"/>
            <w:r w:rsidRPr="009257E7">
              <w:rPr>
                <w:rFonts w:ascii="Times New Roman" w:eastAsia="Times New Roman" w:hAnsi="Times New Roman" w:cs="Times New Roman"/>
                <w:b/>
                <w:bCs/>
                <w:kern w:val="0"/>
                <w:lang w:val="es-ES"/>
                <w14:ligatures w14:val="none"/>
              </w:rPr>
              <w:t>Feminism</w:t>
            </w:r>
            <w:proofErr w:type="spellEnd"/>
            <w:r w:rsidRPr="009257E7">
              <w:rPr>
                <w:rFonts w:ascii="Times New Roman" w:eastAsia="Times New Roman" w:hAnsi="Times New Roman" w:cs="Times New Roman"/>
                <w:b/>
                <w:bCs/>
                <w:kern w:val="0"/>
                <w:lang w:val="es-ES"/>
                <w14:ligatures w14:val="none"/>
              </w:rPr>
              <w:t>:</w:t>
            </w:r>
            <w:r w:rsidRPr="009257E7">
              <w:rPr>
                <w:rFonts w:ascii="Times New Roman" w:eastAsia="Times New Roman" w:hAnsi="Times New Roman" w:cs="Times New Roman"/>
                <w:kern w:val="0"/>
                <w:lang w:val="es-ES"/>
                <w14:ligatures w14:val="none"/>
              </w:rPr>
              <w:t xml:space="preserve"> Examina las relaciones de género social y jurídicamente. Cuestiona las nociones dominantes de igualdad y diferencia, especialmente entre hombres y mujeres. Confronta el patriarcado en el derecho y la sociedad.</w:t>
            </w:r>
          </w:p>
          <w:p w14:paraId="7B2A5718" w14:textId="3788DC8A" w:rsidR="00960EE0" w:rsidRPr="009257E7" w:rsidRDefault="00960EE0" w:rsidP="00960EE0">
            <w:pPr>
              <w:spacing w:before="100" w:beforeAutospacing="1" w:after="100" w:afterAutospacing="1"/>
              <w:rPr>
                <w:rFonts w:ascii="Times New Roman" w:eastAsia="Times New Roman" w:hAnsi="Times New Roman" w:cs="Times New Roman"/>
                <w:kern w:val="0"/>
                <w:lang w:val="es-ES"/>
                <w14:ligatures w14:val="none"/>
              </w:rPr>
            </w:pPr>
            <w:proofErr w:type="spellStart"/>
            <w:r w:rsidRPr="009257E7">
              <w:rPr>
                <w:rFonts w:ascii="Times New Roman" w:eastAsia="Times New Roman" w:hAnsi="Times New Roman" w:cs="Times New Roman"/>
                <w:b/>
                <w:bCs/>
                <w:kern w:val="0"/>
                <w:lang w:val="es-ES"/>
                <w14:ligatures w14:val="none"/>
              </w:rPr>
              <w:t>Indigenous</w:t>
            </w:r>
            <w:proofErr w:type="spellEnd"/>
            <w:r w:rsidRPr="009257E7">
              <w:rPr>
                <w:rFonts w:ascii="Times New Roman" w:eastAsia="Times New Roman" w:hAnsi="Times New Roman" w:cs="Times New Roman"/>
                <w:b/>
                <w:bCs/>
                <w:kern w:val="0"/>
                <w:lang w:val="es-ES"/>
                <w14:ligatures w14:val="none"/>
              </w:rPr>
              <w:t xml:space="preserve">/Indian </w:t>
            </w:r>
            <w:proofErr w:type="spellStart"/>
            <w:r w:rsidRPr="009257E7">
              <w:rPr>
                <w:rFonts w:ascii="Times New Roman" w:eastAsia="Times New Roman" w:hAnsi="Times New Roman" w:cs="Times New Roman"/>
                <w:b/>
                <w:bCs/>
                <w:kern w:val="0"/>
                <w:lang w:val="es-ES"/>
                <w14:ligatures w14:val="none"/>
              </w:rPr>
              <w:t>Scholarship</w:t>
            </w:r>
            <w:proofErr w:type="spellEnd"/>
            <w:r w:rsidRPr="009257E7">
              <w:rPr>
                <w:rFonts w:ascii="Times New Roman" w:eastAsia="Times New Roman" w:hAnsi="Times New Roman" w:cs="Times New Roman"/>
                <w:b/>
                <w:bCs/>
                <w:kern w:val="0"/>
                <w:lang w:val="es-ES"/>
                <w14:ligatures w14:val="none"/>
              </w:rPr>
              <w:t>:</w:t>
            </w:r>
            <w:r w:rsidRPr="009257E7">
              <w:rPr>
                <w:rFonts w:ascii="Times New Roman" w:eastAsia="Times New Roman" w:hAnsi="Times New Roman" w:cs="Times New Roman"/>
                <w:kern w:val="0"/>
                <w:lang w:val="es-ES"/>
                <w14:ligatures w14:val="none"/>
              </w:rPr>
              <w:t xml:space="preserve"> Estudia </w:t>
            </w:r>
            <w:r w:rsidR="00ED32FC" w:rsidRPr="009257E7">
              <w:rPr>
                <w:rFonts w:ascii="Times New Roman" w:eastAsia="Times New Roman" w:hAnsi="Times New Roman" w:cs="Times New Roman"/>
                <w:kern w:val="0"/>
                <w:lang w:val="es-ES"/>
                <w14:ligatures w14:val="none"/>
              </w:rPr>
              <w:t>el indigenismo</w:t>
            </w:r>
            <w:r w:rsidRPr="009257E7">
              <w:rPr>
                <w:rFonts w:ascii="Times New Roman" w:eastAsia="Times New Roman" w:hAnsi="Times New Roman" w:cs="Times New Roman"/>
                <w:kern w:val="0"/>
                <w:lang w:val="es-ES"/>
                <w14:ligatures w14:val="none"/>
              </w:rPr>
              <w:t xml:space="preserve"> en </w:t>
            </w:r>
            <w:r w:rsidR="00ED32FC" w:rsidRPr="009257E7">
              <w:rPr>
                <w:rFonts w:ascii="Times New Roman" w:eastAsia="Times New Roman" w:hAnsi="Times New Roman" w:cs="Times New Roman"/>
                <w:kern w:val="0"/>
                <w:lang w:val="es-ES"/>
                <w14:ligatures w14:val="none"/>
              </w:rPr>
              <w:t xml:space="preserve">los </w:t>
            </w:r>
            <w:r w:rsidRPr="009257E7">
              <w:rPr>
                <w:rFonts w:ascii="Times New Roman" w:eastAsia="Times New Roman" w:hAnsi="Times New Roman" w:cs="Times New Roman"/>
                <w:kern w:val="0"/>
                <w:lang w:val="es-ES"/>
                <w14:ligatures w14:val="none"/>
              </w:rPr>
              <w:t>Estados Unidos y globalmente como distinta de la raza, la etnicidad o la nacionalidad. Examina el colonialismo y sus legados para los pueblos originarios. Sus preocupaciones clave incluyen</w:t>
            </w:r>
            <w:r w:rsidR="00AE4A53" w:rsidRPr="009257E7">
              <w:rPr>
                <w:rFonts w:ascii="Times New Roman" w:eastAsia="Times New Roman" w:hAnsi="Times New Roman" w:cs="Times New Roman"/>
                <w:kern w:val="0"/>
                <w:lang w:val="es-ES"/>
                <w14:ligatures w14:val="none"/>
              </w:rPr>
              <w:t xml:space="preserve"> la</w:t>
            </w:r>
            <w:r w:rsidRPr="009257E7">
              <w:rPr>
                <w:rFonts w:ascii="Times New Roman" w:eastAsia="Times New Roman" w:hAnsi="Times New Roman" w:cs="Times New Roman"/>
                <w:kern w:val="0"/>
                <w:lang w:val="es-ES"/>
                <w14:ligatures w14:val="none"/>
              </w:rPr>
              <w:t xml:space="preserve"> tierra, </w:t>
            </w:r>
            <w:r w:rsidR="00AE4A53" w:rsidRPr="009257E7">
              <w:rPr>
                <w:rFonts w:ascii="Times New Roman" w:eastAsia="Times New Roman" w:hAnsi="Times New Roman" w:cs="Times New Roman"/>
                <w:kern w:val="0"/>
                <w:lang w:val="es-ES"/>
                <w14:ligatures w14:val="none"/>
              </w:rPr>
              <w:t xml:space="preserve">los </w:t>
            </w:r>
            <w:r w:rsidRPr="009257E7">
              <w:rPr>
                <w:rFonts w:ascii="Times New Roman" w:eastAsia="Times New Roman" w:hAnsi="Times New Roman" w:cs="Times New Roman"/>
                <w:kern w:val="0"/>
                <w:lang w:val="es-ES"/>
                <w14:ligatures w14:val="none"/>
              </w:rPr>
              <w:t xml:space="preserve">recursos, </w:t>
            </w:r>
            <w:r w:rsidR="00AE4A53" w:rsidRPr="009257E7">
              <w:rPr>
                <w:rFonts w:ascii="Times New Roman" w:eastAsia="Times New Roman" w:hAnsi="Times New Roman" w:cs="Times New Roman"/>
                <w:kern w:val="0"/>
                <w:lang w:val="es-ES"/>
                <w14:ligatures w14:val="none"/>
              </w:rPr>
              <w:t xml:space="preserve">la </w:t>
            </w:r>
            <w:r w:rsidRPr="009257E7">
              <w:rPr>
                <w:rFonts w:ascii="Times New Roman" w:eastAsia="Times New Roman" w:hAnsi="Times New Roman" w:cs="Times New Roman"/>
                <w:kern w:val="0"/>
                <w:lang w:val="es-ES"/>
                <w14:ligatures w14:val="none"/>
              </w:rPr>
              <w:t xml:space="preserve">identidad, </w:t>
            </w:r>
            <w:r w:rsidR="00AE4A53" w:rsidRPr="009257E7">
              <w:rPr>
                <w:rFonts w:ascii="Times New Roman" w:eastAsia="Times New Roman" w:hAnsi="Times New Roman" w:cs="Times New Roman"/>
                <w:kern w:val="0"/>
                <w:lang w:val="es-ES"/>
                <w14:ligatures w14:val="none"/>
              </w:rPr>
              <w:t xml:space="preserve">la </w:t>
            </w:r>
            <w:r w:rsidRPr="009257E7">
              <w:rPr>
                <w:rFonts w:ascii="Times New Roman" w:eastAsia="Times New Roman" w:hAnsi="Times New Roman" w:cs="Times New Roman"/>
                <w:kern w:val="0"/>
                <w:lang w:val="es-ES"/>
                <w14:ligatures w14:val="none"/>
              </w:rPr>
              <w:t xml:space="preserve">cultura y </w:t>
            </w:r>
            <w:r w:rsidR="00AE4A53" w:rsidRPr="009257E7">
              <w:rPr>
                <w:rFonts w:ascii="Times New Roman" w:eastAsia="Times New Roman" w:hAnsi="Times New Roman" w:cs="Times New Roman"/>
                <w:kern w:val="0"/>
                <w:lang w:val="es-ES"/>
                <w14:ligatures w14:val="none"/>
              </w:rPr>
              <w:t xml:space="preserve">la </w:t>
            </w:r>
            <w:r w:rsidRPr="009257E7">
              <w:rPr>
                <w:rFonts w:ascii="Times New Roman" w:eastAsia="Times New Roman" w:hAnsi="Times New Roman" w:cs="Times New Roman"/>
                <w:kern w:val="0"/>
                <w:lang w:val="es-ES"/>
                <w14:ligatures w14:val="none"/>
              </w:rPr>
              <w:t>autodeterminación.</w:t>
            </w:r>
          </w:p>
          <w:p w14:paraId="225C2829" w14:textId="16219483" w:rsidR="00960EE0" w:rsidRPr="009257E7" w:rsidRDefault="00960EE0" w:rsidP="00960EE0">
            <w:pPr>
              <w:spacing w:before="100" w:beforeAutospacing="1" w:after="100" w:afterAutospacing="1"/>
              <w:rPr>
                <w:rFonts w:ascii="Times New Roman" w:eastAsia="Times New Roman" w:hAnsi="Times New Roman" w:cs="Times New Roman"/>
                <w:kern w:val="0"/>
                <w:lang w:val="es-ES"/>
                <w14:ligatures w14:val="none"/>
              </w:rPr>
            </w:pPr>
            <w:proofErr w:type="spellStart"/>
            <w:r w:rsidRPr="009257E7">
              <w:rPr>
                <w:rFonts w:ascii="Times New Roman" w:eastAsia="Times New Roman" w:hAnsi="Times New Roman" w:cs="Times New Roman"/>
                <w:b/>
                <w:bCs/>
                <w:kern w:val="0"/>
                <w:lang w:val="es-ES"/>
                <w14:ligatures w14:val="none"/>
              </w:rPr>
              <w:t>LatCrit</w:t>
            </w:r>
            <w:proofErr w:type="spellEnd"/>
            <w:r w:rsidRPr="009257E7">
              <w:rPr>
                <w:rFonts w:ascii="Times New Roman" w:eastAsia="Times New Roman" w:hAnsi="Times New Roman" w:cs="Times New Roman"/>
                <w:b/>
                <w:bCs/>
                <w:kern w:val="0"/>
                <w:lang w:val="es-ES"/>
                <w14:ligatures w14:val="none"/>
              </w:rPr>
              <w:t xml:space="preserve"> Theory:</w:t>
            </w:r>
            <w:r w:rsidRPr="009257E7">
              <w:rPr>
                <w:rFonts w:ascii="Times New Roman" w:eastAsia="Times New Roman" w:hAnsi="Times New Roman" w:cs="Times New Roman"/>
                <w:kern w:val="0"/>
                <w:lang w:val="es-ES"/>
                <w14:ligatures w14:val="none"/>
              </w:rPr>
              <w:t xml:space="preserve"> Se enfoca en poblaciones latin</w:t>
            </w:r>
            <w:r w:rsidR="00AE4A53" w:rsidRPr="009257E7">
              <w:rPr>
                <w:rFonts w:ascii="Times New Roman" w:eastAsia="Times New Roman" w:hAnsi="Times New Roman" w:cs="Times New Roman"/>
                <w:kern w:val="0"/>
                <w:lang w:val="es-ES"/>
                <w14:ligatures w14:val="none"/>
              </w:rPr>
              <w:t>es</w:t>
            </w:r>
            <w:r w:rsidRPr="009257E7">
              <w:rPr>
                <w:rFonts w:ascii="Times New Roman" w:eastAsia="Times New Roman" w:hAnsi="Times New Roman" w:cs="Times New Roman"/>
                <w:kern w:val="0"/>
                <w:lang w:val="es-ES"/>
                <w14:ligatures w14:val="none"/>
              </w:rPr>
              <w:t>. Vincula lo local con lo global. Prioriza la praxis y la construcción de comunidad.</w:t>
            </w:r>
          </w:p>
          <w:p w14:paraId="447D6AB6" w14:textId="77777777" w:rsidR="00960EE0" w:rsidRPr="009257E7" w:rsidRDefault="00960EE0" w:rsidP="00960EE0">
            <w:pPr>
              <w:spacing w:before="100" w:beforeAutospacing="1" w:after="100" w:afterAutospacing="1"/>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b/>
                <w:bCs/>
                <w:kern w:val="0"/>
                <w:lang w:val="es-ES"/>
                <w14:ligatures w14:val="none"/>
              </w:rPr>
              <w:t xml:space="preserve">Law and </w:t>
            </w:r>
            <w:proofErr w:type="spellStart"/>
            <w:r w:rsidRPr="009257E7">
              <w:rPr>
                <w:rFonts w:ascii="Times New Roman" w:eastAsia="Times New Roman" w:hAnsi="Times New Roman" w:cs="Times New Roman"/>
                <w:b/>
                <w:bCs/>
                <w:kern w:val="0"/>
                <w:lang w:val="es-ES"/>
                <w14:ligatures w14:val="none"/>
              </w:rPr>
              <w:t>Society</w:t>
            </w:r>
            <w:proofErr w:type="spellEnd"/>
            <w:r w:rsidRPr="009257E7">
              <w:rPr>
                <w:rFonts w:ascii="Times New Roman" w:eastAsia="Times New Roman" w:hAnsi="Times New Roman" w:cs="Times New Roman"/>
                <w:b/>
                <w:bCs/>
                <w:kern w:val="0"/>
                <w:lang w:val="es-ES"/>
                <w14:ligatures w14:val="none"/>
              </w:rPr>
              <w:t>:</w:t>
            </w:r>
            <w:r w:rsidRPr="009257E7">
              <w:rPr>
                <w:rFonts w:ascii="Times New Roman" w:eastAsia="Times New Roman" w:hAnsi="Times New Roman" w:cs="Times New Roman"/>
                <w:kern w:val="0"/>
                <w:lang w:val="es-ES"/>
                <w14:ligatures w14:val="none"/>
              </w:rPr>
              <w:t xml:space="preserve"> Analiza el “derecho en acción” —tal como se aplica— en lugar del derecho tal como está escrito. Enfatiza enfoques empíricos y transnacionales del derecho. Emplea estudios interdisciplinarios para comprender el derecho.</w:t>
            </w:r>
          </w:p>
          <w:p w14:paraId="1A739C57" w14:textId="77777777" w:rsidR="00960EE0" w:rsidRPr="009257E7" w:rsidRDefault="00960EE0" w:rsidP="00960EE0">
            <w:pPr>
              <w:spacing w:before="100" w:beforeAutospacing="1" w:after="100" w:afterAutospacing="1"/>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b/>
                <w:bCs/>
                <w:kern w:val="0"/>
                <w:lang w:val="es-ES"/>
                <w14:ligatures w14:val="none"/>
              </w:rPr>
              <w:t xml:space="preserve">NAIL/TWAIL —“New </w:t>
            </w:r>
            <w:proofErr w:type="spellStart"/>
            <w:proofErr w:type="gramStart"/>
            <w:r w:rsidRPr="009257E7">
              <w:rPr>
                <w:rFonts w:ascii="Times New Roman" w:eastAsia="Times New Roman" w:hAnsi="Times New Roman" w:cs="Times New Roman"/>
                <w:b/>
                <w:bCs/>
                <w:kern w:val="0"/>
                <w:lang w:val="es-ES"/>
                <w14:ligatures w14:val="none"/>
              </w:rPr>
              <w:t>Approaches</w:t>
            </w:r>
            <w:proofErr w:type="spellEnd"/>
            <w:r w:rsidRPr="009257E7">
              <w:rPr>
                <w:rFonts w:ascii="Times New Roman" w:eastAsia="Times New Roman" w:hAnsi="Times New Roman" w:cs="Times New Roman"/>
                <w:b/>
                <w:bCs/>
                <w:kern w:val="0"/>
                <w:lang w:val="es-ES"/>
                <w14:ligatures w14:val="none"/>
              </w:rPr>
              <w:t>”/</w:t>
            </w:r>
            <w:proofErr w:type="gramEnd"/>
            <w:r w:rsidRPr="009257E7">
              <w:rPr>
                <w:rFonts w:ascii="Times New Roman" w:eastAsia="Times New Roman" w:hAnsi="Times New Roman" w:cs="Times New Roman"/>
                <w:b/>
                <w:bCs/>
                <w:kern w:val="0"/>
                <w:lang w:val="es-ES"/>
                <w14:ligatures w14:val="none"/>
              </w:rPr>
              <w:t xml:space="preserve">“Third World </w:t>
            </w:r>
            <w:proofErr w:type="spellStart"/>
            <w:r w:rsidRPr="009257E7">
              <w:rPr>
                <w:rFonts w:ascii="Times New Roman" w:eastAsia="Times New Roman" w:hAnsi="Times New Roman" w:cs="Times New Roman"/>
                <w:b/>
                <w:bCs/>
                <w:kern w:val="0"/>
                <w:lang w:val="es-ES"/>
                <w14:ligatures w14:val="none"/>
              </w:rPr>
              <w:t>Approaches</w:t>
            </w:r>
            <w:proofErr w:type="spellEnd"/>
            <w:r w:rsidRPr="009257E7">
              <w:rPr>
                <w:rFonts w:ascii="Times New Roman" w:eastAsia="Times New Roman" w:hAnsi="Times New Roman" w:cs="Times New Roman"/>
                <w:b/>
                <w:bCs/>
                <w:kern w:val="0"/>
                <w:lang w:val="es-ES"/>
                <w14:ligatures w14:val="none"/>
              </w:rPr>
              <w:t xml:space="preserve">” </w:t>
            </w:r>
            <w:proofErr w:type="spellStart"/>
            <w:r w:rsidRPr="009257E7">
              <w:rPr>
                <w:rFonts w:ascii="Times New Roman" w:eastAsia="Times New Roman" w:hAnsi="Times New Roman" w:cs="Times New Roman"/>
                <w:b/>
                <w:bCs/>
                <w:kern w:val="0"/>
                <w:lang w:val="es-ES"/>
                <w14:ligatures w14:val="none"/>
              </w:rPr>
              <w:t>to</w:t>
            </w:r>
            <w:proofErr w:type="spellEnd"/>
            <w:r w:rsidRPr="009257E7">
              <w:rPr>
                <w:rFonts w:ascii="Times New Roman" w:eastAsia="Times New Roman" w:hAnsi="Times New Roman" w:cs="Times New Roman"/>
                <w:b/>
                <w:bCs/>
                <w:kern w:val="0"/>
                <w:lang w:val="es-ES"/>
                <w14:ligatures w14:val="none"/>
              </w:rPr>
              <w:t xml:space="preserve"> International Law—:</w:t>
            </w:r>
            <w:r w:rsidRPr="009257E7">
              <w:rPr>
                <w:rFonts w:ascii="Times New Roman" w:eastAsia="Times New Roman" w:hAnsi="Times New Roman" w:cs="Times New Roman"/>
                <w:kern w:val="0"/>
                <w:lang w:val="es-ES"/>
                <w14:ligatures w14:val="none"/>
              </w:rPr>
              <w:t xml:space="preserve"> Se enfoca en el sistema jurídico internacional y en los efectos contemporáneos del colonialismo. Se asocia con los estudios subalternos.</w:t>
            </w:r>
          </w:p>
          <w:p w14:paraId="60416F60" w14:textId="77777777" w:rsidR="00960EE0" w:rsidRPr="009257E7" w:rsidRDefault="00960EE0" w:rsidP="00960EE0">
            <w:pPr>
              <w:spacing w:before="100" w:beforeAutospacing="1" w:after="100" w:afterAutospacing="1"/>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b/>
                <w:bCs/>
                <w:kern w:val="0"/>
                <w:lang w:val="es-ES"/>
                <w14:ligatures w14:val="none"/>
              </w:rPr>
              <w:t xml:space="preserve">Queer Theory/Trans </w:t>
            </w:r>
            <w:proofErr w:type="spellStart"/>
            <w:r w:rsidRPr="009257E7">
              <w:rPr>
                <w:rFonts w:ascii="Times New Roman" w:eastAsia="Times New Roman" w:hAnsi="Times New Roman" w:cs="Times New Roman"/>
                <w:b/>
                <w:bCs/>
                <w:kern w:val="0"/>
                <w:lang w:val="es-ES"/>
                <w14:ligatures w14:val="none"/>
              </w:rPr>
              <w:t>Studies</w:t>
            </w:r>
            <w:proofErr w:type="spellEnd"/>
            <w:r w:rsidRPr="009257E7">
              <w:rPr>
                <w:rFonts w:ascii="Times New Roman" w:eastAsia="Times New Roman" w:hAnsi="Times New Roman" w:cs="Times New Roman"/>
                <w:b/>
                <w:bCs/>
                <w:kern w:val="0"/>
                <w:lang w:val="es-ES"/>
                <w14:ligatures w14:val="none"/>
              </w:rPr>
              <w:t>:</w:t>
            </w:r>
            <w:r w:rsidRPr="009257E7">
              <w:rPr>
                <w:rFonts w:ascii="Times New Roman" w:eastAsia="Times New Roman" w:hAnsi="Times New Roman" w:cs="Times New Roman"/>
                <w:kern w:val="0"/>
                <w:lang w:val="es-ES"/>
                <w14:ligatures w14:val="none"/>
              </w:rPr>
              <w:t xml:space="preserve"> Emplea el sexo, la orientación sexual y la identidad de género para combatir la subordinación jurídica de minorías sexuales, tanto cis como trans. Desafía la homofobia, la transfobia y el heterosexismo social y jurídicamente. Busca la igualdad formal y también la liberación social.</w:t>
            </w:r>
          </w:p>
          <w:p w14:paraId="495A9170" w14:textId="77777777" w:rsidR="00960EE0" w:rsidRPr="009257E7" w:rsidRDefault="00960EE0" w:rsidP="00960EE0">
            <w:pPr>
              <w:spacing w:before="100" w:beforeAutospacing="1" w:after="100" w:afterAutospacing="1"/>
              <w:rPr>
                <w:rFonts w:ascii="Times New Roman" w:eastAsia="Times New Roman" w:hAnsi="Times New Roman" w:cs="Times New Roman"/>
                <w:kern w:val="0"/>
                <w:lang w:val="es-ES"/>
                <w14:ligatures w14:val="none"/>
              </w:rPr>
            </w:pPr>
            <w:proofErr w:type="spellStart"/>
            <w:r w:rsidRPr="009257E7">
              <w:rPr>
                <w:rFonts w:ascii="Times New Roman" w:eastAsia="Times New Roman" w:hAnsi="Times New Roman" w:cs="Times New Roman"/>
                <w:b/>
                <w:bCs/>
                <w:kern w:val="0"/>
                <w:lang w:val="es-ES"/>
                <w14:ligatures w14:val="none"/>
              </w:rPr>
              <w:t>Realism</w:t>
            </w:r>
            <w:proofErr w:type="spellEnd"/>
            <w:r w:rsidRPr="009257E7">
              <w:rPr>
                <w:rFonts w:ascii="Times New Roman" w:eastAsia="Times New Roman" w:hAnsi="Times New Roman" w:cs="Times New Roman"/>
                <w:b/>
                <w:bCs/>
                <w:kern w:val="0"/>
                <w:lang w:val="es-ES"/>
                <w14:ligatures w14:val="none"/>
              </w:rPr>
              <w:t>:</w:t>
            </w:r>
            <w:r w:rsidRPr="009257E7">
              <w:rPr>
                <w:rFonts w:ascii="Times New Roman" w:eastAsia="Times New Roman" w:hAnsi="Times New Roman" w:cs="Times New Roman"/>
                <w:kern w:val="0"/>
                <w:lang w:val="es-ES"/>
                <w14:ligatures w14:val="none"/>
              </w:rPr>
              <w:t xml:space="preserve"> Responde a la jurisprudencia “mecánica” del formalismo jurídico. Desplaza la atención de la lógica abstracta hacia los hechos sociales. A veces se denomina jurisprudencia “sociológica”.</w:t>
            </w:r>
          </w:p>
          <w:p w14:paraId="5469E441" w14:textId="235B2B9A" w:rsidR="00960EE0" w:rsidRPr="009257E7" w:rsidRDefault="00960EE0" w:rsidP="00960EE0">
            <w:pPr>
              <w:spacing w:before="100" w:beforeAutospacing="1" w:after="100" w:afterAutospacing="1"/>
              <w:rPr>
                <w:rFonts w:ascii="Times New Roman" w:eastAsia="Times New Roman" w:hAnsi="Times New Roman" w:cs="Times New Roman"/>
                <w:kern w:val="0"/>
                <w:lang w:val="es-ES"/>
                <w14:ligatures w14:val="none"/>
              </w:rPr>
            </w:pPr>
            <w:proofErr w:type="spellStart"/>
            <w:r w:rsidRPr="009257E7">
              <w:rPr>
                <w:rFonts w:ascii="Times New Roman" w:eastAsia="Times New Roman" w:hAnsi="Times New Roman" w:cs="Times New Roman"/>
                <w:b/>
                <w:bCs/>
                <w:kern w:val="0"/>
                <w:lang w:val="es-ES"/>
                <w14:ligatures w14:val="none"/>
              </w:rPr>
              <w:t>Therapeutic</w:t>
            </w:r>
            <w:proofErr w:type="spellEnd"/>
            <w:r w:rsidRPr="009257E7">
              <w:rPr>
                <w:rFonts w:ascii="Times New Roman" w:eastAsia="Times New Roman" w:hAnsi="Times New Roman" w:cs="Times New Roman"/>
                <w:b/>
                <w:bCs/>
                <w:kern w:val="0"/>
                <w:lang w:val="es-ES"/>
                <w14:ligatures w14:val="none"/>
              </w:rPr>
              <w:t xml:space="preserve"> </w:t>
            </w:r>
            <w:proofErr w:type="spellStart"/>
            <w:r w:rsidRPr="009257E7">
              <w:rPr>
                <w:rFonts w:ascii="Times New Roman" w:eastAsia="Times New Roman" w:hAnsi="Times New Roman" w:cs="Times New Roman"/>
                <w:b/>
                <w:bCs/>
                <w:kern w:val="0"/>
                <w:lang w:val="es-ES"/>
                <w14:ligatures w14:val="none"/>
              </w:rPr>
              <w:t>Jurisprudence</w:t>
            </w:r>
            <w:proofErr w:type="spellEnd"/>
            <w:r w:rsidRPr="009257E7">
              <w:rPr>
                <w:rFonts w:ascii="Times New Roman" w:eastAsia="Times New Roman" w:hAnsi="Times New Roman" w:cs="Times New Roman"/>
                <w:b/>
                <w:bCs/>
                <w:kern w:val="0"/>
                <w:lang w:val="es-ES"/>
                <w14:ligatures w14:val="none"/>
              </w:rPr>
              <w:t>:</w:t>
            </w:r>
            <w:r w:rsidRPr="009257E7">
              <w:rPr>
                <w:rFonts w:ascii="Times New Roman" w:eastAsia="Times New Roman" w:hAnsi="Times New Roman" w:cs="Times New Roman"/>
                <w:kern w:val="0"/>
                <w:lang w:val="es-ES"/>
                <w14:ligatures w14:val="none"/>
              </w:rPr>
              <w:t xml:space="preserve"> Centra el bienestar individual y social como propósito clave del sistema jurídico. La angustia jurídica crónica contradice la justicia igualitaria. Los remedios jurídicos deben promover la sanación y el bienestar sociales.</w:t>
            </w:r>
          </w:p>
        </w:tc>
      </w:tr>
    </w:tbl>
    <w:p w14:paraId="1E0E7AC3" w14:textId="684FDEA8" w:rsidR="00810F2C" w:rsidRPr="009257E7" w:rsidRDefault="00810F2C" w:rsidP="00D00DF0">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lastRenderedPageBreak/>
        <w:t>No es casualidad que estas escuelas reflejen las preocupaciones colectivas de grupos basados en identidades sociales que van desde la clase, la raza y la etnicidad hasta el sexo, la sexualidad y la discapacidad. Estos se encuentran entre los grupos basados en la identidad empujados hacia abajo en el orden social y económico</w:t>
      </w:r>
      <w:r w:rsidR="00D00DF0" w:rsidRPr="009257E7">
        <w:rPr>
          <w:rFonts w:ascii="Times New Roman" w:eastAsia="Times New Roman" w:hAnsi="Times New Roman" w:cs="Times New Roman"/>
          <w:kern w:val="0"/>
          <w:lang w:val="es-ES"/>
          <w14:ligatures w14:val="none"/>
        </w:rPr>
        <w:t>,</w:t>
      </w:r>
      <w:r w:rsidRPr="009257E7">
        <w:rPr>
          <w:rFonts w:ascii="Times New Roman" w:eastAsia="Times New Roman" w:hAnsi="Times New Roman" w:cs="Times New Roman"/>
          <w:kern w:val="0"/>
          <w:lang w:val="es-ES"/>
          <w14:ligatures w14:val="none"/>
        </w:rPr>
        <w:t xml:space="preserve"> por el derecho como sistema. Este cuadro, por tanto, ofrece un panorama de las identidades sociales usadas por grupos dominantes durante los tiempos coloniales o desde entonces, así como de las respuestas de </w:t>
      </w:r>
      <w:proofErr w:type="spellStart"/>
      <w:r w:rsidRPr="009257E7">
        <w:rPr>
          <w:rFonts w:ascii="Times New Roman" w:eastAsia="Times New Roman" w:hAnsi="Times New Roman" w:cs="Times New Roman"/>
          <w:kern w:val="0"/>
          <w:lang w:val="es-ES"/>
          <w14:ligatures w14:val="none"/>
        </w:rPr>
        <w:t>académicxs</w:t>
      </w:r>
      <w:proofErr w:type="spellEnd"/>
      <w:r w:rsidRPr="009257E7">
        <w:rPr>
          <w:rFonts w:ascii="Times New Roman" w:eastAsia="Times New Roman" w:hAnsi="Times New Roman" w:cs="Times New Roman"/>
          <w:kern w:val="0"/>
          <w:lang w:val="es-ES"/>
          <w14:ligatures w14:val="none"/>
        </w:rPr>
        <w:t xml:space="preserve"> </w:t>
      </w:r>
      <w:r w:rsidRPr="009257E7">
        <w:rPr>
          <w:rFonts w:ascii="Times New Roman" w:eastAsia="Times New Roman" w:hAnsi="Times New Roman" w:cs="Times New Roman"/>
          <w:kern w:val="0"/>
          <w:lang w:val="es-ES"/>
          <w14:ligatures w14:val="none"/>
        </w:rPr>
        <w:lastRenderedPageBreak/>
        <w:t>jurídicos que intentan producir conocimiento relevante para soluciones desde abajo</w:t>
      </w:r>
      <w:r w:rsidR="00512335" w:rsidRPr="009257E7">
        <w:rPr>
          <w:rFonts w:ascii="Times New Roman" w:eastAsia="Times New Roman" w:hAnsi="Times New Roman" w:cs="Times New Roman"/>
          <w:kern w:val="0"/>
          <w:lang w:val="es-ES"/>
          <w14:ligatures w14:val="none"/>
        </w:rPr>
        <w:t>,</w:t>
      </w:r>
      <w:r w:rsidRPr="009257E7">
        <w:rPr>
          <w:rFonts w:ascii="Times New Roman" w:eastAsia="Times New Roman" w:hAnsi="Times New Roman" w:cs="Times New Roman"/>
          <w:kern w:val="0"/>
          <w:lang w:val="es-ES"/>
          <w14:ligatures w14:val="none"/>
        </w:rPr>
        <w:t xml:space="preserve"> frente a la injusticia.</w:t>
      </w:r>
    </w:p>
    <w:p w14:paraId="2C885B64" w14:textId="784695A0" w:rsidR="00810F2C" w:rsidRPr="009257E7" w:rsidRDefault="00810F2C" w:rsidP="00512335">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 xml:space="preserve">De manera similar, una variedad de enfoques de abogacía también surgió en décadas recientes para centrar las perspectivas críticas de la experiencia grupal con las luchas contra la injusticia sistémica. Estos enfoques desde abajo se desarrollaron “en el campo”, tanto de manera independiente como en interacción dinámica con las escuelas realistas y críticas —y viceversa—. Estos dos desarrollos históricos </w:t>
      </w:r>
      <w:r w:rsidR="00512335" w:rsidRPr="009257E7">
        <w:rPr>
          <w:rFonts w:ascii="Times New Roman" w:eastAsia="Times New Roman" w:hAnsi="Times New Roman" w:cs="Times New Roman"/>
          <w:kern w:val="0"/>
          <w:lang w:val="es-ES"/>
          <w14:ligatures w14:val="none"/>
        </w:rPr>
        <w:t>(</w:t>
      </w:r>
      <w:r w:rsidRPr="009257E7">
        <w:rPr>
          <w:rFonts w:ascii="Times New Roman" w:eastAsia="Times New Roman" w:hAnsi="Times New Roman" w:cs="Times New Roman"/>
          <w:kern w:val="0"/>
          <w:lang w:val="es-ES"/>
          <w14:ligatures w14:val="none"/>
        </w:rPr>
        <w:t>las escuelas y los enfoques</w:t>
      </w:r>
      <w:r w:rsidR="00512335" w:rsidRPr="009257E7">
        <w:rPr>
          <w:rFonts w:ascii="Times New Roman" w:eastAsia="Times New Roman" w:hAnsi="Times New Roman" w:cs="Times New Roman"/>
          <w:kern w:val="0"/>
          <w:lang w:val="es-ES"/>
          <w14:ligatures w14:val="none"/>
        </w:rPr>
        <w:t>)</w:t>
      </w:r>
      <w:r w:rsidRPr="009257E7">
        <w:rPr>
          <w:rFonts w:ascii="Times New Roman" w:eastAsia="Times New Roman" w:hAnsi="Times New Roman" w:cs="Times New Roman"/>
          <w:kern w:val="0"/>
          <w:lang w:val="es-ES"/>
          <w14:ligatures w14:val="none"/>
        </w:rPr>
        <w:t xml:space="preserve"> se reforzaron mutuamente de formas tanto intencionales como involuntarias. No sorprende, entonces, que estas escuelas y enfoques compartan ideas, proyectos, actores y aspiraciones comunes. Al igual que las escuelas, estos enfoques de abogacía ofrecen lecciones, perspectivas, conceptos, términos y técnicas clave para les abogades sistémiques. Es importante destacar que los nombres de estos enfoques </w:t>
      </w:r>
      <w:r w:rsidR="00E93553" w:rsidRPr="009257E7">
        <w:rPr>
          <w:rFonts w:ascii="Times New Roman" w:eastAsia="Times New Roman" w:hAnsi="Times New Roman" w:cs="Times New Roman"/>
          <w:kern w:val="0"/>
          <w:lang w:val="es-ES"/>
          <w14:ligatures w14:val="none"/>
        </w:rPr>
        <w:t>(</w:t>
      </w:r>
      <w:r w:rsidRPr="009257E7">
        <w:rPr>
          <w:rFonts w:ascii="Times New Roman" w:eastAsia="Times New Roman" w:hAnsi="Times New Roman" w:cs="Times New Roman"/>
          <w:kern w:val="0"/>
          <w:lang w:val="es-ES"/>
          <w14:ligatures w14:val="none"/>
        </w:rPr>
        <w:t>como los de las escuelas anteriores</w:t>
      </w:r>
      <w:r w:rsidR="00E93553" w:rsidRPr="009257E7">
        <w:rPr>
          <w:rFonts w:ascii="Times New Roman" w:eastAsia="Times New Roman" w:hAnsi="Times New Roman" w:cs="Times New Roman"/>
          <w:kern w:val="0"/>
          <w:lang w:val="es-ES"/>
          <w14:ligatures w14:val="none"/>
        </w:rPr>
        <w:t>)</w:t>
      </w:r>
      <w:r w:rsidRPr="009257E7">
        <w:rPr>
          <w:rFonts w:ascii="Times New Roman" w:eastAsia="Times New Roman" w:hAnsi="Times New Roman" w:cs="Times New Roman"/>
          <w:kern w:val="0"/>
          <w:lang w:val="es-ES"/>
          <w14:ligatures w14:val="none"/>
        </w:rPr>
        <w:t xml:space="preserve"> fueron desarrollados principalmente por practicantes y </w:t>
      </w:r>
      <w:proofErr w:type="spellStart"/>
      <w:r w:rsidRPr="009257E7">
        <w:rPr>
          <w:rFonts w:ascii="Times New Roman" w:eastAsia="Times New Roman" w:hAnsi="Times New Roman" w:cs="Times New Roman"/>
          <w:kern w:val="0"/>
          <w:lang w:val="es-ES"/>
          <w14:ligatures w14:val="none"/>
        </w:rPr>
        <w:t>académicxs</w:t>
      </w:r>
      <w:proofErr w:type="spellEnd"/>
      <w:r w:rsidRPr="009257E7">
        <w:rPr>
          <w:rFonts w:ascii="Times New Roman" w:eastAsia="Times New Roman" w:hAnsi="Times New Roman" w:cs="Times New Roman"/>
          <w:kern w:val="0"/>
          <w:lang w:val="es-ES"/>
          <w14:ligatures w14:val="none"/>
        </w:rPr>
        <w:t xml:space="preserve"> insertes en instituciones y cultura estadounidenses y occidentales, aunque a menudo surgieron del trabajo con comunidades marginadas locales y globales. Debido a que se desarrollaron principalmente con este sesgo occidental, los principios o </w:t>
      </w:r>
      <w:r w:rsidR="00E93553" w:rsidRPr="009257E7">
        <w:rPr>
          <w:rFonts w:ascii="Times New Roman" w:eastAsia="Times New Roman" w:hAnsi="Times New Roman" w:cs="Times New Roman"/>
          <w:kern w:val="0"/>
          <w:lang w:val="es-ES"/>
          <w14:ligatures w14:val="none"/>
        </w:rPr>
        <w:t xml:space="preserve">las </w:t>
      </w:r>
      <w:r w:rsidRPr="009257E7">
        <w:rPr>
          <w:rFonts w:ascii="Times New Roman" w:eastAsia="Times New Roman" w:hAnsi="Times New Roman" w:cs="Times New Roman"/>
          <w:kern w:val="0"/>
          <w:lang w:val="es-ES"/>
          <w14:ligatures w14:val="none"/>
        </w:rPr>
        <w:t>prácticas han sido usados, modificados y rechazados en otros contextos, y este proceso de desarrollo local-global continúa de generación en generación. Con estas salvedades, el Cuadro B ofrece una instantánea parcial de enfoques de abogacía, al describir las preocupaciones en las que más se enfocan.</w:t>
      </w:r>
    </w:p>
    <w:p w14:paraId="0626C8EC" w14:textId="77777777" w:rsidR="00810F2C" w:rsidRPr="009257E7" w:rsidRDefault="00810F2C" w:rsidP="00810F2C">
      <w:pPr>
        <w:spacing w:before="100" w:beforeAutospacing="1" w:after="100" w:afterAutospacing="1" w:line="240" w:lineRule="auto"/>
        <w:outlineLvl w:val="1"/>
        <w:rPr>
          <w:rFonts w:ascii="Times New Roman" w:eastAsia="Times New Roman" w:hAnsi="Times New Roman" w:cs="Times New Roman"/>
          <w:b/>
          <w:bCs/>
          <w:kern w:val="0"/>
          <w:lang w:val="es-ES"/>
          <w14:ligatures w14:val="none"/>
        </w:rPr>
      </w:pPr>
      <w:r w:rsidRPr="009257E7">
        <w:rPr>
          <w:rFonts w:ascii="Times New Roman" w:eastAsia="Times New Roman" w:hAnsi="Times New Roman" w:cs="Times New Roman"/>
          <w:b/>
          <w:bCs/>
          <w:kern w:val="0"/>
          <w:lang w:val="es-ES"/>
          <w14:ligatures w14:val="none"/>
        </w:rPr>
        <w:t>Cuadro B: “Enfoques” de abogacía sistémica</w:t>
      </w:r>
    </w:p>
    <w:tbl>
      <w:tblPr>
        <w:tblStyle w:val="TableGrid"/>
        <w:tblW w:w="0" w:type="auto"/>
        <w:tblLook w:val="04A0" w:firstRow="1" w:lastRow="0" w:firstColumn="1" w:lastColumn="0" w:noHBand="0" w:noVBand="1"/>
      </w:tblPr>
      <w:tblGrid>
        <w:gridCol w:w="5671"/>
        <w:gridCol w:w="3679"/>
      </w:tblGrid>
      <w:tr w:rsidR="00810F2C" w:rsidRPr="009257E7" w14:paraId="630830FF" w14:textId="77777777" w:rsidTr="00A771CC">
        <w:tc>
          <w:tcPr>
            <w:tcW w:w="0" w:type="auto"/>
            <w:hideMark/>
          </w:tcPr>
          <w:p w14:paraId="18F6C50D" w14:textId="77777777" w:rsidR="00810F2C" w:rsidRPr="009257E7" w:rsidRDefault="00810F2C" w:rsidP="00810F2C">
            <w:pPr>
              <w:jc w:val="center"/>
              <w:rPr>
                <w:rFonts w:ascii="Times New Roman" w:eastAsia="Times New Roman" w:hAnsi="Times New Roman" w:cs="Times New Roman"/>
                <w:b/>
                <w:bCs/>
                <w:kern w:val="0"/>
                <w:lang w:val="es-ES"/>
                <w14:ligatures w14:val="none"/>
              </w:rPr>
            </w:pPr>
            <w:r w:rsidRPr="009257E7">
              <w:rPr>
                <w:rFonts w:ascii="Times New Roman" w:eastAsia="Times New Roman" w:hAnsi="Times New Roman" w:cs="Times New Roman"/>
                <w:b/>
                <w:bCs/>
                <w:kern w:val="0"/>
                <w:lang w:val="es-ES"/>
                <w14:ligatures w14:val="none"/>
              </w:rPr>
              <w:t>Enfoques</w:t>
            </w:r>
          </w:p>
        </w:tc>
        <w:tc>
          <w:tcPr>
            <w:tcW w:w="0" w:type="auto"/>
            <w:hideMark/>
          </w:tcPr>
          <w:p w14:paraId="4DF249DB" w14:textId="77777777" w:rsidR="00810F2C" w:rsidRPr="009257E7" w:rsidRDefault="00810F2C" w:rsidP="00810F2C">
            <w:pPr>
              <w:jc w:val="center"/>
              <w:rPr>
                <w:rFonts w:ascii="Times New Roman" w:eastAsia="Times New Roman" w:hAnsi="Times New Roman" w:cs="Times New Roman"/>
                <w:b/>
                <w:bCs/>
                <w:kern w:val="0"/>
                <w:lang w:val="es-ES"/>
                <w14:ligatures w14:val="none"/>
              </w:rPr>
            </w:pPr>
            <w:r w:rsidRPr="009257E7">
              <w:rPr>
                <w:rFonts w:ascii="Times New Roman" w:eastAsia="Times New Roman" w:hAnsi="Times New Roman" w:cs="Times New Roman"/>
                <w:b/>
                <w:bCs/>
                <w:kern w:val="0"/>
                <w:lang w:val="es-ES"/>
                <w14:ligatures w14:val="none"/>
              </w:rPr>
              <w:t>Preocupaciones clave de solución de problemas</w:t>
            </w:r>
          </w:p>
        </w:tc>
      </w:tr>
      <w:tr w:rsidR="00810F2C" w:rsidRPr="009257E7" w14:paraId="719A5F36" w14:textId="77777777" w:rsidTr="00A771CC">
        <w:tc>
          <w:tcPr>
            <w:tcW w:w="0" w:type="auto"/>
            <w:hideMark/>
          </w:tcPr>
          <w:p w14:paraId="4C4C89B1" w14:textId="14B7E5BB" w:rsidR="00810F2C" w:rsidRPr="009257E7" w:rsidRDefault="00815329" w:rsidP="00810F2C">
            <w:pPr>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Abogacía por una causa, abogacía comunitaria, abogacía integradora, abogacía guerrillera, derecho y organización, abogacía de movimientos o movilización, abogacía revolucionaria</w:t>
            </w:r>
          </w:p>
        </w:tc>
        <w:tc>
          <w:tcPr>
            <w:tcW w:w="0" w:type="auto"/>
            <w:hideMark/>
          </w:tcPr>
          <w:p w14:paraId="2F4B2A16" w14:textId="77777777" w:rsidR="00810F2C" w:rsidRPr="009257E7" w:rsidRDefault="00810F2C" w:rsidP="00810F2C">
            <w:pPr>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Relaciones de les abogades con grupos, estrategias de organización, espacios de práctica y movimientos sociales</w:t>
            </w:r>
          </w:p>
        </w:tc>
      </w:tr>
      <w:tr w:rsidR="00810F2C" w:rsidRPr="009257E7" w14:paraId="44998350" w14:textId="77777777" w:rsidTr="00A771CC">
        <w:tc>
          <w:tcPr>
            <w:tcW w:w="0" w:type="auto"/>
            <w:hideMark/>
          </w:tcPr>
          <w:p w14:paraId="4A4396EC" w14:textId="04C0A094" w:rsidR="00810F2C" w:rsidRPr="009257E7" w:rsidRDefault="00815329" w:rsidP="00810F2C">
            <w:pPr>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Abogacía centrada en el cliente, abogacía colaborativa, abogacía crítica, abogacía facilitadora, abogacía rebelde, abogacía reconstructiva contra la pobreza, abogacía terapéutica</w:t>
            </w:r>
          </w:p>
        </w:tc>
        <w:tc>
          <w:tcPr>
            <w:tcW w:w="0" w:type="auto"/>
            <w:hideMark/>
          </w:tcPr>
          <w:p w14:paraId="1E01C2C3" w14:textId="77777777" w:rsidR="00810F2C" w:rsidRPr="009257E7" w:rsidRDefault="00810F2C" w:rsidP="00810F2C">
            <w:pPr>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Relaciones, voz, toma de decisiones y empoderamiento entre clientes, abogades y otres integrantes del equipo</w:t>
            </w:r>
          </w:p>
        </w:tc>
      </w:tr>
      <w:tr w:rsidR="00810F2C" w:rsidRPr="009257E7" w14:paraId="223BC1A8" w14:textId="77777777" w:rsidTr="00A771CC">
        <w:tc>
          <w:tcPr>
            <w:tcW w:w="0" w:type="auto"/>
            <w:hideMark/>
          </w:tcPr>
          <w:p w14:paraId="504F710C" w14:textId="20562770" w:rsidR="00810F2C" w:rsidRPr="009257E7" w:rsidRDefault="00815329" w:rsidP="00810F2C">
            <w:pPr>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Abogacía democrática, abogacía política, abogacía legislativa, abogacía contra la pobreza, abogacía de interés público, abogacía tridimensional, abogacía de derechos civiles, pragmatismo legal, abogacía popular, abogacía progresista, abogacía por la justicia social</w:t>
            </w:r>
          </w:p>
        </w:tc>
        <w:tc>
          <w:tcPr>
            <w:tcW w:w="0" w:type="auto"/>
            <w:hideMark/>
          </w:tcPr>
          <w:p w14:paraId="12B0C329" w14:textId="77777777" w:rsidR="00810F2C" w:rsidRPr="009257E7" w:rsidRDefault="00810F2C" w:rsidP="00810F2C">
            <w:pPr>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Procesos profesionales y sociales de toma de decisiones, roles, resistencia pública y resultados materiales para grupos subordinados</w:t>
            </w:r>
          </w:p>
        </w:tc>
      </w:tr>
    </w:tbl>
    <w:p w14:paraId="698101A0" w14:textId="7CC4391C" w:rsidR="00810F2C" w:rsidRPr="009257E7" w:rsidRDefault="00810F2C" w:rsidP="000055B6">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 xml:space="preserve">Al distinguir las escuelas y los enfoques en estos cuadros, no reciclamos la división entre teoría y práctica tan característica del formalismo. En cambio, buscamos apreciar cómo tanto las escuelas como los enfoques crean teoría, y cómo ambos ayudan a elaborar acciones, aunque quizás en espacios de práctica distintos y mediante métodos a veces diferentes. </w:t>
      </w:r>
      <w:r w:rsidR="00126360" w:rsidRPr="009257E7">
        <w:rPr>
          <w:rFonts w:ascii="Times New Roman" w:eastAsia="Times New Roman" w:hAnsi="Times New Roman" w:cs="Times New Roman"/>
          <w:kern w:val="0"/>
          <w:lang w:val="es-ES"/>
          <w14:ligatures w14:val="none"/>
        </w:rPr>
        <w:t>E</w:t>
      </w:r>
      <w:r w:rsidRPr="009257E7">
        <w:rPr>
          <w:rFonts w:ascii="Times New Roman" w:eastAsia="Times New Roman" w:hAnsi="Times New Roman" w:cs="Times New Roman"/>
          <w:kern w:val="0"/>
          <w:lang w:val="es-ES"/>
          <w14:ligatures w14:val="none"/>
        </w:rPr>
        <w:t xml:space="preserve">nfatizamos que la polinización cruzada mutua es la norma, no la excepción. El conocimiento crítico y la teoría se han desarrollado tanto a partir de experiencias </w:t>
      </w:r>
      <w:r w:rsidR="009B6F62" w:rsidRPr="009257E7">
        <w:rPr>
          <w:rFonts w:ascii="Times New Roman" w:eastAsia="Times New Roman" w:hAnsi="Times New Roman" w:cs="Times New Roman"/>
          <w:kern w:val="0"/>
          <w:lang w:val="es-ES"/>
          <w14:ligatures w14:val="none"/>
        </w:rPr>
        <w:t>académicas</w:t>
      </w:r>
      <w:r w:rsidRPr="009257E7">
        <w:rPr>
          <w:rFonts w:ascii="Times New Roman" w:eastAsia="Times New Roman" w:hAnsi="Times New Roman" w:cs="Times New Roman"/>
          <w:kern w:val="0"/>
          <w:lang w:val="es-ES"/>
          <w14:ligatures w14:val="none"/>
        </w:rPr>
        <w:t xml:space="preserve"> como </w:t>
      </w:r>
      <w:r w:rsidR="009B6F62" w:rsidRPr="009257E7">
        <w:rPr>
          <w:rFonts w:ascii="Times New Roman" w:eastAsia="Times New Roman" w:hAnsi="Times New Roman" w:cs="Times New Roman"/>
          <w:kern w:val="0"/>
          <w:lang w:val="es-ES"/>
          <w14:ligatures w14:val="none"/>
        </w:rPr>
        <w:t>de</w:t>
      </w:r>
      <w:r w:rsidRPr="009257E7">
        <w:rPr>
          <w:rFonts w:ascii="Times New Roman" w:eastAsia="Times New Roman" w:hAnsi="Times New Roman" w:cs="Times New Roman"/>
          <w:kern w:val="0"/>
          <w:lang w:val="es-ES"/>
          <w14:ligatures w14:val="none"/>
        </w:rPr>
        <w:t xml:space="preserve"> campo: un proceso histórico que continúa hasta hoy. Al explorar los enfoques y las escuelas como </w:t>
      </w:r>
      <w:r w:rsidR="009B6F62" w:rsidRPr="009257E7">
        <w:rPr>
          <w:rFonts w:ascii="Times New Roman" w:eastAsia="Times New Roman" w:hAnsi="Times New Roman" w:cs="Times New Roman"/>
          <w:kern w:val="0"/>
          <w:lang w:val="es-ES"/>
          <w14:ligatures w14:val="none"/>
        </w:rPr>
        <w:t>fuentes</w:t>
      </w:r>
      <w:r w:rsidRPr="009257E7">
        <w:rPr>
          <w:rFonts w:ascii="Times New Roman" w:eastAsia="Times New Roman" w:hAnsi="Times New Roman" w:cs="Times New Roman"/>
          <w:kern w:val="0"/>
          <w:lang w:val="es-ES"/>
          <w14:ligatures w14:val="none"/>
        </w:rPr>
        <w:t xml:space="preserve"> de conocimiento </w:t>
      </w:r>
      <w:r w:rsidR="009B6F62" w:rsidRPr="009257E7">
        <w:rPr>
          <w:rFonts w:ascii="Times New Roman" w:eastAsia="Times New Roman" w:hAnsi="Times New Roman" w:cs="Times New Roman"/>
          <w:kern w:val="0"/>
          <w:lang w:val="es-ES"/>
          <w14:ligatures w14:val="none"/>
        </w:rPr>
        <w:t>práctico</w:t>
      </w:r>
      <w:r w:rsidRPr="009257E7">
        <w:rPr>
          <w:rFonts w:ascii="Times New Roman" w:eastAsia="Times New Roman" w:hAnsi="Times New Roman" w:cs="Times New Roman"/>
          <w:kern w:val="0"/>
          <w:lang w:val="es-ES"/>
          <w14:ligatures w14:val="none"/>
        </w:rPr>
        <w:t xml:space="preserve">, les abogades obtienen perspectivas cada vez mayores para afilar continuamente su </w:t>
      </w:r>
      <w:r w:rsidRPr="009257E7">
        <w:rPr>
          <w:rFonts w:ascii="Times New Roman" w:eastAsia="Times New Roman" w:hAnsi="Times New Roman" w:cs="Times New Roman"/>
          <w:kern w:val="0"/>
          <w:lang w:val="es-ES"/>
          <w14:ligatures w14:val="none"/>
        </w:rPr>
        <w:lastRenderedPageBreak/>
        <w:t>capacidad de abogacía sistémica. Al combinar la experiencia personal y próxima con el conocimiento crítico, les abogades complementan aún más su investigación y aprendizaje con las lecciones de otras disciplinas.</w:t>
      </w:r>
      <w:r w:rsidR="00126360" w:rsidRPr="009257E7">
        <w:rPr>
          <w:rFonts w:ascii="Times New Roman" w:eastAsia="Times New Roman" w:hAnsi="Times New Roman" w:cs="Times New Roman"/>
          <w:kern w:val="0"/>
          <w:lang w:val="es-ES"/>
          <w14:ligatures w14:val="none"/>
        </w:rPr>
        <w:t xml:space="preserve"> </w:t>
      </w:r>
    </w:p>
    <w:p w14:paraId="15284ECA" w14:textId="2441E004" w:rsidR="00810F2C" w:rsidRPr="009257E7" w:rsidRDefault="00810F2C" w:rsidP="005A0E3D">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 xml:space="preserve">Hoy, entonces, las escuelas y los enfoques son conjuntamente </w:t>
      </w:r>
      <w:r w:rsidR="005A0E3D" w:rsidRPr="009257E7">
        <w:rPr>
          <w:rFonts w:ascii="Times New Roman" w:eastAsia="Times New Roman" w:hAnsi="Times New Roman" w:cs="Times New Roman"/>
          <w:kern w:val="0"/>
          <w:lang w:val="es-ES"/>
          <w14:ligatures w14:val="none"/>
        </w:rPr>
        <w:t>las fuentes</w:t>
      </w:r>
      <w:r w:rsidRPr="009257E7">
        <w:rPr>
          <w:rFonts w:ascii="Times New Roman" w:eastAsia="Times New Roman" w:hAnsi="Times New Roman" w:cs="Times New Roman"/>
          <w:kern w:val="0"/>
          <w:lang w:val="es-ES"/>
          <w14:ligatures w14:val="none"/>
        </w:rPr>
        <w:t xml:space="preserve"> de l</w:t>
      </w:r>
      <w:r w:rsidR="005A0E3D" w:rsidRPr="009257E7">
        <w:rPr>
          <w:rFonts w:ascii="Times New Roman" w:eastAsia="Times New Roman" w:hAnsi="Times New Roman" w:cs="Times New Roman"/>
          <w:kern w:val="0"/>
          <w:lang w:val="es-ES"/>
          <w14:ligatures w14:val="none"/>
        </w:rPr>
        <w:t>a</w:t>
      </w:r>
      <w:r w:rsidRPr="009257E7">
        <w:rPr>
          <w:rFonts w:ascii="Times New Roman" w:eastAsia="Times New Roman" w:hAnsi="Times New Roman" w:cs="Times New Roman"/>
          <w:kern w:val="0"/>
          <w:lang w:val="es-ES"/>
          <w14:ligatures w14:val="none"/>
        </w:rPr>
        <w:t xml:space="preserve">s cuales activistas y abogades sistémiques extraen conocimiento crítico basado en la experiencia desde abajo, tanto </w:t>
      </w:r>
      <w:r w:rsidR="005A0E3D" w:rsidRPr="009257E7">
        <w:rPr>
          <w:rFonts w:ascii="Times New Roman" w:eastAsia="Times New Roman" w:hAnsi="Times New Roman" w:cs="Times New Roman"/>
          <w:kern w:val="0"/>
          <w:lang w:val="es-ES"/>
          <w14:ligatures w14:val="none"/>
        </w:rPr>
        <w:t>sobre</w:t>
      </w:r>
      <w:r w:rsidRPr="009257E7">
        <w:rPr>
          <w:rFonts w:ascii="Times New Roman" w:eastAsia="Times New Roman" w:hAnsi="Times New Roman" w:cs="Times New Roman"/>
          <w:kern w:val="0"/>
          <w:lang w:val="es-ES"/>
          <w14:ligatures w14:val="none"/>
        </w:rPr>
        <w:t xml:space="preserve"> la injusticia como </w:t>
      </w:r>
      <w:r w:rsidR="005A0E3D" w:rsidRPr="009257E7">
        <w:rPr>
          <w:rFonts w:ascii="Times New Roman" w:eastAsia="Times New Roman" w:hAnsi="Times New Roman" w:cs="Times New Roman"/>
          <w:kern w:val="0"/>
          <w:lang w:val="es-ES"/>
          <w14:ligatures w14:val="none"/>
        </w:rPr>
        <w:t>sobre</w:t>
      </w:r>
      <w:r w:rsidRPr="009257E7">
        <w:rPr>
          <w:rFonts w:ascii="Times New Roman" w:eastAsia="Times New Roman" w:hAnsi="Times New Roman" w:cs="Times New Roman"/>
          <w:kern w:val="0"/>
          <w:lang w:val="es-ES"/>
          <w14:ligatures w14:val="none"/>
        </w:rPr>
        <w:t xml:space="preserve"> las luchas contra ella. Esa experiencia acumulativa incluye luchar junto con grupos comunitarios para abordar problemas sociales persistentes de forma sistémica, luchar dentro de la profesión para sostener espacios y recursos para la abogacía sistémica, y luchar con une misme para cambiar prácticas personales y profesionales que impiden el progreso. Construidas sobre los hombros y las lecciones de abogades que lucharon antes, las escuelas y los enfoques son, en sí mismos, productos de la lucha histórica y la perseverancia continua, y siguen prosperando a pesar de los esfuerzos sistémicos desde arriba para cerrarlas. Tanto las escuelas como los enfoques son espacios e instrumentos de luchas continuas contra el Desafío Crítico.</w:t>
      </w:r>
    </w:p>
    <w:p w14:paraId="466351EE" w14:textId="5C328360" w:rsidR="00810F2C" w:rsidRPr="009257E7" w:rsidRDefault="00810F2C" w:rsidP="000B2974">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L</w:t>
      </w:r>
      <w:r w:rsidR="000B2974" w:rsidRPr="009257E7">
        <w:rPr>
          <w:rFonts w:ascii="Times New Roman" w:eastAsia="Times New Roman" w:hAnsi="Times New Roman" w:cs="Times New Roman"/>
          <w:kern w:val="0"/>
          <w:lang w:val="es-ES"/>
          <w14:ligatures w14:val="none"/>
        </w:rPr>
        <w:t>a</w:t>
      </w:r>
      <w:r w:rsidRPr="009257E7">
        <w:rPr>
          <w:rFonts w:ascii="Times New Roman" w:eastAsia="Times New Roman" w:hAnsi="Times New Roman" w:cs="Times New Roman"/>
          <w:kern w:val="0"/>
          <w:lang w:val="es-ES"/>
          <w14:ligatures w14:val="none"/>
        </w:rPr>
        <w:t xml:space="preserve">s </w:t>
      </w:r>
      <w:r w:rsidR="000B2974" w:rsidRPr="009257E7">
        <w:rPr>
          <w:rFonts w:ascii="Times New Roman" w:eastAsia="Times New Roman" w:hAnsi="Times New Roman" w:cs="Times New Roman"/>
          <w:kern w:val="0"/>
          <w:lang w:val="es-ES"/>
          <w14:ligatures w14:val="none"/>
        </w:rPr>
        <w:t>fuentes</w:t>
      </w:r>
      <w:r w:rsidRPr="009257E7">
        <w:rPr>
          <w:rFonts w:ascii="Times New Roman" w:eastAsia="Times New Roman" w:hAnsi="Times New Roman" w:cs="Times New Roman"/>
          <w:kern w:val="0"/>
          <w:lang w:val="es-ES"/>
          <w14:ligatures w14:val="none"/>
        </w:rPr>
        <w:t xml:space="preserve"> colectiv</w:t>
      </w:r>
      <w:r w:rsidR="000B2974" w:rsidRPr="009257E7">
        <w:rPr>
          <w:rFonts w:ascii="Times New Roman" w:eastAsia="Times New Roman" w:hAnsi="Times New Roman" w:cs="Times New Roman"/>
          <w:kern w:val="0"/>
          <w:lang w:val="es-ES"/>
          <w14:ligatures w14:val="none"/>
        </w:rPr>
        <w:t>a</w:t>
      </w:r>
      <w:r w:rsidRPr="009257E7">
        <w:rPr>
          <w:rFonts w:ascii="Times New Roman" w:eastAsia="Times New Roman" w:hAnsi="Times New Roman" w:cs="Times New Roman"/>
          <w:kern w:val="0"/>
          <w:lang w:val="es-ES"/>
          <w14:ligatures w14:val="none"/>
        </w:rPr>
        <w:t>s y acumulativ</w:t>
      </w:r>
      <w:r w:rsidR="000B2974" w:rsidRPr="009257E7">
        <w:rPr>
          <w:rFonts w:ascii="Times New Roman" w:eastAsia="Times New Roman" w:hAnsi="Times New Roman" w:cs="Times New Roman"/>
          <w:kern w:val="0"/>
          <w:lang w:val="es-ES"/>
          <w14:ligatures w14:val="none"/>
        </w:rPr>
        <w:t>a</w:t>
      </w:r>
      <w:r w:rsidRPr="009257E7">
        <w:rPr>
          <w:rFonts w:ascii="Times New Roman" w:eastAsia="Times New Roman" w:hAnsi="Times New Roman" w:cs="Times New Roman"/>
          <w:kern w:val="0"/>
          <w:lang w:val="es-ES"/>
          <w14:ligatures w14:val="none"/>
        </w:rPr>
        <w:t xml:space="preserve">s de conocimiento crítico ofrecen herramientas y perspectivas </w:t>
      </w:r>
      <w:r w:rsidR="000B2974" w:rsidRPr="009257E7">
        <w:rPr>
          <w:rFonts w:ascii="Times New Roman" w:eastAsia="Times New Roman" w:hAnsi="Times New Roman" w:cs="Times New Roman"/>
          <w:kern w:val="0"/>
          <w:lang w:val="es-ES"/>
          <w14:ligatures w14:val="none"/>
        </w:rPr>
        <w:t>pr</w:t>
      </w:r>
      <w:r w:rsidR="00C51AF4" w:rsidRPr="009257E7">
        <w:rPr>
          <w:rFonts w:ascii="Times New Roman" w:eastAsia="Times New Roman" w:hAnsi="Times New Roman" w:cs="Times New Roman"/>
          <w:kern w:val="0"/>
          <w:lang w:val="es-ES"/>
          <w14:ligatures w14:val="none"/>
        </w:rPr>
        <w:t>á</w:t>
      </w:r>
      <w:r w:rsidR="000B2974" w:rsidRPr="009257E7">
        <w:rPr>
          <w:rFonts w:ascii="Times New Roman" w:eastAsia="Times New Roman" w:hAnsi="Times New Roman" w:cs="Times New Roman"/>
          <w:kern w:val="0"/>
          <w:lang w:val="es-ES"/>
          <w14:ligatures w14:val="none"/>
        </w:rPr>
        <w:t>ct</w:t>
      </w:r>
      <w:r w:rsidR="00C51AF4" w:rsidRPr="009257E7">
        <w:rPr>
          <w:rFonts w:ascii="Times New Roman" w:eastAsia="Times New Roman" w:hAnsi="Times New Roman" w:cs="Times New Roman"/>
          <w:kern w:val="0"/>
          <w:lang w:val="es-ES"/>
          <w14:ligatures w14:val="none"/>
        </w:rPr>
        <w:t>icas</w:t>
      </w:r>
      <w:r w:rsidRPr="009257E7">
        <w:rPr>
          <w:rFonts w:ascii="Times New Roman" w:eastAsia="Times New Roman" w:hAnsi="Times New Roman" w:cs="Times New Roman"/>
          <w:kern w:val="0"/>
          <w:lang w:val="es-ES"/>
          <w14:ligatures w14:val="none"/>
        </w:rPr>
        <w:t xml:space="preserve"> en contextos variados, pero también registran y recuerdan verdades potentes desde abajo, tanto históricas como actuales. Estas verdades críticas adquieren un valor especial cuando una sociedad está sometida sistemáticamente a campañas crecientes de engaño o desinformación desde arriba, como parec</w:t>
      </w:r>
      <w:r w:rsidR="00C51AF4" w:rsidRPr="009257E7">
        <w:rPr>
          <w:rFonts w:ascii="Times New Roman" w:eastAsia="Times New Roman" w:hAnsi="Times New Roman" w:cs="Times New Roman"/>
          <w:kern w:val="0"/>
          <w:lang w:val="es-ES"/>
          <w14:ligatures w14:val="none"/>
        </w:rPr>
        <w:t>e</w:t>
      </w:r>
      <w:r w:rsidRPr="009257E7">
        <w:rPr>
          <w:rFonts w:ascii="Times New Roman" w:eastAsia="Times New Roman" w:hAnsi="Times New Roman" w:cs="Times New Roman"/>
          <w:kern w:val="0"/>
          <w:lang w:val="es-ES"/>
          <w14:ligatures w14:val="none"/>
        </w:rPr>
        <w:t xml:space="preserve"> estar ocurriendo en </w:t>
      </w:r>
      <w:r w:rsidR="00C51AF4" w:rsidRPr="009257E7">
        <w:rPr>
          <w:rFonts w:ascii="Times New Roman" w:eastAsia="Times New Roman" w:hAnsi="Times New Roman" w:cs="Times New Roman"/>
          <w:kern w:val="0"/>
          <w:lang w:val="es-ES"/>
          <w14:ligatures w14:val="none"/>
        </w:rPr>
        <w:t xml:space="preserve">los </w:t>
      </w:r>
      <w:r w:rsidRPr="009257E7">
        <w:rPr>
          <w:rFonts w:ascii="Times New Roman" w:eastAsia="Times New Roman" w:hAnsi="Times New Roman" w:cs="Times New Roman"/>
          <w:kern w:val="0"/>
          <w:lang w:val="es-ES"/>
          <w14:ligatures w14:val="none"/>
        </w:rPr>
        <w:t>Estados Unidos</w:t>
      </w:r>
      <w:r w:rsidR="00C51AF4" w:rsidRPr="009257E7">
        <w:rPr>
          <w:rFonts w:ascii="Times New Roman" w:eastAsia="Times New Roman" w:hAnsi="Times New Roman" w:cs="Times New Roman"/>
          <w:kern w:val="0"/>
          <w:lang w:val="es-ES"/>
          <w14:ligatures w14:val="none"/>
        </w:rPr>
        <w:t>,</w:t>
      </w:r>
      <w:r w:rsidRPr="009257E7">
        <w:rPr>
          <w:rFonts w:ascii="Times New Roman" w:eastAsia="Times New Roman" w:hAnsi="Times New Roman" w:cs="Times New Roman"/>
          <w:kern w:val="0"/>
          <w:lang w:val="es-ES"/>
          <w14:ligatures w14:val="none"/>
        </w:rPr>
        <w:t xml:space="preserve"> desde comienzos de la década de 1990</w:t>
      </w:r>
      <w:r w:rsidR="00DC497E" w:rsidRPr="009257E7">
        <w:rPr>
          <w:rFonts w:ascii="Times New Roman" w:eastAsia="Times New Roman" w:hAnsi="Times New Roman" w:cs="Times New Roman"/>
          <w:kern w:val="0"/>
          <w:lang w:val="es-ES"/>
          <w14:ligatures w14:val="none"/>
        </w:rPr>
        <w:t xml:space="preserve">. También, </w:t>
      </w:r>
      <w:r w:rsidRPr="009257E7">
        <w:rPr>
          <w:rFonts w:ascii="Times New Roman" w:eastAsia="Times New Roman" w:hAnsi="Times New Roman" w:cs="Times New Roman"/>
          <w:kern w:val="0"/>
          <w:lang w:val="es-ES"/>
          <w14:ligatures w14:val="none"/>
        </w:rPr>
        <w:t>como se confirmó</w:t>
      </w:r>
      <w:r w:rsidR="00FC6265" w:rsidRPr="009257E7">
        <w:rPr>
          <w:rFonts w:ascii="Times New Roman" w:eastAsia="Times New Roman" w:hAnsi="Times New Roman" w:cs="Times New Roman"/>
          <w:kern w:val="0"/>
          <w:lang w:val="es-ES"/>
          <w14:ligatures w14:val="none"/>
        </w:rPr>
        <w:t>,</w:t>
      </w:r>
      <w:r w:rsidRPr="009257E7">
        <w:rPr>
          <w:rFonts w:ascii="Times New Roman" w:eastAsia="Times New Roman" w:hAnsi="Times New Roman" w:cs="Times New Roman"/>
          <w:kern w:val="0"/>
          <w:lang w:val="es-ES"/>
          <w14:ligatures w14:val="none"/>
        </w:rPr>
        <w:t xml:space="preserve"> </w:t>
      </w:r>
      <w:r w:rsidR="00FC6265" w:rsidRPr="009257E7">
        <w:rPr>
          <w:rFonts w:ascii="Times New Roman" w:eastAsia="Times New Roman" w:hAnsi="Times New Roman" w:cs="Times New Roman"/>
          <w:kern w:val="0"/>
          <w:lang w:val="es-ES"/>
          <w14:ligatures w14:val="none"/>
        </w:rPr>
        <w:t>en particular,</w:t>
      </w:r>
      <w:r w:rsidRPr="009257E7">
        <w:rPr>
          <w:rFonts w:ascii="Times New Roman" w:eastAsia="Times New Roman" w:hAnsi="Times New Roman" w:cs="Times New Roman"/>
          <w:kern w:val="0"/>
          <w:lang w:val="es-ES"/>
          <w14:ligatures w14:val="none"/>
        </w:rPr>
        <w:t xml:space="preserve"> mediante las campañas intensificadas de engaño cada vez más descarado alrededor de </w:t>
      </w:r>
      <w:r w:rsidR="00DC497E" w:rsidRPr="009257E7">
        <w:rPr>
          <w:rFonts w:ascii="Times New Roman" w:eastAsia="Times New Roman" w:hAnsi="Times New Roman" w:cs="Times New Roman"/>
          <w:kern w:val="0"/>
          <w:lang w:val="es-ES"/>
          <w14:ligatures w14:val="none"/>
        </w:rPr>
        <w:t xml:space="preserve">las </w:t>
      </w:r>
      <w:r w:rsidRPr="009257E7">
        <w:rPr>
          <w:rFonts w:ascii="Times New Roman" w:eastAsia="Times New Roman" w:hAnsi="Times New Roman" w:cs="Times New Roman"/>
          <w:kern w:val="0"/>
          <w:lang w:val="es-ES"/>
          <w14:ligatures w14:val="none"/>
        </w:rPr>
        <w:t>elecciones presidenciales recientes</w:t>
      </w:r>
      <w:r w:rsidR="00DC497E" w:rsidRPr="009257E7">
        <w:rPr>
          <w:rFonts w:ascii="Times New Roman" w:eastAsia="Times New Roman" w:hAnsi="Times New Roman" w:cs="Times New Roman"/>
          <w:kern w:val="0"/>
          <w:lang w:val="es-ES"/>
          <w14:ligatures w14:val="none"/>
        </w:rPr>
        <w:t xml:space="preserve">. </w:t>
      </w:r>
      <w:r w:rsidR="00FC6265" w:rsidRPr="009257E7">
        <w:rPr>
          <w:rFonts w:ascii="Times New Roman" w:eastAsia="Times New Roman" w:hAnsi="Times New Roman" w:cs="Times New Roman"/>
          <w:kern w:val="0"/>
          <w:lang w:val="es-ES"/>
          <w14:ligatures w14:val="none"/>
        </w:rPr>
        <w:t xml:space="preserve">Para ofrecer un ejemplo, veamos </w:t>
      </w:r>
      <w:r w:rsidRPr="009257E7">
        <w:rPr>
          <w:rFonts w:ascii="Times New Roman" w:eastAsia="Times New Roman" w:hAnsi="Times New Roman" w:cs="Times New Roman"/>
          <w:kern w:val="0"/>
          <w:lang w:val="es-ES"/>
          <w14:ligatures w14:val="none"/>
        </w:rPr>
        <w:t>la afirmación del candidato Donald Trump en 2024 de que refugiades haitianes estaban secuestrando y comiendo mascotas. Apenas dos décadas después de iniciado un nuevo milenio, las realidades sistémicas y sociales se transforman cada vez más como George Orwell imagin</w:t>
      </w:r>
      <w:r w:rsidR="00FC6265" w:rsidRPr="009257E7">
        <w:rPr>
          <w:rFonts w:ascii="Times New Roman" w:eastAsia="Times New Roman" w:hAnsi="Times New Roman" w:cs="Times New Roman"/>
          <w:kern w:val="0"/>
          <w:lang w:val="es-ES"/>
          <w14:ligatures w14:val="none"/>
        </w:rPr>
        <w:t>ó</w:t>
      </w:r>
      <w:r w:rsidRPr="009257E7">
        <w:rPr>
          <w:rFonts w:ascii="Times New Roman" w:eastAsia="Times New Roman" w:hAnsi="Times New Roman" w:cs="Times New Roman"/>
          <w:kern w:val="0"/>
          <w:lang w:val="es-ES"/>
          <w14:ligatures w14:val="none"/>
        </w:rPr>
        <w:t xml:space="preserve"> en su famosa novela </w:t>
      </w:r>
      <w:r w:rsidRPr="009257E7">
        <w:rPr>
          <w:rFonts w:ascii="Times New Roman" w:eastAsia="Times New Roman" w:hAnsi="Times New Roman" w:cs="Times New Roman"/>
          <w:i/>
          <w:iCs/>
          <w:kern w:val="0"/>
          <w:lang w:val="es-ES"/>
          <w14:ligatures w14:val="none"/>
        </w:rPr>
        <w:t>1984</w:t>
      </w:r>
      <w:r w:rsidRPr="009257E7">
        <w:rPr>
          <w:rFonts w:ascii="Times New Roman" w:eastAsia="Times New Roman" w:hAnsi="Times New Roman" w:cs="Times New Roman"/>
          <w:kern w:val="0"/>
          <w:lang w:val="es-ES"/>
          <w14:ligatures w14:val="none"/>
        </w:rPr>
        <w:t xml:space="preserve">. Durante el </w:t>
      </w:r>
      <w:r w:rsidR="00FC6265" w:rsidRPr="009257E7">
        <w:rPr>
          <w:rFonts w:ascii="Times New Roman" w:eastAsia="Times New Roman" w:hAnsi="Times New Roman" w:cs="Times New Roman"/>
          <w:kern w:val="0"/>
          <w:lang w:val="es-ES"/>
          <w14:ligatures w14:val="none"/>
        </w:rPr>
        <w:t>primer</w:t>
      </w:r>
      <w:r w:rsidRPr="009257E7">
        <w:rPr>
          <w:rFonts w:ascii="Times New Roman" w:eastAsia="Times New Roman" w:hAnsi="Times New Roman" w:cs="Times New Roman"/>
          <w:kern w:val="0"/>
          <w:lang w:val="es-ES"/>
          <w14:ligatures w14:val="none"/>
        </w:rPr>
        <w:t xml:space="preserve"> cuarto de siglo, la estrategia de la Gran Mentira en </w:t>
      </w:r>
      <w:r w:rsidR="00FC6265" w:rsidRPr="009257E7">
        <w:rPr>
          <w:rFonts w:ascii="Times New Roman" w:eastAsia="Times New Roman" w:hAnsi="Times New Roman" w:cs="Times New Roman"/>
          <w:kern w:val="0"/>
          <w:lang w:val="es-ES"/>
          <w14:ligatures w14:val="none"/>
        </w:rPr>
        <w:t xml:space="preserve">los </w:t>
      </w:r>
      <w:r w:rsidRPr="009257E7">
        <w:rPr>
          <w:rFonts w:ascii="Times New Roman" w:eastAsia="Times New Roman" w:hAnsi="Times New Roman" w:cs="Times New Roman"/>
          <w:kern w:val="0"/>
          <w:lang w:val="es-ES"/>
          <w14:ligatures w14:val="none"/>
        </w:rPr>
        <w:t>Estados Unidos se expandi</w:t>
      </w:r>
      <w:r w:rsidR="00FC6265" w:rsidRPr="009257E7">
        <w:rPr>
          <w:rFonts w:ascii="Times New Roman" w:eastAsia="Times New Roman" w:hAnsi="Times New Roman" w:cs="Times New Roman"/>
          <w:kern w:val="0"/>
          <w:lang w:val="es-ES"/>
          <w14:ligatures w14:val="none"/>
        </w:rPr>
        <w:t>ó</w:t>
      </w:r>
      <w:r w:rsidRPr="009257E7">
        <w:rPr>
          <w:rFonts w:ascii="Times New Roman" w:eastAsia="Times New Roman" w:hAnsi="Times New Roman" w:cs="Times New Roman"/>
          <w:kern w:val="0"/>
          <w:lang w:val="es-ES"/>
          <w14:ligatures w14:val="none"/>
        </w:rPr>
        <w:t xml:space="preserve"> hasta convertirse en un problema sistémico: para el derecho y la sociedad en general, y para la justicia sistémica y la abogacía en particular.</w:t>
      </w:r>
    </w:p>
    <w:p w14:paraId="6B4AFA4A" w14:textId="4B408D84" w:rsidR="00810F2C" w:rsidRPr="009257E7" w:rsidRDefault="00810F2C" w:rsidP="00FC6265">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bookmarkStart w:id="41" w:name="OLE_LINK84"/>
      <w:r w:rsidRPr="009257E7">
        <w:rPr>
          <w:rFonts w:ascii="Times New Roman" w:eastAsia="Times New Roman" w:hAnsi="Times New Roman" w:cs="Times New Roman"/>
          <w:kern w:val="0"/>
          <w:lang w:val="es-ES"/>
          <w14:ligatures w14:val="none"/>
        </w:rPr>
        <w:t xml:space="preserve">En este estado de </w:t>
      </w:r>
      <w:r w:rsidR="00FC6265" w:rsidRPr="009257E7">
        <w:rPr>
          <w:rFonts w:ascii="Times New Roman" w:eastAsia="Times New Roman" w:hAnsi="Times New Roman" w:cs="Times New Roman"/>
          <w:kern w:val="0"/>
          <w:lang w:val="es-ES"/>
          <w14:ligatures w14:val="none"/>
        </w:rPr>
        <w:t xml:space="preserve">las </w:t>
      </w:r>
      <w:r w:rsidRPr="009257E7">
        <w:rPr>
          <w:rFonts w:ascii="Times New Roman" w:eastAsia="Times New Roman" w:hAnsi="Times New Roman" w:cs="Times New Roman"/>
          <w:kern w:val="0"/>
          <w:lang w:val="es-ES"/>
          <w14:ligatures w14:val="none"/>
        </w:rPr>
        <w:t xml:space="preserve">cosas, la fabricación y </w:t>
      </w:r>
      <w:r w:rsidR="00FC6265" w:rsidRPr="009257E7">
        <w:rPr>
          <w:rFonts w:ascii="Times New Roman" w:eastAsia="Times New Roman" w:hAnsi="Times New Roman" w:cs="Times New Roman"/>
          <w:kern w:val="0"/>
          <w:lang w:val="es-ES"/>
          <w14:ligatures w14:val="none"/>
        </w:rPr>
        <w:t xml:space="preserve">la </w:t>
      </w:r>
      <w:r w:rsidRPr="009257E7">
        <w:rPr>
          <w:rFonts w:ascii="Times New Roman" w:eastAsia="Times New Roman" w:hAnsi="Times New Roman" w:cs="Times New Roman"/>
          <w:kern w:val="0"/>
          <w:lang w:val="es-ES"/>
          <w14:ligatures w14:val="none"/>
        </w:rPr>
        <w:t>difusión constante de desinformación, incluidas</w:t>
      </w:r>
      <w:r w:rsidR="00FC6265" w:rsidRPr="009257E7">
        <w:rPr>
          <w:rFonts w:ascii="Times New Roman" w:eastAsia="Times New Roman" w:hAnsi="Times New Roman" w:cs="Times New Roman"/>
          <w:kern w:val="0"/>
          <w:lang w:val="es-ES"/>
          <w14:ligatures w14:val="none"/>
        </w:rPr>
        <w:t xml:space="preserve"> las</w:t>
      </w:r>
      <w:r w:rsidRPr="009257E7">
        <w:rPr>
          <w:rFonts w:ascii="Times New Roman" w:eastAsia="Times New Roman" w:hAnsi="Times New Roman" w:cs="Times New Roman"/>
          <w:kern w:val="0"/>
          <w:lang w:val="es-ES"/>
          <w14:ligatures w14:val="none"/>
        </w:rPr>
        <w:t xml:space="preserve"> falsedades abiertas, se convierte</w:t>
      </w:r>
      <w:r w:rsidR="00FC6265" w:rsidRPr="009257E7">
        <w:rPr>
          <w:rFonts w:ascii="Times New Roman" w:eastAsia="Times New Roman" w:hAnsi="Times New Roman" w:cs="Times New Roman"/>
          <w:kern w:val="0"/>
          <w:lang w:val="es-ES"/>
          <w14:ligatures w14:val="none"/>
        </w:rPr>
        <w:t>n</w:t>
      </w:r>
      <w:r w:rsidRPr="009257E7">
        <w:rPr>
          <w:rFonts w:ascii="Times New Roman" w:eastAsia="Times New Roman" w:hAnsi="Times New Roman" w:cs="Times New Roman"/>
          <w:kern w:val="0"/>
          <w:lang w:val="es-ES"/>
          <w14:ligatures w14:val="none"/>
        </w:rPr>
        <w:t xml:space="preserve"> en política oficial diaria. En este esquema sistémico, la “Gran Mentira” quizás sea el arma más poderosa del arsenal elitista de control del conocimiento. Tal como fue desarrollada en la década de 1930, esta estrategia de la “Gran Mentira” describe un enfoque desde arriba para controlar al público, basado en la teoría de que las mentiras más grandes son las más creíbles simplemente porque las personas “razonables” t</w:t>
      </w:r>
      <w:r w:rsidR="00DD26DE" w:rsidRPr="009257E7">
        <w:rPr>
          <w:rFonts w:ascii="Times New Roman" w:eastAsia="Times New Roman" w:hAnsi="Times New Roman" w:cs="Times New Roman"/>
          <w:kern w:val="0"/>
          <w:lang w:val="es-ES"/>
          <w14:ligatures w14:val="none"/>
        </w:rPr>
        <w:t>ienden</w:t>
      </w:r>
      <w:r w:rsidRPr="009257E7">
        <w:rPr>
          <w:rFonts w:ascii="Times New Roman" w:eastAsia="Times New Roman" w:hAnsi="Times New Roman" w:cs="Times New Roman"/>
          <w:kern w:val="0"/>
          <w:lang w:val="es-ES"/>
          <w14:ligatures w14:val="none"/>
        </w:rPr>
        <w:t xml:space="preserve"> a no creer que una mentira tan grande pueda decirse de forma tan abierta, tan repetida, </w:t>
      </w:r>
      <w:proofErr w:type="gramStart"/>
      <w:r w:rsidRPr="009257E7">
        <w:rPr>
          <w:rFonts w:ascii="Times New Roman" w:eastAsia="Times New Roman" w:hAnsi="Times New Roman" w:cs="Times New Roman"/>
          <w:kern w:val="0"/>
          <w:lang w:val="es-ES"/>
          <w14:ligatures w14:val="none"/>
        </w:rPr>
        <w:t>tan autoritativa y tan audaz</w:t>
      </w:r>
      <w:proofErr w:type="gramEnd"/>
      <w:r w:rsidRPr="009257E7">
        <w:rPr>
          <w:rFonts w:ascii="Times New Roman" w:eastAsia="Times New Roman" w:hAnsi="Times New Roman" w:cs="Times New Roman"/>
          <w:kern w:val="0"/>
          <w:lang w:val="es-ES"/>
          <w14:ligatures w14:val="none"/>
        </w:rPr>
        <w:t xml:space="preserve">, incluso si se puede desmentir fácilmente. Y así la opinión pública —y la obediencia— se moldean y remodelan, desde arriba hasta abajo. </w:t>
      </w:r>
      <w:bookmarkEnd w:id="41"/>
      <w:r w:rsidRPr="009257E7">
        <w:rPr>
          <w:rFonts w:ascii="Times New Roman" w:eastAsia="Times New Roman" w:hAnsi="Times New Roman" w:cs="Times New Roman"/>
          <w:kern w:val="0"/>
          <w:lang w:val="es-ES"/>
          <w14:ligatures w14:val="none"/>
        </w:rPr>
        <w:t>Cuando proliferan las Grandes Mentiras, les abogades sistémiques deben comprender cómo funcionan y cómo trabajar contra ellas. Las escuelas y los enfoques ofrecen puntos de partida clave para el análisis actual y la acción posterior.</w:t>
      </w:r>
    </w:p>
    <w:p w14:paraId="76DE6A2F" w14:textId="2F6B1CAA" w:rsidR="00FB5EB9" w:rsidRPr="009257E7" w:rsidRDefault="00810F2C" w:rsidP="001F432C">
      <w:pPr>
        <w:spacing w:before="100" w:beforeAutospacing="1" w:after="100" w:afterAutospacing="1" w:line="240" w:lineRule="auto"/>
        <w:ind w:firstLine="720"/>
        <w:rPr>
          <w:rFonts w:ascii="Times New Roman" w:eastAsia="Times New Roman" w:hAnsi="Times New Roman" w:cs="Times New Roman"/>
          <w:b/>
          <w:bCs/>
          <w:kern w:val="0"/>
          <w:lang w:val="es-ES"/>
          <w14:ligatures w14:val="none"/>
        </w:rPr>
      </w:pPr>
      <w:r w:rsidRPr="009257E7">
        <w:rPr>
          <w:rFonts w:ascii="Times New Roman" w:eastAsia="Times New Roman" w:hAnsi="Times New Roman" w:cs="Times New Roman"/>
          <w:kern w:val="0"/>
          <w:lang w:val="es-ES"/>
          <w14:ligatures w14:val="none"/>
        </w:rPr>
        <w:t xml:space="preserve">El conocimiento crítico no es “meramente” un conjunto de teorías académicas que complican </w:t>
      </w:r>
      <w:r w:rsidR="001F432C" w:rsidRPr="009257E7">
        <w:rPr>
          <w:rFonts w:ascii="Times New Roman" w:eastAsia="Times New Roman" w:hAnsi="Times New Roman" w:cs="Times New Roman"/>
          <w:kern w:val="0"/>
          <w:lang w:val="es-ES"/>
          <w14:ligatures w14:val="none"/>
        </w:rPr>
        <w:t>la</w:t>
      </w:r>
      <w:r w:rsidRPr="009257E7">
        <w:rPr>
          <w:rFonts w:ascii="Times New Roman" w:eastAsia="Times New Roman" w:hAnsi="Times New Roman" w:cs="Times New Roman"/>
          <w:kern w:val="0"/>
          <w:lang w:val="es-ES"/>
          <w14:ligatures w14:val="none"/>
        </w:rPr>
        <w:t xml:space="preserve"> ac</w:t>
      </w:r>
      <w:r w:rsidR="001F432C" w:rsidRPr="009257E7">
        <w:rPr>
          <w:rFonts w:ascii="Times New Roman" w:eastAsia="Times New Roman" w:hAnsi="Times New Roman" w:cs="Times New Roman"/>
          <w:kern w:val="0"/>
          <w:lang w:val="es-ES"/>
          <w14:ligatures w14:val="none"/>
        </w:rPr>
        <w:t>ción</w:t>
      </w:r>
      <w:r w:rsidRPr="009257E7">
        <w:rPr>
          <w:rFonts w:ascii="Times New Roman" w:eastAsia="Times New Roman" w:hAnsi="Times New Roman" w:cs="Times New Roman"/>
          <w:kern w:val="0"/>
          <w:lang w:val="es-ES"/>
          <w14:ligatures w14:val="none"/>
        </w:rPr>
        <w:t xml:space="preserve"> rápid</w:t>
      </w:r>
      <w:r w:rsidR="001F432C" w:rsidRPr="009257E7">
        <w:rPr>
          <w:rFonts w:ascii="Times New Roman" w:eastAsia="Times New Roman" w:hAnsi="Times New Roman" w:cs="Times New Roman"/>
          <w:kern w:val="0"/>
          <w:lang w:val="es-ES"/>
          <w14:ligatures w14:val="none"/>
        </w:rPr>
        <w:t>a</w:t>
      </w:r>
      <w:r w:rsidRPr="009257E7">
        <w:rPr>
          <w:rFonts w:ascii="Times New Roman" w:eastAsia="Times New Roman" w:hAnsi="Times New Roman" w:cs="Times New Roman"/>
          <w:kern w:val="0"/>
          <w:lang w:val="es-ES"/>
          <w14:ligatures w14:val="none"/>
        </w:rPr>
        <w:t xml:space="preserve">. Al contrario, ayuda a les abogades a desaprender y reaprender la </w:t>
      </w:r>
      <w:r w:rsidRPr="009257E7">
        <w:rPr>
          <w:rFonts w:ascii="Times New Roman" w:eastAsia="Times New Roman" w:hAnsi="Times New Roman" w:cs="Times New Roman"/>
          <w:kern w:val="0"/>
          <w:lang w:val="es-ES"/>
          <w14:ligatures w14:val="none"/>
        </w:rPr>
        <w:lastRenderedPageBreak/>
        <w:t xml:space="preserve">abogacía antes de entrar en la solución de problemas sistémicos, igual que el conocimiento de natación ayuda a les nadadores a nadar mejor antes de lanzarse al agua y chapotear. La abogacía sistémica se nutre de la experiencia, el conocimiento y la acción previos para desarrollar “teoría” para </w:t>
      </w:r>
      <w:r w:rsidR="001F432C" w:rsidRPr="009257E7">
        <w:rPr>
          <w:rFonts w:ascii="Times New Roman" w:eastAsia="Times New Roman" w:hAnsi="Times New Roman" w:cs="Times New Roman"/>
          <w:kern w:val="0"/>
          <w:lang w:val="es-ES"/>
          <w14:ligatures w14:val="none"/>
        </w:rPr>
        <w:t xml:space="preserve">el </w:t>
      </w:r>
      <w:r w:rsidRPr="009257E7">
        <w:rPr>
          <w:rFonts w:ascii="Times New Roman" w:eastAsia="Times New Roman" w:hAnsi="Times New Roman" w:cs="Times New Roman"/>
          <w:kern w:val="0"/>
          <w:lang w:val="es-ES"/>
          <w14:ligatures w14:val="none"/>
        </w:rPr>
        <w:t>análisis y</w:t>
      </w:r>
      <w:r w:rsidR="001F432C" w:rsidRPr="009257E7">
        <w:rPr>
          <w:rFonts w:ascii="Times New Roman" w:eastAsia="Times New Roman" w:hAnsi="Times New Roman" w:cs="Times New Roman"/>
          <w:kern w:val="0"/>
          <w:lang w:val="es-ES"/>
          <w14:ligatures w14:val="none"/>
        </w:rPr>
        <w:t xml:space="preserve"> las</w:t>
      </w:r>
      <w:r w:rsidRPr="009257E7">
        <w:rPr>
          <w:rFonts w:ascii="Times New Roman" w:eastAsia="Times New Roman" w:hAnsi="Times New Roman" w:cs="Times New Roman"/>
          <w:kern w:val="0"/>
          <w:lang w:val="es-ES"/>
          <w14:ligatures w14:val="none"/>
        </w:rPr>
        <w:t xml:space="preserve"> acciones futuras en ciclos interminables que fusionan teoría y práctica.</w:t>
      </w:r>
      <w:r w:rsidR="008F5B70" w:rsidRPr="009257E7">
        <w:rPr>
          <w:rFonts w:ascii="Times New Roman" w:eastAsia="Times New Roman" w:hAnsi="Times New Roman" w:cs="Times New Roman"/>
          <w:b/>
          <w:bCs/>
          <w:kern w:val="0"/>
          <w:lang w:val="es-ES"/>
          <w14:ligatures w14:val="none"/>
        </w:rPr>
        <w:br/>
      </w:r>
      <w:r w:rsidR="008F5B70" w:rsidRPr="009257E7">
        <w:rPr>
          <w:rFonts w:ascii="Times New Roman" w:eastAsia="Times New Roman" w:hAnsi="Times New Roman" w:cs="Times New Roman"/>
          <w:b/>
          <w:bCs/>
          <w:kern w:val="0"/>
          <w:lang w:val="es-ES"/>
          <w14:ligatures w14:val="none"/>
        </w:rPr>
        <w:br/>
        <w:t xml:space="preserve">5.4 La historia crítica y otras disciplinas pueden ayudar a les abogades a </w:t>
      </w:r>
      <w:r w:rsidR="00F3378B" w:rsidRPr="009257E7">
        <w:rPr>
          <w:rFonts w:ascii="Times New Roman" w:eastAsia="Times New Roman" w:hAnsi="Times New Roman" w:cs="Times New Roman"/>
          <w:b/>
          <w:bCs/>
          <w:kern w:val="0"/>
          <w:lang w:val="es-ES"/>
          <w14:ligatures w14:val="none"/>
        </w:rPr>
        <w:t>desafiar los</w:t>
      </w:r>
      <w:r w:rsidR="008F5B70" w:rsidRPr="009257E7">
        <w:rPr>
          <w:rFonts w:ascii="Times New Roman" w:eastAsia="Times New Roman" w:hAnsi="Times New Roman" w:cs="Times New Roman"/>
          <w:b/>
          <w:bCs/>
          <w:kern w:val="0"/>
          <w:lang w:val="es-ES"/>
          <w14:ligatures w14:val="none"/>
        </w:rPr>
        <w:t xml:space="preserve"> resultados sistémicos</w:t>
      </w:r>
    </w:p>
    <w:p w14:paraId="0600486A" w14:textId="7A8B82C5" w:rsidR="00F3378B" w:rsidRPr="009257E7" w:rsidRDefault="00F3378B" w:rsidP="00F3378B">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Todo sistema tiene un diseño y una historia. El trabajo de explorar el diseño y la historia de un statu quo suele relegarse a una prioridad secundaria en un mundo que clama por alivio ahora. A veces, el conocimiento histórico se considera “solo” información de trasfondo. Pero cuando les abogades ignoran el diseño y la historia sistémicos, su abogacía puede no alterar los resultados sistémicos ni entregar el alivio necesario; puede fallar en llegar a las raíces de la injusticia. Como observó Angela Davis, ser radical “simplemente significa ‘agarrar las cosas por la raíz’”</w:t>
      </w:r>
      <w:r w:rsidR="009513DA" w:rsidRPr="009257E7">
        <w:rPr>
          <w:rStyle w:val="FootnoteReference"/>
          <w:rFonts w:ascii="Times New Roman" w:eastAsia="Times New Roman" w:hAnsi="Times New Roman" w:cs="Times New Roman"/>
          <w:kern w:val="0"/>
          <w:lang w:val="es-ES"/>
          <w14:ligatures w14:val="none"/>
        </w:rPr>
        <w:footnoteReference w:id="191"/>
      </w:r>
      <w:r w:rsidRPr="009257E7">
        <w:rPr>
          <w:rFonts w:ascii="Times New Roman" w:eastAsia="Times New Roman" w:hAnsi="Times New Roman" w:cs="Times New Roman"/>
          <w:kern w:val="0"/>
          <w:lang w:val="es-ES"/>
          <w14:ligatures w14:val="none"/>
        </w:rPr>
        <w:t>, y, como ocurre con la maleza, hay que descubrir la raíz antes de arrancarla.</w:t>
      </w:r>
    </w:p>
    <w:p w14:paraId="53E6B7D7" w14:textId="47F57775" w:rsidR="00F3378B" w:rsidRPr="009257E7" w:rsidRDefault="00F3378B" w:rsidP="009513DA">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 xml:space="preserve">Les abogades realizan investigación interdisciplinaria, construyen equipos multidisciplinarios y llevan a cabo acciones complejas para comprender problemas sociales y diseñar soluciones efectivas. Entre las disciplinas principales se encuentran la historia, la economía, la economía política, la sociología y diversos tipos de estudios interdisciplinarios. </w:t>
      </w:r>
      <w:r w:rsidR="000A114B" w:rsidRPr="009257E7">
        <w:rPr>
          <w:rFonts w:ascii="Times New Roman" w:eastAsia="Times New Roman" w:hAnsi="Times New Roman" w:cs="Times New Roman"/>
          <w:kern w:val="0"/>
          <w:lang w:val="es-ES"/>
          <w14:ligatures w14:val="none"/>
        </w:rPr>
        <w:t xml:space="preserve">Tanto la historia crítica como la economía política, en particular, exploran las conexiones entre el pasado y el presente, y entre lo local y lo global, que </w:t>
      </w:r>
      <w:r w:rsidR="0047150D" w:rsidRPr="009257E7">
        <w:rPr>
          <w:rFonts w:ascii="Times New Roman" w:eastAsia="Times New Roman" w:hAnsi="Times New Roman" w:cs="Times New Roman"/>
          <w:kern w:val="0"/>
          <w:lang w:val="es-ES"/>
          <w14:ligatures w14:val="none"/>
        </w:rPr>
        <w:t>resulta</w:t>
      </w:r>
      <w:r w:rsidR="000A114B" w:rsidRPr="009257E7">
        <w:rPr>
          <w:rFonts w:ascii="Times New Roman" w:eastAsia="Times New Roman" w:hAnsi="Times New Roman" w:cs="Times New Roman"/>
          <w:kern w:val="0"/>
          <w:lang w:val="es-ES"/>
          <w14:ligatures w14:val="none"/>
        </w:rPr>
        <w:t>n relevantes para la resolución de problemas sistémicos.</w:t>
      </w:r>
    </w:p>
    <w:p w14:paraId="552788D3" w14:textId="4F641881" w:rsidR="00F3378B" w:rsidRPr="009257E7" w:rsidRDefault="00F3378B" w:rsidP="00026962">
      <w:pPr>
        <w:pStyle w:val="NormalWeb"/>
        <w:ind w:firstLine="720"/>
        <w:rPr>
          <w:lang w:val="es-ES"/>
        </w:rPr>
      </w:pPr>
      <w:r w:rsidRPr="009257E7">
        <w:rPr>
          <w:lang w:val="es-ES"/>
        </w:rPr>
        <w:t xml:space="preserve">En términos generales, la historia crítica es un examen del pasado desde abajo para comprender mejor el presente y planificar un futuro mejor. Por ejemplo, el académico </w:t>
      </w:r>
      <w:proofErr w:type="spellStart"/>
      <w:r w:rsidRPr="009257E7">
        <w:rPr>
          <w:lang w:val="es-ES"/>
        </w:rPr>
        <w:t>LatCrit</w:t>
      </w:r>
      <w:proofErr w:type="spellEnd"/>
      <w:r w:rsidRPr="009257E7">
        <w:rPr>
          <w:lang w:val="es-ES"/>
        </w:rPr>
        <w:t xml:space="preserve"> Marc-Tizoc González enfatiza que “</w:t>
      </w:r>
      <w:r w:rsidR="006753BC" w:rsidRPr="009257E7">
        <w:rPr>
          <w:lang w:val="es-ES"/>
        </w:rPr>
        <w:t>Los académicos que se identifican con grupos étnicos de gran diversidad, pero racializados... colaboran en la elaboración de historias jurídicas étnicas críticas —relatos sobre los pasados centenarios, intrinca</w:t>
      </w:r>
      <w:r w:rsidR="00171674" w:rsidRPr="009257E7">
        <w:rPr>
          <w:lang w:val="es-ES"/>
        </w:rPr>
        <w:t>da</w:t>
      </w:r>
      <w:r w:rsidR="006753BC" w:rsidRPr="009257E7">
        <w:rPr>
          <w:lang w:val="es-ES"/>
        </w:rPr>
        <w:t>mente entrelazados y transnacionales de nuestras comunidades— de las que podemos extraer perspectivas sociojurídicas para las luchas actuales por la justicia social</w:t>
      </w:r>
      <w:r w:rsidRPr="009257E7">
        <w:rPr>
          <w:lang w:val="es-ES"/>
        </w:rPr>
        <w:t>”</w:t>
      </w:r>
      <w:r w:rsidR="00B51B95" w:rsidRPr="009257E7">
        <w:rPr>
          <w:rStyle w:val="FootnoteReference"/>
          <w:lang w:val="es-ES"/>
        </w:rPr>
        <w:footnoteReference w:id="192"/>
      </w:r>
      <w:r w:rsidRPr="009257E7">
        <w:rPr>
          <w:lang w:val="es-ES"/>
        </w:rPr>
        <w:t>. De manera similar, el académico crítico del derecho Robert Gordon explica que “la historia del derecho se ha convertido en un terreno vital de disputa [...] [porque] [l]a historia provee [...] un sistema jurídico estructurado para preservar [...] derechos formalmente iguales [...] que supuestamente operarán para recompensar a cada individuo exactamente en proporción a su mérito. [...] La importancia de la historia [...] reside principalmente en la forma en que revela [el] Estado de derecho como una fantasía utópica”</w:t>
      </w:r>
      <w:r w:rsidR="00B908AB" w:rsidRPr="009257E7">
        <w:rPr>
          <w:rStyle w:val="FootnoteReference"/>
          <w:lang w:val="es-ES"/>
        </w:rPr>
        <w:footnoteReference w:id="193"/>
      </w:r>
      <w:r w:rsidRPr="009257E7">
        <w:rPr>
          <w:lang w:val="es-ES"/>
        </w:rPr>
        <w:t xml:space="preserve">. Al apreciar estos puntos, les abogades sistémiques investigan historias desde abajo para construir soluciones críticas frente a </w:t>
      </w:r>
      <w:r w:rsidR="00026962" w:rsidRPr="009257E7">
        <w:rPr>
          <w:lang w:val="es-ES"/>
        </w:rPr>
        <w:t xml:space="preserve">las </w:t>
      </w:r>
      <w:r w:rsidRPr="009257E7">
        <w:rPr>
          <w:lang w:val="es-ES"/>
        </w:rPr>
        <w:t>injusticias contemporáneas.</w:t>
      </w:r>
      <w:r w:rsidR="00026962" w:rsidRPr="009257E7">
        <w:rPr>
          <w:lang w:val="es-ES"/>
        </w:rPr>
        <w:t xml:space="preserve"> </w:t>
      </w:r>
    </w:p>
    <w:p w14:paraId="68B8D8B2" w14:textId="01584CEC" w:rsidR="00F3378B" w:rsidRPr="009257E7" w:rsidRDefault="00F3378B" w:rsidP="00026962">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 xml:space="preserve">En términos igualmente generales, la economía política es un campo de análisis que conecta la materialidad —las realidades económicas— con la toma de decisiones políticas y </w:t>
      </w:r>
      <w:r w:rsidR="00FB75EA" w:rsidRPr="009257E7">
        <w:rPr>
          <w:rFonts w:ascii="Times New Roman" w:eastAsia="Times New Roman" w:hAnsi="Times New Roman" w:cs="Times New Roman"/>
          <w:kern w:val="0"/>
          <w:lang w:val="es-ES"/>
          <w14:ligatures w14:val="none"/>
        </w:rPr>
        <w:t xml:space="preserve">con </w:t>
      </w:r>
      <w:r w:rsidRPr="009257E7">
        <w:rPr>
          <w:rFonts w:ascii="Times New Roman" w:eastAsia="Times New Roman" w:hAnsi="Times New Roman" w:cs="Times New Roman"/>
          <w:kern w:val="0"/>
          <w:lang w:val="es-ES"/>
          <w14:ligatures w14:val="none"/>
        </w:rPr>
        <w:t xml:space="preserve">las doctrinas jurídicas que reproducen desigualdades sistémicas basadas en identidades sociales, </w:t>
      </w:r>
      <w:r w:rsidRPr="009257E7">
        <w:rPr>
          <w:rFonts w:ascii="Times New Roman" w:eastAsia="Times New Roman" w:hAnsi="Times New Roman" w:cs="Times New Roman"/>
          <w:kern w:val="0"/>
          <w:lang w:val="es-ES"/>
          <w14:ligatures w14:val="none"/>
        </w:rPr>
        <w:lastRenderedPageBreak/>
        <w:t>especialmente</w:t>
      </w:r>
      <w:r w:rsidR="00FB75EA" w:rsidRPr="009257E7">
        <w:rPr>
          <w:rFonts w:ascii="Times New Roman" w:eastAsia="Times New Roman" w:hAnsi="Times New Roman" w:cs="Times New Roman"/>
          <w:kern w:val="0"/>
          <w:lang w:val="es-ES"/>
          <w14:ligatures w14:val="none"/>
        </w:rPr>
        <w:t xml:space="preserve"> de</w:t>
      </w:r>
      <w:r w:rsidRPr="009257E7">
        <w:rPr>
          <w:rFonts w:ascii="Times New Roman" w:eastAsia="Times New Roman" w:hAnsi="Times New Roman" w:cs="Times New Roman"/>
          <w:kern w:val="0"/>
          <w:lang w:val="es-ES"/>
          <w14:ligatures w14:val="none"/>
        </w:rPr>
        <w:t xml:space="preserve"> clase, raza y sexo. La economía política</w:t>
      </w:r>
      <w:r w:rsidR="00FB75EA" w:rsidRPr="009257E7">
        <w:rPr>
          <w:rFonts w:ascii="Times New Roman" w:eastAsia="Times New Roman" w:hAnsi="Times New Roman" w:cs="Times New Roman"/>
          <w:kern w:val="0"/>
          <w:lang w:val="es-ES"/>
          <w14:ligatures w14:val="none"/>
        </w:rPr>
        <w:t>,</w:t>
      </w:r>
      <w:r w:rsidRPr="009257E7">
        <w:rPr>
          <w:rFonts w:ascii="Times New Roman" w:eastAsia="Times New Roman" w:hAnsi="Times New Roman" w:cs="Times New Roman"/>
          <w:kern w:val="0"/>
          <w:lang w:val="es-ES"/>
          <w14:ligatures w14:val="none"/>
        </w:rPr>
        <w:t xml:space="preserve"> como disciplina</w:t>
      </w:r>
      <w:r w:rsidR="00FB75EA" w:rsidRPr="009257E7">
        <w:rPr>
          <w:rFonts w:ascii="Times New Roman" w:eastAsia="Times New Roman" w:hAnsi="Times New Roman" w:cs="Times New Roman"/>
          <w:kern w:val="0"/>
          <w:lang w:val="es-ES"/>
          <w14:ligatures w14:val="none"/>
        </w:rPr>
        <w:t>,</w:t>
      </w:r>
      <w:r w:rsidRPr="009257E7">
        <w:rPr>
          <w:rFonts w:ascii="Times New Roman" w:eastAsia="Times New Roman" w:hAnsi="Times New Roman" w:cs="Times New Roman"/>
          <w:kern w:val="0"/>
          <w:lang w:val="es-ES"/>
          <w14:ligatures w14:val="none"/>
        </w:rPr>
        <w:t xml:space="preserve"> surge de hechos básicos sobre la vida: “Desde el momento en que usted nace, entra en un campo de juego desigual. Cada un</w:t>
      </w:r>
      <w:r w:rsidR="00FB75EA" w:rsidRPr="009257E7">
        <w:rPr>
          <w:rFonts w:ascii="Times New Roman" w:eastAsia="Times New Roman" w:hAnsi="Times New Roman" w:cs="Times New Roman"/>
          <w:kern w:val="0"/>
          <w:lang w:val="es-ES"/>
          <w14:ligatures w14:val="none"/>
        </w:rPr>
        <w:t>o</w:t>
      </w:r>
      <w:r w:rsidRPr="009257E7">
        <w:rPr>
          <w:rFonts w:ascii="Times New Roman" w:eastAsia="Times New Roman" w:hAnsi="Times New Roman" w:cs="Times New Roman"/>
          <w:kern w:val="0"/>
          <w:lang w:val="es-ES"/>
          <w14:ligatures w14:val="none"/>
        </w:rPr>
        <w:t xml:space="preserve"> de nosotr</w:t>
      </w:r>
      <w:r w:rsidR="00FB75EA" w:rsidRPr="009257E7">
        <w:rPr>
          <w:rFonts w:ascii="Times New Roman" w:eastAsia="Times New Roman" w:hAnsi="Times New Roman" w:cs="Times New Roman"/>
          <w:kern w:val="0"/>
          <w:lang w:val="es-ES"/>
          <w14:ligatures w14:val="none"/>
        </w:rPr>
        <w:t>o</w:t>
      </w:r>
      <w:r w:rsidRPr="009257E7">
        <w:rPr>
          <w:rFonts w:ascii="Times New Roman" w:eastAsia="Times New Roman" w:hAnsi="Times New Roman" w:cs="Times New Roman"/>
          <w:kern w:val="0"/>
          <w:lang w:val="es-ES"/>
          <w14:ligatures w14:val="none"/>
        </w:rPr>
        <w:t>s puede tener la oportunidad de esforzarse [...] pero, en términos generales, [las personas y los grupos] no tienen recursos iguales y las reglas del juego favorecen a un</w:t>
      </w:r>
      <w:r w:rsidR="00FB75EA" w:rsidRPr="009257E7">
        <w:rPr>
          <w:rFonts w:ascii="Times New Roman" w:eastAsia="Times New Roman" w:hAnsi="Times New Roman" w:cs="Times New Roman"/>
          <w:kern w:val="0"/>
          <w:lang w:val="es-ES"/>
          <w14:ligatures w14:val="none"/>
        </w:rPr>
        <w:t>o</w:t>
      </w:r>
      <w:r w:rsidRPr="009257E7">
        <w:rPr>
          <w:rFonts w:ascii="Times New Roman" w:eastAsia="Times New Roman" w:hAnsi="Times New Roman" w:cs="Times New Roman"/>
          <w:kern w:val="0"/>
          <w:lang w:val="es-ES"/>
          <w14:ligatures w14:val="none"/>
        </w:rPr>
        <w:t>s sobre otr</w:t>
      </w:r>
      <w:r w:rsidR="00FB75EA" w:rsidRPr="009257E7">
        <w:rPr>
          <w:rFonts w:ascii="Times New Roman" w:eastAsia="Times New Roman" w:hAnsi="Times New Roman" w:cs="Times New Roman"/>
          <w:kern w:val="0"/>
          <w:lang w:val="es-ES"/>
          <w14:ligatures w14:val="none"/>
        </w:rPr>
        <w:t>o</w:t>
      </w:r>
      <w:r w:rsidRPr="009257E7">
        <w:rPr>
          <w:rFonts w:ascii="Times New Roman" w:eastAsia="Times New Roman" w:hAnsi="Times New Roman" w:cs="Times New Roman"/>
          <w:kern w:val="0"/>
          <w:lang w:val="es-ES"/>
          <w14:ligatures w14:val="none"/>
        </w:rPr>
        <w:t>s. [...] [Por tanto,] l</w:t>
      </w:r>
      <w:r w:rsidR="00FB75EA" w:rsidRPr="009257E7">
        <w:rPr>
          <w:rFonts w:ascii="Times New Roman" w:eastAsia="Times New Roman" w:hAnsi="Times New Roman" w:cs="Times New Roman"/>
          <w:kern w:val="0"/>
          <w:lang w:val="es-ES"/>
          <w14:ligatures w14:val="none"/>
        </w:rPr>
        <w:t>o</w:t>
      </w:r>
      <w:r w:rsidRPr="009257E7">
        <w:rPr>
          <w:rFonts w:ascii="Times New Roman" w:eastAsia="Times New Roman" w:hAnsi="Times New Roman" w:cs="Times New Roman"/>
          <w:kern w:val="0"/>
          <w:lang w:val="es-ES"/>
          <w14:ligatures w14:val="none"/>
        </w:rPr>
        <w:t>s economistas políticos ven la sociedad [a través de] las ‘cuatro C’ de la economía política —contexto, conducta colectiva, intereses conflictivos y cambio— [...] para orientar sus análisis de casi cualquier asunto económico, ya sea contaminación del aire, desarrollo económico, crianza de niñ</w:t>
      </w:r>
      <w:r w:rsidR="00FB75EA" w:rsidRPr="009257E7">
        <w:rPr>
          <w:rFonts w:ascii="Times New Roman" w:eastAsia="Times New Roman" w:hAnsi="Times New Roman" w:cs="Times New Roman"/>
          <w:kern w:val="0"/>
          <w:lang w:val="es-ES"/>
          <w14:ligatures w14:val="none"/>
        </w:rPr>
        <w:t>o</w:t>
      </w:r>
      <w:r w:rsidRPr="009257E7">
        <w:rPr>
          <w:rFonts w:ascii="Times New Roman" w:eastAsia="Times New Roman" w:hAnsi="Times New Roman" w:cs="Times New Roman"/>
          <w:kern w:val="0"/>
          <w:lang w:val="es-ES"/>
          <w14:ligatures w14:val="none"/>
        </w:rPr>
        <w:t>s o [...] discriminación y desigualdad salarial”</w:t>
      </w:r>
      <w:r w:rsidR="00754801" w:rsidRPr="009257E7">
        <w:rPr>
          <w:rStyle w:val="FootnoteReference"/>
          <w:rFonts w:ascii="Times New Roman" w:eastAsia="Times New Roman" w:hAnsi="Times New Roman" w:cs="Times New Roman"/>
          <w:kern w:val="0"/>
          <w:lang w:val="es-ES"/>
          <w14:ligatures w14:val="none"/>
        </w:rPr>
        <w:footnoteReference w:id="194"/>
      </w:r>
      <w:r w:rsidRPr="009257E7">
        <w:rPr>
          <w:rFonts w:ascii="Times New Roman" w:eastAsia="Times New Roman" w:hAnsi="Times New Roman" w:cs="Times New Roman"/>
          <w:kern w:val="0"/>
          <w:lang w:val="es-ES"/>
          <w14:ligatures w14:val="none"/>
        </w:rPr>
        <w:t>. Entendida de forma crítica, la economía política es:</w:t>
      </w:r>
    </w:p>
    <w:p w14:paraId="165E20E6" w14:textId="7CBF59BA" w:rsidR="00F3378B" w:rsidRPr="009257E7" w:rsidRDefault="00F3378B" w:rsidP="00754801">
      <w:pPr>
        <w:spacing w:before="100" w:beforeAutospacing="1" w:after="100" w:afterAutospacing="1" w:line="240" w:lineRule="auto"/>
        <w:ind w:left="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[e]l intento de ubicar constantemente la cultura en el tiempo, de ver una interacción constante entre experiencia y significado</w:t>
      </w:r>
      <w:r w:rsidR="00521F2C" w:rsidRPr="009257E7">
        <w:rPr>
          <w:rFonts w:ascii="Times New Roman" w:eastAsia="Times New Roman" w:hAnsi="Times New Roman" w:cs="Times New Roman"/>
          <w:kern w:val="0"/>
          <w:lang w:val="es-ES"/>
          <w14:ligatures w14:val="none"/>
        </w:rPr>
        <w:t>,</w:t>
      </w:r>
      <w:r w:rsidRPr="009257E7">
        <w:rPr>
          <w:rFonts w:ascii="Times New Roman" w:eastAsia="Times New Roman" w:hAnsi="Times New Roman" w:cs="Times New Roman"/>
          <w:kern w:val="0"/>
          <w:lang w:val="es-ES"/>
          <w14:ligatures w14:val="none"/>
        </w:rPr>
        <w:t xml:space="preserve"> en un contexto en el que tanto la experiencia como el significado están moldeados por la desigualdad y la dominación [y el] intento de comprender el surgimiento de pueblos particulares en la confluencia de historias locales y globales, para ubicar poblaciones locales dentro de corrientes más amplias de la historia mundial. Esta forma de ver la economía política permite situar la experiencia humana </w:t>
      </w:r>
      <w:r w:rsidR="00521F2C" w:rsidRPr="009257E7">
        <w:rPr>
          <w:rFonts w:ascii="Times New Roman" w:eastAsia="Times New Roman" w:hAnsi="Times New Roman" w:cs="Times New Roman"/>
          <w:kern w:val="0"/>
          <w:lang w:val="es-ES"/>
          <w14:ligatures w14:val="none"/>
        </w:rPr>
        <w:t>en</w:t>
      </w:r>
      <w:r w:rsidRPr="009257E7">
        <w:rPr>
          <w:rFonts w:ascii="Times New Roman" w:eastAsia="Times New Roman" w:hAnsi="Times New Roman" w:cs="Times New Roman"/>
          <w:kern w:val="0"/>
          <w:lang w:val="es-ES"/>
          <w14:ligatures w14:val="none"/>
        </w:rPr>
        <w:t xml:space="preserve"> un momento histórico y también exige una lectura de experiencias particulares </w:t>
      </w:r>
      <w:r w:rsidR="00521F2C" w:rsidRPr="009257E7">
        <w:rPr>
          <w:rFonts w:ascii="Times New Roman" w:eastAsia="Times New Roman" w:hAnsi="Times New Roman" w:cs="Times New Roman"/>
          <w:kern w:val="0"/>
          <w:lang w:val="es-ES"/>
          <w14:ligatures w14:val="none"/>
        </w:rPr>
        <w:t>desde</w:t>
      </w:r>
      <w:r w:rsidRPr="009257E7">
        <w:rPr>
          <w:rFonts w:ascii="Times New Roman" w:eastAsia="Times New Roman" w:hAnsi="Times New Roman" w:cs="Times New Roman"/>
          <w:kern w:val="0"/>
          <w:lang w:val="es-ES"/>
          <w14:ligatures w14:val="none"/>
        </w:rPr>
        <w:t xml:space="preserve"> un marco que reconoce el poder y la falta de poder.</w:t>
      </w:r>
      <w:r w:rsidR="00AE3777" w:rsidRPr="009257E7">
        <w:rPr>
          <w:rStyle w:val="FootnoteReference"/>
          <w:rFonts w:ascii="Times New Roman" w:eastAsia="Times New Roman" w:hAnsi="Times New Roman" w:cs="Times New Roman"/>
          <w:kern w:val="0"/>
          <w:lang w:val="es-ES"/>
          <w14:ligatures w14:val="none"/>
        </w:rPr>
        <w:footnoteReference w:id="195"/>
      </w:r>
    </w:p>
    <w:p w14:paraId="3420D12D" w14:textId="186E0C87" w:rsidR="00F3378B" w:rsidRPr="009257E7" w:rsidRDefault="00F3378B" w:rsidP="00AE3777">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 xml:space="preserve">Como enfoque crítico de investigación y análisis, la economía política deja claro que </w:t>
      </w:r>
      <w:r w:rsidR="00AE3777" w:rsidRPr="009257E7">
        <w:rPr>
          <w:rFonts w:ascii="Times New Roman" w:eastAsia="Times New Roman" w:hAnsi="Times New Roman" w:cs="Times New Roman"/>
          <w:kern w:val="0"/>
          <w:lang w:val="es-ES"/>
          <w14:ligatures w14:val="none"/>
        </w:rPr>
        <w:t xml:space="preserve">faltan </w:t>
      </w:r>
      <w:r w:rsidRPr="009257E7">
        <w:rPr>
          <w:rFonts w:ascii="Times New Roman" w:eastAsia="Times New Roman" w:hAnsi="Times New Roman" w:cs="Times New Roman"/>
          <w:kern w:val="0"/>
          <w:lang w:val="es-ES"/>
          <w14:ligatures w14:val="none"/>
        </w:rPr>
        <w:t>identidades, grupos, intereses y poder tanto en la teoría económica tradicional como en la teoría jurídica tradicional, con la misma consecuencia de oscurecer la violencia sistémica</w:t>
      </w:r>
      <w:r w:rsidR="006717F3" w:rsidRPr="009257E7">
        <w:rPr>
          <w:rStyle w:val="FootnoteReference"/>
          <w:rFonts w:ascii="Times New Roman" w:eastAsia="Times New Roman" w:hAnsi="Times New Roman" w:cs="Times New Roman"/>
          <w:kern w:val="0"/>
          <w:lang w:val="es-ES"/>
          <w14:ligatures w14:val="none"/>
        </w:rPr>
        <w:footnoteReference w:id="196"/>
      </w:r>
      <w:r w:rsidRPr="009257E7">
        <w:rPr>
          <w:rFonts w:ascii="Times New Roman" w:eastAsia="Times New Roman" w:hAnsi="Times New Roman" w:cs="Times New Roman"/>
          <w:kern w:val="0"/>
          <w:lang w:val="es-ES"/>
          <w14:ligatures w14:val="none"/>
        </w:rPr>
        <w:t xml:space="preserve">. Por ejemplo, el </w:t>
      </w:r>
      <w:proofErr w:type="spellStart"/>
      <w:r w:rsidRPr="009257E7">
        <w:rPr>
          <w:rFonts w:ascii="Times New Roman" w:eastAsia="Times New Roman" w:hAnsi="Times New Roman" w:cs="Times New Roman"/>
          <w:kern w:val="0"/>
          <w:lang w:val="es-ES"/>
          <w14:ligatures w14:val="none"/>
        </w:rPr>
        <w:t>Grassroots</w:t>
      </w:r>
      <w:proofErr w:type="spellEnd"/>
      <w:r w:rsidRPr="009257E7">
        <w:rPr>
          <w:rFonts w:ascii="Times New Roman" w:eastAsia="Times New Roman" w:hAnsi="Times New Roman" w:cs="Times New Roman"/>
          <w:kern w:val="0"/>
          <w:lang w:val="es-ES"/>
          <w14:ligatures w14:val="none"/>
        </w:rPr>
        <w:t xml:space="preserve"> Policy Project señala que la economía política desenmascara patrones sistémicos:</w:t>
      </w:r>
      <w:r w:rsidR="00AE3777" w:rsidRPr="009257E7">
        <w:rPr>
          <w:rFonts w:ascii="Times New Roman" w:eastAsia="Times New Roman" w:hAnsi="Times New Roman" w:cs="Times New Roman"/>
          <w:kern w:val="0"/>
          <w:lang w:val="es-ES"/>
          <w14:ligatures w14:val="none"/>
        </w:rPr>
        <w:t xml:space="preserve"> </w:t>
      </w:r>
    </w:p>
    <w:p w14:paraId="6A0578F9" w14:textId="5EE94EA0" w:rsidR="00F3378B" w:rsidRPr="009257E7" w:rsidRDefault="00F3378B" w:rsidP="00F211AB">
      <w:pPr>
        <w:spacing w:before="100" w:beforeAutospacing="1" w:after="100" w:afterAutospacing="1" w:line="240" w:lineRule="auto"/>
        <w:ind w:left="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 xml:space="preserve">[L]a racialización impacta </w:t>
      </w:r>
      <w:r w:rsidR="00F211AB" w:rsidRPr="009257E7">
        <w:rPr>
          <w:rFonts w:ascii="Times New Roman" w:eastAsia="Times New Roman" w:hAnsi="Times New Roman" w:cs="Times New Roman"/>
          <w:kern w:val="0"/>
          <w:lang w:val="es-ES"/>
          <w14:ligatures w14:val="none"/>
        </w:rPr>
        <w:t xml:space="preserve">en </w:t>
      </w:r>
      <w:r w:rsidRPr="009257E7">
        <w:rPr>
          <w:rFonts w:ascii="Times New Roman" w:eastAsia="Times New Roman" w:hAnsi="Times New Roman" w:cs="Times New Roman"/>
          <w:kern w:val="0"/>
          <w:lang w:val="es-ES"/>
          <w14:ligatures w14:val="none"/>
        </w:rPr>
        <w:t xml:space="preserve">los arreglos económicos. Sus efectos acumulativos y estructurales, o racismo estructural, se manifiestan en formas que perpetúan desigualdades económicas basadas en la raza. La racialización y la economía política interactúan continuamente, desde quién </w:t>
      </w:r>
      <w:r w:rsidR="00F4789B" w:rsidRPr="009257E7">
        <w:rPr>
          <w:rFonts w:ascii="Times New Roman" w:eastAsia="Times New Roman" w:hAnsi="Times New Roman" w:cs="Times New Roman"/>
          <w:kern w:val="0"/>
          <w:lang w:val="es-ES"/>
          <w14:ligatures w14:val="none"/>
        </w:rPr>
        <w:t>controla las fuentes de riqueza en la sociedad, como la tierra, el trabajo y el capital,</w:t>
      </w:r>
      <w:r w:rsidRPr="009257E7">
        <w:rPr>
          <w:rFonts w:ascii="Times New Roman" w:eastAsia="Times New Roman" w:hAnsi="Times New Roman" w:cs="Times New Roman"/>
          <w:kern w:val="0"/>
          <w:lang w:val="es-ES"/>
          <w14:ligatures w14:val="none"/>
        </w:rPr>
        <w:t xml:space="preserve"> hasta dónde viven las personas, dónde van a la escuela, cómo acceden al transporte y a la atención médica, y mucho más. [...] Esta historia moldea la economía política mucho más que las nociones de </w:t>
      </w:r>
      <w:r w:rsidR="00F4789B" w:rsidRPr="009257E7">
        <w:rPr>
          <w:rFonts w:ascii="Times New Roman" w:eastAsia="Times New Roman" w:hAnsi="Times New Roman" w:cs="Times New Roman"/>
          <w:kern w:val="0"/>
          <w:lang w:val="es-ES"/>
          <w14:ligatures w14:val="none"/>
        </w:rPr>
        <w:t xml:space="preserve">los </w:t>
      </w:r>
      <w:r w:rsidRPr="009257E7">
        <w:rPr>
          <w:rFonts w:ascii="Times New Roman" w:eastAsia="Times New Roman" w:hAnsi="Times New Roman" w:cs="Times New Roman"/>
          <w:kern w:val="0"/>
          <w:lang w:val="es-ES"/>
          <w14:ligatures w14:val="none"/>
        </w:rPr>
        <w:t>mercados libres y la mano invisible.</w:t>
      </w:r>
      <w:r w:rsidR="0066538D" w:rsidRPr="009257E7">
        <w:rPr>
          <w:rStyle w:val="FootnoteReference"/>
          <w:rFonts w:ascii="Times New Roman" w:eastAsia="Times New Roman" w:hAnsi="Times New Roman" w:cs="Times New Roman"/>
          <w:kern w:val="0"/>
          <w:lang w:val="es-ES"/>
          <w14:ligatures w14:val="none"/>
        </w:rPr>
        <w:footnoteReference w:id="197"/>
      </w:r>
    </w:p>
    <w:p w14:paraId="6EFEC930" w14:textId="537C5234" w:rsidR="00F3378B" w:rsidRPr="009257E7" w:rsidRDefault="00F3378B" w:rsidP="007B44C3">
      <w:pPr>
        <w:pStyle w:val="NormalWeb"/>
        <w:rPr>
          <w:lang w:val="es-ES"/>
        </w:rPr>
      </w:pPr>
      <w:r w:rsidRPr="009257E7">
        <w:rPr>
          <w:lang w:val="es-ES"/>
        </w:rPr>
        <w:t xml:space="preserve">Considérese cómo el Congreso de </w:t>
      </w:r>
      <w:r w:rsidR="0066538D" w:rsidRPr="009257E7">
        <w:rPr>
          <w:lang w:val="es-ES"/>
        </w:rPr>
        <w:t xml:space="preserve">los </w:t>
      </w:r>
      <w:r w:rsidRPr="009257E7">
        <w:rPr>
          <w:lang w:val="es-ES"/>
        </w:rPr>
        <w:t xml:space="preserve">Estados Unidos incorporó explícitamente identidades sociales en el derecho estatutario para excluir a </w:t>
      </w:r>
      <w:r w:rsidR="00407E07" w:rsidRPr="009257E7">
        <w:rPr>
          <w:lang w:val="es-ES"/>
        </w:rPr>
        <w:t xml:space="preserve">las </w:t>
      </w:r>
      <w:r w:rsidRPr="009257E7">
        <w:rPr>
          <w:lang w:val="es-ES"/>
        </w:rPr>
        <w:t xml:space="preserve">personas de Asia, como grupo, de la entrada a </w:t>
      </w:r>
      <w:r w:rsidR="00407E07" w:rsidRPr="009257E7">
        <w:rPr>
          <w:lang w:val="es-ES"/>
        </w:rPr>
        <w:t xml:space="preserve">los </w:t>
      </w:r>
      <w:r w:rsidRPr="009257E7">
        <w:rPr>
          <w:lang w:val="es-ES"/>
        </w:rPr>
        <w:t xml:space="preserve">Estados Unidos o de la participación en </w:t>
      </w:r>
      <w:r w:rsidR="00407E07" w:rsidRPr="009257E7">
        <w:rPr>
          <w:lang w:val="es-ES"/>
        </w:rPr>
        <w:t>ellos</w:t>
      </w:r>
      <w:r w:rsidRPr="009257E7">
        <w:rPr>
          <w:lang w:val="es-ES"/>
        </w:rPr>
        <w:t>. Formalmente, este esfuerzo duró décadas después de la Guerra Civil y la Decimocuarta Enmienda, y se llevó a cabo mediante las “</w:t>
      </w:r>
      <w:proofErr w:type="spellStart"/>
      <w:r w:rsidRPr="009257E7">
        <w:rPr>
          <w:lang w:val="es-ES"/>
        </w:rPr>
        <w:t>Chinese</w:t>
      </w:r>
      <w:proofErr w:type="spellEnd"/>
      <w:r w:rsidRPr="009257E7">
        <w:rPr>
          <w:lang w:val="es-ES"/>
        </w:rPr>
        <w:t xml:space="preserve"> </w:t>
      </w:r>
      <w:proofErr w:type="spellStart"/>
      <w:r w:rsidRPr="009257E7">
        <w:rPr>
          <w:lang w:val="es-ES"/>
        </w:rPr>
        <w:t>Exclusion</w:t>
      </w:r>
      <w:proofErr w:type="spellEnd"/>
      <w:r w:rsidRPr="009257E7">
        <w:rPr>
          <w:lang w:val="es-ES"/>
        </w:rPr>
        <w:t xml:space="preserve"> Laws” de 1882 —y posteriores—, que la Corte Suprema sostuvo en 1889</w:t>
      </w:r>
      <w:r w:rsidR="00407E07" w:rsidRPr="009257E7">
        <w:rPr>
          <w:lang w:val="es-ES"/>
        </w:rPr>
        <w:t>,</w:t>
      </w:r>
      <w:r w:rsidRPr="009257E7">
        <w:rPr>
          <w:lang w:val="es-ES"/>
        </w:rPr>
        <w:t xml:space="preserve"> como </w:t>
      </w:r>
      <w:r w:rsidRPr="009257E7">
        <w:rPr>
          <w:lang w:val="es-ES"/>
        </w:rPr>
        <w:lastRenderedPageBreak/>
        <w:t>ejercicios legítimos del poder legislativo</w:t>
      </w:r>
      <w:r w:rsidR="00581C58" w:rsidRPr="009257E7">
        <w:rPr>
          <w:rStyle w:val="FootnoteReference"/>
          <w:lang w:val="es-ES"/>
        </w:rPr>
        <w:footnoteReference w:id="198"/>
      </w:r>
      <w:r w:rsidRPr="009257E7">
        <w:rPr>
          <w:lang w:val="es-ES"/>
        </w:rPr>
        <w:t xml:space="preserve">. Según el juez de la Corte Suprema de </w:t>
      </w:r>
      <w:r w:rsidR="00581C58" w:rsidRPr="009257E7">
        <w:rPr>
          <w:lang w:val="es-ES"/>
        </w:rPr>
        <w:t xml:space="preserve">los </w:t>
      </w:r>
      <w:r w:rsidRPr="009257E7">
        <w:rPr>
          <w:lang w:val="es-ES"/>
        </w:rPr>
        <w:t>Estados Unidos</w:t>
      </w:r>
      <w:r w:rsidR="00181DF9" w:rsidRPr="009257E7">
        <w:rPr>
          <w:lang w:val="es-ES"/>
        </w:rPr>
        <w:t>,</w:t>
      </w:r>
      <w:r w:rsidRPr="009257E7">
        <w:rPr>
          <w:lang w:val="es-ES"/>
        </w:rPr>
        <w:t xml:space="preserve"> John Marshall Harlan, la raza china “era tan diferente de la nuestra que no permitimos que quienes pertenecen a ella se conviertan en ciudadan</w:t>
      </w:r>
      <w:r w:rsidR="00181DF9" w:rsidRPr="009257E7">
        <w:rPr>
          <w:lang w:val="es-ES"/>
        </w:rPr>
        <w:t>o</w:t>
      </w:r>
      <w:r w:rsidRPr="009257E7">
        <w:rPr>
          <w:lang w:val="es-ES"/>
        </w:rPr>
        <w:t>s de Estados Unidos”</w:t>
      </w:r>
      <w:r w:rsidR="003A53C9" w:rsidRPr="009257E7">
        <w:rPr>
          <w:rStyle w:val="FootnoteReference"/>
          <w:lang w:val="es-ES"/>
        </w:rPr>
        <w:footnoteReference w:id="199"/>
      </w:r>
      <w:r w:rsidRPr="009257E7">
        <w:rPr>
          <w:lang w:val="es-ES"/>
        </w:rPr>
        <w:t xml:space="preserve">. Las personas chinas estuvieron sujetas a “muros” jurídicos estadounidenses </w:t>
      </w:r>
      <w:r w:rsidR="006A044B" w:rsidRPr="009257E7">
        <w:rPr>
          <w:lang w:val="es-ES"/>
        </w:rPr>
        <w:t>que impedían</w:t>
      </w:r>
      <w:r w:rsidRPr="009257E7">
        <w:rPr>
          <w:lang w:val="es-ES"/>
        </w:rPr>
        <w:t xml:space="preserve"> su entrada hasta 1943, durante la guerra, cuando las barreras jurídicas se redujeron mediante una convergencia de intereses </w:t>
      </w:r>
      <w:r w:rsidR="006A044B" w:rsidRPr="009257E7">
        <w:rPr>
          <w:lang w:val="es-ES"/>
        </w:rPr>
        <w:t>tra</w:t>
      </w:r>
      <w:r w:rsidRPr="009257E7">
        <w:rPr>
          <w:lang w:val="es-ES"/>
        </w:rPr>
        <w:t xml:space="preserve">s </w:t>
      </w:r>
      <w:r w:rsidR="006A044B" w:rsidRPr="009257E7">
        <w:rPr>
          <w:lang w:val="es-ES"/>
        </w:rPr>
        <w:t>el</w:t>
      </w:r>
      <w:r w:rsidRPr="009257E7">
        <w:rPr>
          <w:lang w:val="es-ES"/>
        </w:rPr>
        <w:t xml:space="preserve"> </w:t>
      </w:r>
      <w:r w:rsidR="006A044B" w:rsidRPr="009257E7">
        <w:rPr>
          <w:lang w:val="es-ES"/>
        </w:rPr>
        <w:t>intento d</w:t>
      </w:r>
      <w:r w:rsidRPr="009257E7">
        <w:rPr>
          <w:lang w:val="es-ES"/>
        </w:rPr>
        <w:t xml:space="preserve">e Japón </w:t>
      </w:r>
      <w:r w:rsidR="006A044B" w:rsidRPr="009257E7">
        <w:rPr>
          <w:lang w:val="es-ES"/>
        </w:rPr>
        <w:t>de</w:t>
      </w:r>
      <w:r w:rsidRPr="009257E7">
        <w:rPr>
          <w:lang w:val="es-ES"/>
        </w:rPr>
        <w:t xml:space="preserve"> </w:t>
      </w:r>
      <w:r w:rsidR="006A044B" w:rsidRPr="009257E7">
        <w:rPr>
          <w:lang w:val="es-ES"/>
        </w:rPr>
        <w:t>aprovech</w:t>
      </w:r>
      <w:r w:rsidRPr="009257E7">
        <w:rPr>
          <w:lang w:val="es-ES"/>
        </w:rPr>
        <w:t xml:space="preserve">ar el prejuicio antiasiático para dividir a </w:t>
      </w:r>
      <w:r w:rsidR="006A044B" w:rsidRPr="009257E7">
        <w:rPr>
          <w:lang w:val="es-ES"/>
        </w:rPr>
        <w:t xml:space="preserve">los </w:t>
      </w:r>
      <w:r w:rsidRPr="009257E7">
        <w:rPr>
          <w:lang w:val="es-ES"/>
        </w:rPr>
        <w:t>Estados Unidos de su aliada importante en la guerra: China. Como explica la académica feminista crítica Leti Volpp, este “orientalismo estadounidense” describe “</w:t>
      </w:r>
      <w:r w:rsidR="007B44C3" w:rsidRPr="009257E7">
        <w:rPr>
          <w:lang w:val="es-ES"/>
        </w:rPr>
        <w:t>cómo se ha construido la identidad nacional de los Estados Unidos en oposición a los asiáticos y los asiático-estadounidenses —a quienes se caracteriza como “extranjeros” en contraste con los “</w:t>
      </w:r>
      <w:proofErr w:type="gramStart"/>
      <w:r w:rsidR="007B44C3" w:rsidRPr="009257E7">
        <w:rPr>
          <w:lang w:val="es-ES"/>
        </w:rPr>
        <w:t>ciudadanos”...</w:t>
      </w:r>
      <w:proofErr w:type="gramEnd"/>
      <w:r w:rsidR="007B44C3" w:rsidRPr="009257E7">
        <w:rPr>
          <w:lang w:val="es-ES"/>
        </w:rPr>
        <w:t xml:space="preserve"> [lo que hace que] la idoneidad de los asiático-estadounidenses para integrarse en nuestro cuerpo nacional [se vuelva] sospechosa</w:t>
      </w:r>
      <w:r w:rsidRPr="009257E7">
        <w:rPr>
          <w:lang w:val="es-ES"/>
        </w:rPr>
        <w:t>”</w:t>
      </w:r>
      <w:r w:rsidR="00A029BC" w:rsidRPr="009257E7">
        <w:rPr>
          <w:rStyle w:val="FootnoteReference"/>
          <w:lang w:val="es-ES"/>
        </w:rPr>
        <w:footnoteReference w:id="200"/>
      </w:r>
      <w:r w:rsidRPr="009257E7">
        <w:rPr>
          <w:lang w:val="es-ES"/>
        </w:rPr>
        <w:t>.</w:t>
      </w:r>
    </w:p>
    <w:p w14:paraId="3F792362" w14:textId="68DDCC36" w:rsidR="00F3378B" w:rsidRPr="009257E7" w:rsidRDefault="00F3378B" w:rsidP="00A029BC">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 xml:space="preserve">Durante este período de imperialismo detallado en el capítulo 1, el “imperio americano” —nombrado así por opiniones de la Corte Suprema— creció de manera exponencial, y se extendió desde Cuba y Puerto Rico hasta Guam y Filipinas. En cada instancia, las élites estadounidenses </w:t>
      </w:r>
      <w:r w:rsidR="00802619" w:rsidRPr="009257E7">
        <w:rPr>
          <w:rFonts w:ascii="Times New Roman" w:eastAsia="Times New Roman" w:hAnsi="Times New Roman" w:cs="Times New Roman"/>
          <w:kern w:val="0"/>
          <w:lang w:val="es-ES"/>
          <w14:ligatures w14:val="none"/>
        </w:rPr>
        <w:t>(</w:t>
      </w:r>
      <w:r w:rsidRPr="009257E7">
        <w:rPr>
          <w:rFonts w:ascii="Times New Roman" w:eastAsia="Times New Roman" w:hAnsi="Times New Roman" w:cs="Times New Roman"/>
          <w:kern w:val="0"/>
          <w:lang w:val="es-ES"/>
          <w14:ligatures w14:val="none"/>
        </w:rPr>
        <w:t>y sus jueces</w:t>
      </w:r>
      <w:r w:rsidR="00802619" w:rsidRPr="009257E7">
        <w:rPr>
          <w:rFonts w:ascii="Times New Roman" w:eastAsia="Times New Roman" w:hAnsi="Times New Roman" w:cs="Times New Roman"/>
          <w:kern w:val="0"/>
          <w:lang w:val="es-ES"/>
          <w14:ligatures w14:val="none"/>
        </w:rPr>
        <w:t>)</w:t>
      </w:r>
      <w:r w:rsidRPr="009257E7">
        <w:rPr>
          <w:rFonts w:ascii="Times New Roman" w:eastAsia="Times New Roman" w:hAnsi="Times New Roman" w:cs="Times New Roman"/>
          <w:kern w:val="0"/>
          <w:lang w:val="es-ES"/>
          <w14:ligatures w14:val="none"/>
        </w:rPr>
        <w:t xml:space="preserve"> invocaron fundamentos “científicos” </w:t>
      </w:r>
      <w:r w:rsidR="00386164" w:rsidRPr="009257E7">
        <w:rPr>
          <w:rFonts w:ascii="Times New Roman" w:eastAsia="Times New Roman" w:hAnsi="Times New Roman" w:cs="Times New Roman"/>
          <w:kern w:val="0"/>
          <w:lang w:val="es-ES"/>
          <w14:ligatures w14:val="none"/>
        </w:rPr>
        <w:t>(</w:t>
      </w:r>
      <w:r w:rsidRPr="009257E7">
        <w:rPr>
          <w:rFonts w:ascii="Times New Roman" w:eastAsia="Times New Roman" w:hAnsi="Times New Roman" w:cs="Times New Roman"/>
          <w:kern w:val="0"/>
          <w:lang w:val="es-ES"/>
          <w14:ligatures w14:val="none"/>
        </w:rPr>
        <w:t>como ocurrió con la eugenesia</w:t>
      </w:r>
      <w:r w:rsidR="00386164" w:rsidRPr="009257E7">
        <w:rPr>
          <w:rFonts w:ascii="Times New Roman" w:eastAsia="Times New Roman" w:hAnsi="Times New Roman" w:cs="Times New Roman"/>
          <w:kern w:val="0"/>
          <w:lang w:val="es-ES"/>
          <w14:ligatures w14:val="none"/>
        </w:rPr>
        <w:t>)</w:t>
      </w:r>
      <w:r w:rsidRPr="009257E7">
        <w:rPr>
          <w:rFonts w:ascii="Times New Roman" w:eastAsia="Times New Roman" w:hAnsi="Times New Roman" w:cs="Times New Roman"/>
          <w:kern w:val="0"/>
          <w:lang w:val="es-ES"/>
          <w14:ligatures w14:val="none"/>
        </w:rPr>
        <w:t xml:space="preserve"> para determinar si cada uno de los pueblos </w:t>
      </w:r>
      <w:r w:rsidR="00386164" w:rsidRPr="009257E7">
        <w:rPr>
          <w:rFonts w:ascii="Times New Roman" w:eastAsia="Times New Roman" w:hAnsi="Times New Roman" w:cs="Times New Roman"/>
          <w:kern w:val="0"/>
          <w:lang w:val="es-ES"/>
          <w14:ligatures w14:val="none"/>
        </w:rPr>
        <w:t>de</w:t>
      </w:r>
      <w:r w:rsidRPr="009257E7">
        <w:rPr>
          <w:rFonts w:ascii="Times New Roman" w:eastAsia="Times New Roman" w:hAnsi="Times New Roman" w:cs="Times New Roman"/>
          <w:kern w:val="0"/>
          <w:lang w:val="es-ES"/>
          <w14:ligatures w14:val="none"/>
        </w:rPr>
        <w:t xml:space="preserve"> las tierras recién adquiridas era, colectivamente, “repugnante a su propia naturaleza” y, por tanto, debía ser excluido </w:t>
      </w:r>
      <w:r w:rsidR="00386164" w:rsidRPr="009257E7">
        <w:rPr>
          <w:rFonts w:ascii="Times New Roman" w:eastAsia="Times New Roman" w:hAnsi="Times New Roman" w:cs="Times New Roman"/>
          <w:kern w:val="0"/>
          <w:lang w:val="es-ES"/>
          <w14:ligatures w14:val="none"/>
        </w:rPr>
        <w:t>d</w:t>
      </w:r>
      <w:r w:rsidRPr="009257E7">
        <w:rPr>
          <w:rFonts w:ascii="Times New Roman" w:eastAsia="Times New Roman" w:hAnsi="Times New Roman" w:cs="Times New Roman"/>
          <w:kern w:val="0"/>
          <w:lang w:val="es-ES"/>
          <w14:ligatures w14:val="none"/>
        </w:rPr>
        <w:t xml:space="preserve">el derecho </w:t>
      </w:r>
      <w:r w:rsidR="00386164" w:rsidRPr="009257E7">
        <w:rPr>
          <w:rFonts w:ascii="Times New Roman" w:eastAsia="Times New Roman" w:hAnsi="Times New Roman" w:cs="Times New Roman"/>
          <w:kern w:val="0"/>
          <w:lang w:val="es-ES"/>
          <w14:ligatures w14:val="none"/>
        </w:rPr>
        <w:t>a la</w:t>
      </w:r>
      <w:r w:rsidRPr="009257E7">
        <w:rPr>
          <w:rFonts w:ascii="Times New Roman" w:eastAsia="Times New Roman" w:hAnsi="Times New Roman" w:cs="Times New Roman"/>
          <w:kern w:val="0"/>
          <w:lang w:val="es-ES"/>
          <w14:ligatures w14:val="none"/>
        </w:rPr>
        <w:t xml:space="preserve"> entrada física o de la ciudadanía estadounidense formal. Dentro de este marco imperial estadounidense, las élites consideraron que </w:t>
      </w:r>
      <w:r w:rsidR="00C57814" w:rsidRPr="009257E7">
        <w:rPr>
          <w:rFonts w:ascii="Times New Roman" w:eastAsia="Times New Roman" w:hAnsi="Times New Roman" w:cs="Times New Roman"/>
          <w:kern w:val="0"/>
          <w:lang w:val="es-ES"/>
          <w14:ligatures w14:val="none"/>
        </w:rPr>
        <w:t xml:space="preserve">las </w:t>
      </w:r>
      <w:r w:rsidRPr="009257E7">
        <w:rPr>
          <w:rFonts w:ascii="Times New Roman" w:eastAsia="Times New Roman" w:hAnsi="Times New Roman" w:cs="Times New Roman"/>
          <w:kern w:val="0"/>
          <w:lang w:val="es-ES"/>
          <w14:ligatures w14:val="none"/>
        </w:rPr>
        <w:t xml:space="preserve">poblaciones asiáticas y </w:t>
      </w:r>
      <w:proofErr w:type="spellStart"/>
      <w:r w:rsidRPr="009257E7">
        <w:rPr>
          <w:rFonts w:ascii="Times New Roman" w:eastAsia="Times New Roman" w:hAnsi="Times New Roman" w:cs="Times New Roman"/>
          <w:kern w:val="0"/>
          <w:lang w:val="es-ES"/>
          <w14:ligatures w14:val="none"/>
        </w:rPr>
        <w:t>latinx</w:t>
      </w:r>
      <w:proofErr w:type="spellEnd"/>
      <w:r w:rsidRPr="009257E7">
        <w:rPr>
          <w:rFonts w:ascii="Times New Roman" w:eastAsia="Times New Roman" w:hAnsi="Times New Roman" w:cs="Times New Roman"/>
          <w:kern w:val="0"/>
          <w:lang w:val="es-ES"/>
          <w14:ligatures w14:val="none"/>
        </w:rPr>
        <w:t xml:space="preserve"> eran repugnantes a su propia naturaleza al compararlas </w:t>
      </w:r>
      <w:r w:rsidR="00C57814" w:rsidRPr="009257E7">
        <w:rPr>
          <w:rFonts w:ascii="Times New Roman" w:eastAsia="Times New Roman" w:hAnsi="Times New Roman" w:cs="Times New Roman"/>
          <w:kern w:val="0"/>
          <w:lang w:val="es-ES"/>
          <w14:ligatures w14:val="none"/>
        </w:rPr>
        <w:t>(</w:t>
      </w:r>
      <w:r w:rsidRPr="009257E7">
        <w:rPr>
          <w:rFonts w:ascii="Times New Roman" w:eastAsia="Times New Roman" w:hAnsi="Times New Roman" w:cs="Times New Roman"/>
          <w:kern w:val="0"/>
          <w:lang w:val="es-ES"/>
          <w14:ligatures w14:val="none"/>
        </w:rPr>
        <w:t>según las élites</w:t>
      </w:r>
      <w:r w:rsidR="00C57814" w:rsidRPr="009257E7">
        <w:rPr>
          <w:rFonts w:ascii="Times New Roman" w:eastAsia="Times New Roman" w:hAnsi="Times New Roman" w:cs="Times New Roman"/>
          <w:kern w:val="0"/>
          <w:lang w:val="es-ES"/>
          <w14:ligatures w14:val="none"/>
        </w:rPr>
        <w:t>)</w:t>
      </w:r>
      <w:r w:rsidRPr="009257E7">
        <w:rPr>
          <w:rFonts w:ascii="Times New Roman" w:eastAsia="Times New Roman" w:hAnsi="Times New Roman" w:cs="Times New Roman"/>
          <w:kern w:val="0"/>
          <w:lang w:val="es-ES"/>
          <w14:ligatures w14:val="none"/>
        </w:rPr>
        <w:t xml:space="preserve"> con su “capacidad para realizar las características [que las élites] asociaban con la blanquitud”</w:t>
      </w:r>
      <w:r w:rsidR="00C57814" w:rsidRPr="009257E7">
        <w:rPr>
          <w:rStyle w:val="FootnoteReference"/>
          <w:rFonts w:ascii="Times New Roman" w:eastAsia="Times New Roman" w:hAnsi="Times New Roman" w:cs="Times New Roman"/>
          <w:kern w:val="0"/>
          <w:lang w:val="es-ES"/>
          <w14:ligatures w14:val="none"/>
        </w:rPr>
        <w:footnoteReference w:id="201"/>
      </w:r>
      <w:r w:rsidRPr="009257E7">
        <w:rPr>
          <w:rFonts w:ascii="Times New Roman" w:eastAsia="Times New Roman" w:hAnsi="Times New Roman" w:cs="Times New Roman"/>
          <w:kern w:val="0"/>
          <w:lang w:val="es-ES"/>
          <w14:ligatures w14:val="none"/>
        </w:rPr>
        <w:t>. Esta historia crítica ayuda a explicar por qué algunas conquistas —como todo el suroeste de Estados Unidos y Haw</w:t>
      </w:r>
      <w:r w:rsidR="00BD5406" w:rsidRPr="009257E7">
        <w:rPr>
          <w:rFonts w:ascii="Times New Roman" w:eastAsia="Times New Roman" w:hAnsi="Times New Roman" w:cs="Times New Roman"/>
          <w:kern w:val="0"/>
          <w:lang w:val="es-ES"/>
          <w14:ligatures w14:val="none"/>
        </w:rPr>
        <w:t>á</w:t>
      </w:r>
      <w:r w:rsidRPr="009257E7">
        <w:rPr>
          <w:rFonts w:ascii="Times New Roman" w:eastAsia="Times New Roman" w:hAnsi="Times New Roman" w:cs="Times New Roman"/>
          <w:kern w:val="0"/>
          <w:lang w:val="es-ES"/>
          <w14:ligatures w14:val="none"/>
        </w:rPr>
        <w:t>i— fueron anexadas oficialmente como estados</w:t>
      </w:r>
      <w:r w:rsidR="00291F3F" w:rsidRPr="009257E7">
        <w:rPr>
          <w:rFonts w:ascii="Times New Roman" w:eastAsia="Times New Roman" w:hAnsi="Times New Roman" w:cs="Times New Roman"/>
          <w:kern w:val="0"/>
          <w:lang w:val="es-ES"/>
          <w14:ligatures w14:val="none"/>
        </w:rPr>
        <w:t>. E</w:t>
      </w:r>
      <w:r w:rsidRPr="009257E7">
        <w:rPr>
          <w:rFonts w:ascii="Times New Roman" w:eastAsia="Times New Roman" w:hAnsi="Times New Roman" w:cs="Times New Roman"/>
          <w:kern w:val="0"/>
          <w:lang w:val="es-ES"/>
          <w14:ligatures w14:val="none"/>
        </w:rPr>
        <w:t>n lugares como Nuevo México</w:t>
      </w:r>
      <w:r w:rsidR="00BD5406" w:rsidRPr="009257E7">
        <w:rPr>
          <w:rFonts w:ascii="Times New Roman" w:eastAsia="Times New Roman" w:hAnsi="Times New Roman" w:cs="Times New Roman"/>
          <w:kern w:val="0"/>
          <w:lang w:val="es-ES"/>
          <w14:ligatures w14:val="none"/>
        </w:rPr>
        <w:t>,</w:t>
      </w:r>
      <w:r w:rsidR="00291F3F" w:rsidRPr="009257E7">
        <w:rPr>
          <w:rFonts w:ascii="Times New Roman" w:eastAsia="Times New Roman" w:hAnsi="Times New Roman" w:cs="Times New Roman"/>
          <w:kern w:val="0"/>
          <w:lang w:val="es-ES"/>
          <w14:ligatures w14:val="none"/>
        </w:rPr>
        <w:t xml:space="preserve"> hubo una demora larga </w:t>
      </w:r>
      <w:r w:rsidRPr="009257E7">
        <w:rPr>
          <w:rFonts w:ascii="Times New Roman" w:eastAsia="Times New Roman" w:hAnsi="Times New Roman" w:cs="Times New Roman"/>
          <w:kern w:val="0"/>
          <w:lang w:val="es-ES"/>
          <w14:ligatures w14:val="none"/>
        </w:rPr>
        <w:t xml:space="preserve">hasta que </w:t>
      </w:r>
      <w:r w:rsidR="00BD5406" w:rsidRPr="009257E7">
        <w:rPr>
          <w:rFonts w:ascii="Times New Roman" w:eastAsia="Times New Roman" w:hAnsi="Times New Roman" w:cs="Times New Roman"/>
          <w:kern w:val="0"/>
          <w:lang w:val="es-ES"/>
          <w14:ligatures w14:val="none"/>
        </w:rPr>
        <w:t xml:space="preserve">las </w:t>
      </w:r>
      <w:r w:rsidRPr="009257E7">
        <w:rPr>
          <w:rFonts w:ascii="Times New Roman" w:eastAsia="Times New Roman" w:hAnsi="Times New Roman" w:cs="Times New Roman"/>
          <w:kern w:val="0"/>
          <w:lang w:val="es-ES"/>
          <w14:ligatures w14:val="none"/>
        </w:rPr>
        <w:t>personas blancas se mudaron allí en número suficiente, mientras</w:t>
      </w:r>
      <w:r w:rsidR="00BD5406" w:rsidRPr="009257E7">
        <w:rPr>
          <w:rFonts w:ascii="Times New Roman" w:eastAsia="Times New Roman" w:hAnsi="Times New Roman" w:cs="Times New Roman"/>
          <w:kern w:val="0"/>
          <w:lang w:val="es-ES"/>
          <w14:ligatures w14:val="none"/>
        </w:rPr>
        <w:t xml:space="preserve"> que</w:t>
      </w:r>
      <w:r w:rsidRPr="009257E7">
        <w:rPr>
          <w:rFonts w:ascii="Times New Roman" w:eastAsia="Times New Roman" w:hAnsi="Times New Roman" w:cs="Times New Roman"/>
          <w:kern w:val="0"/>
          <w:lang w:val="es-ES"/>
          <w14:ligatures w14:val="none"/>
        </w:rPr>
        <w:t xml:space="preserve"> otros lugares dentro del imperio —como Cuba, Puerto Rico y Filipinas— no lo fueron.</w:t>
      </w:r>
    </w:p>
    <w:p w14:paraId="254F447D" w14:textId="77777777" w:rsidR="00F3378B" w:rsidRPr="009257E7" w:rsidRDefault="00F3378B" w:rsidP="00B578DD">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Cada grupo definido por una identidad social —raza, etnicidad, sexo, clase, religión u otra— tiene una historia particular propia. Esta particularidad está asegurada por la especificidad de las identidades o ideologías sociales combinadas que operan en un contexto determinado. Pero, debido a que en la raíz todas están impulsadas por la supremacía blanca, las ideologías y los contextos también comparten puntos comunes. Les abogades conocen y recuerdan ambas partes de esta ecuación al combinar estrategias tanto de mejora como de transformación.</w:t>
      </w:r>
    </w:p>
    <w:p w14:paraId="459D7648" w14:textId="77777777" w:rsidR="003A0792" w:rsidRPr="009257E7" w:rsidRDefault="008F5B70" w:rsidP="003A0792">
      <w:pPr>
        <w:spacing w:before="100" w:beforeAutospacing="1" w:after="100" w:afterAutospacing="1" w:line="240" w:lineRule="auto"/>
        <w:rPr>
          <w:rFonts w:ascii="Times New Roman" w:eastAsia="Times New Roman" w:hAnsi="Times New Roman" w:cs="Times New Roman"/>
          <w:b/>
          <w:bCs/>
          <w:kern w:val="0"/>
          <w:lang w:val="es-ES"/>
          <w14:ligatures w14:val="none"/>
        </w:rPr>
      </w:pPr>
      <w:r w:rsidRPr="009257E7">
        <w:rPr>
          <w:rFonts w:ascii="Times New Roman" w:eastAsia="Times New Roman" w:hAnsi="Times New Roman" w:cs="Times New Roman"/>
          <w:b/>
          <w:bCs/>
          <w:kern w:val="0"/>
          <w:lang w:val="es-ES"/>
          <w14:ligatures w14:val="none"/>
        </w:rPr>
        <w:t>5.5 Responder de forma inteligente: usar la mejora para la transformación</w:t>
      </w:r>
    </w:p>
    <w:p w14:paraId="14E7C0FD" w14:textId="0BA14559" w:rsidR="00B77EE0" w:rsidRPr="009257E7" w:rsidRDefault="00B77EE0" w:rsidP="00B77EE0">
      <w:pPr>
        <w:pStyle w:val="NormalWeb"/>
        <w:ind w:firstLine="720"/>
        <w:rPr>
          <w:lang w:val="es-ES"/>
        </w:rPr>
      </w:pPr>
      <w:r w:rsidRPr="009257E7">
        <w:rPr>
          <w:lang w:val="es-ES"/>
        </w:rPr>
        <w:t xml:space="preserve">Les abogades por la justicia trabajan tanto por la mejora como por la transformación. La primera se refiere a soluciones técnicas para los sistemas que pueden corregir casos individuales de injusticia, pero no buscan cambios preventivos ni sistémicos. La segunda usa la primera como andamiaje; en otras palabras, les abogades usan los esfuerzos de mejora para reunir los bloques </w:t>
      </w:r>
      <w:r w:rsidRPr="009257E7">
        <w:rPr>
          <w:lang w:val="es-ES"/>
        </w:rPr>
        <w:lastRenderedPageBreak/>
        <w:t xml:space="preserve">de construcción de la transformación social. La injusticia sistémica, como hemos señalado, es compleja y, por tanto, también lo es lograr </w:t>
      </w:r>
      <w:r w:rsidR="007B3C91" w:rsidRPr="009257E7">
        <w:rPr>
          <w:lang w:val="es-ES"/>
        </w:rPr>
        <w:t xml:space="preserve">el </w:t>
      </w:r>
      <w:r w:rsidRPr="009257E7">
        <w:rPr>
          <w:lang w:val="es-ES"/>
        </w:rPr>
        <w:t>progreso desde abajo.</w:t>
      </w:r>
    </w:p>
    <w:p w14:paraId="19E35A8B" w14:textId="02F52934" w:rsidR="00B77EE0" w:rsidRPr="009257E7" w:rsidRDefault="00B77EE0" w:rsidP="007B3C91">
      <w:pPr>
        <w:pStyle w:val="NormalWeb"/>
        <w:ind w:firstLine="720"/>
        <w:rPr>
          <w:lang w:val="es-ES"/>
        </w:rPr>
      </w:pPr>
      <w:r w:rsidRPr="009257E7">
        <w:rPr>
          <w:lang w:val="es-ES"/>
        </w:rPr>
        <w:t xml:space="preserve">Por ejemplo, en Flint, Michigan, funcionaries de una comunidad predominantemente negra, con la tasa de pobreza más alta del país, cambiaron el suministro de agua potable al río Flint, altamente contaminado. Supuestamente, este cambio era necesario como medida de ahorro durante una emergencia financiera municipal. Pero este cambio envenenó a </w:t>
      </w:r>
      <w:r w:rsidR="007D71B5" w:rsidRPr="009257E7">
        <w:rPr>
          <w:lang w:val="es-ES"/>
        </w:rPr>
        <w:t xml:space="preserve">los </w:t>
      </w:r>
      <w:r w:rsidRPr="009257E7">
        <w:rPr>
          <w:lang w:val="es-ES"/>
        </w:rPr>
        <w:t xml:space="preserve">integrantes de la comunidad cuando esa agua corrosiva </w:t>
      </w:r>
      <w:r w:rsidR="007D71B5" w:rsidRPr="009257E7">
        <w:rPr>
          <w:lang w:val="es-ES"/>
        </w:rPr>
        <w:t>entró en contacto</w:t>
      </w:r>
      <w:r w:rsidRPr="009257E7">
        <w:rPr>
          <w:lang w:val="es-ES"/>
        </w:rPr>
        <w:t xml:space="preserve"> con la infraestructura envejecida de tuberías de plomo </w:t>
      </w:r>
      <w:r w:rsidR="007D71B5" w:rsidRPr="009257E7">
        <w:rPr>
          <w:lang w:val="es-ES"/>
        </w:rPr>
        <w:t>en</w:t>
      </w:r>
      <w:r w:rsidRPr="009257E7">
        <w:rPr>
          <w:lang w:val="es-ES"/>
        </w:rPr>
        <w:t xml:space="preserve"> Flint</w:t>
      </w:r>
      <w:r w:rsidR="0065756E" w:rsidRPr="009257E7">
        <w:rPr>
          <w:rStyle w:val="FootnoteReference"/>
          <w:lang w:val="es-ES"/>
        </w:rPr>
        <w:footnoteReference w:id="202"/>
      </w:r>
      <w:r w:rsidRPr="009257E7">
        <w:rPr>
          <w:lang w:val="es-ES"/>
        </w:rPr>
        <w:t>.</w:t>
      </w:r>
      <w:r w:rsidR="00D13D8D" w:rsidRPr="009257E7">
        <w:rPr>
          <w:lang w:val="es-ES"/>
        </w:rPr>
        <w:t xml:space="preserve"> </w:t>
      </w:r>
    </w:p>
    <w:p w14:paraId="4215358D" w14:textId="3BE3EEE6" w:rsidR="00B77EE0" w:rsidRPr="009257E7" w:rsidRDefault="00B77EE0" w:rsidP="00F56152">
      <w:pPr>
        <w:pStyle w:val="NormalWeb"/>
        <w:ind w:firstLine="720"/>
        <w:rPr>
          <w:lang w:val="es-ES"/>
        </w:rPr>
      </w:pPr>
      <w:r w:rsidRPr="009257E7">
        <w:rPr>
          <w:lang w:val="es-ES"/>
        </w:rPr>
        <w:t>Un remedio tradicional frente a este problema podría buscar mejorar los efectos del agua envenenada. Por ejemplo, la crisis llevó a la corporación Nestlé a donar más de un millón de botellas plásticas de agua a residentes de Flint desde 2015</w:t>
      </w:r>
      <w:r w:rsidR="00B87B32" w:rsidRPr="009257E7">
        <w:rPr>
          <w:rStyle w:val="FootnoteReference"/>
          <w:lang w:val="es-ES"/>
        </w:rPr>
        <w:footnoteReference w:id="203"/>
      </w:r>
      <w:r w:rsidRPr="009257E7">
        <w:rPr>
          <w:lang w:val="es-ES"/>
        </w:rPr>
        <w:t xml:space="preserve">. Esto les dio agua potable limpia durante un tiempo. Este acto es reformista, en línea con el dicho: “Dale un pez a un hombre y lo alimentarás por un día”. Eso no es algo malo: proveer agua limpia a quienes la necesitan. El dicho continúa: “Enséñale a pescar a un hombre y lo alimentarás toda la vida”. En el caso de Flint, </w:t>
      </w:r>
      <w:r w:rsidR="00B87B32" w:rsidRPr="009257E7">
        <w:rPr>
          <w:lang w:val="es-ES"/>
        </w:rPr>
        <w:t xml:space="preserve">les </w:t>
      </w:r>
      <w:r w:rsidRPr="009257E7">
        <w:rPr>
          <w:lang w:val="es-ES"/>
        </w:rPr>
        <w:t>funcionaries trabajaron con socies comunitaries locales para ayudar a individuos a obtener filtros de agua y aprender a instalarlos; alentaron esfuerzos para asegurar que les residentes de Flint recibieran reducciones en sus facturas de agua, de modo que no tuvieran que pagar por agua contaminada; y apoyaron a residentes para convertirse en “científiques ciudadanes” capaces de comprender la calidad de su sistema de agua</w:t>
      </w:r>
      <w:r w:rsidR="002156F2" w:rsidRPr="009257E7">
        <w:rPr>
          <w:rStyle w:val="FootnoteReference"/>
          <w:lang w:val="es-ES"/>
        </w:rPr>
        <w:footnoteReference w:id="204"/>
      </w:r>
      <w:r w:rsidRPr="009257E7">
        <w:rPr>
          <w:lang w:val="es-ES"/>
        </w:rPr>
        <w:t>. Todo eso es importante.</w:t>
      </w:r>
    </w:p>
    <w:p w14:paraId="42B43EC2" w14:textId="10C62E7C" w:rsidR="00B77EE0" w:rsidRPr="009257E7" w:rsidRDefault="00B77EE0" w:rsidP="002156F2">
      <w:pPr>
        <w:pStyle w:val="NormalWeb"/>
        <w:ind w:firstLine="720"/>
        <w:rPr>
          <w:lang w:val="es-ES"/>
        </w:rPr>
      </w:pPr>
      <w:r w:rsidRPr="009257E7">
        <w:rPr>
          <w:lang w:val="es-ES"/>
        </w:rPr>
        <w:t>Pero ¿es transformador? ¿Estas soluciones, de forma aislada, hacen menos probable que les residentes de Flint tengan agua envenenada ahora o más probable que mantengan acceso a agua limpia con el tiempo? ¿Estas medidas aseguran que la toma de decisiones rinda cuentas a las prioridades de les residentes y responda a sus necesidades? En el caso de Flint, recibir botellas de agua</w:t>
      </w:r>
      <w:r w:rsidR="006F12B8" w:rsidRPr="009257E7">
        <w:rPr>
          <w:lang w:val="es-ES"/>
        </w:rPr>
        <w:t xml:space="preserve"> gratis</w:t>
      </w:r>
      <w:r w:rsidRPr="009257E7">
        <w:rPr>
          <w:lang w:val="es-ES"/>
        </w:rPr>
        <w:t xml:space="preserve"> o incluso aprender a filtrar y monitorear su propia agua no basta: eso </w:t>
      </w:r>
      <w:r w:rsidR="006F12B8" w:rsidRPr="009257E7">
        <w:rPr>
          <w:lang w:val="es-ES"/>
        </w:rPr>
        <w:t>solo mitig</w:t>
      </w:r>
      <w:r w:rsidRPr="009257E7">
        <w:rPr>
          <w:lang w:val="es-ES"/>
        </w:rPr>
        <w:t xml:space="preserve">a parcialmente los efectos del problema inmediato. Pero no transforma los sistemas para hacer impensable ese tipo de contaminación en comunidades de color de bajos ingresos, tan común que tiene </w:t>
      </w:r>
      <w:r w:rsidR="006F12B8" w:rsidRPr="009257E7">
        <w:rPr>
          <w:lang w:val="es-ES"/>
        </w:rPr>
        <w:t xml:space="preserve">un </w:t>
      </w:r>
      <w:r w:rsidRPr="009257E7">
        <w:rPr>
          <w:lang w:val="es-ES"/>
        </w:rPr>
        <w:t>nombre: racismo ambiental. La mejora por sí sola no construye poder para asegurar que les residentes puedan ejercer más influencia sobre la toma de decisiones que afecta su salud y prosperidad.</w:t>
      </w:r>
      <w:r w:rsidR="00766979" w:rsidRPr="009257E7">
        <w:rPr>
          <w:lang w:val="es-ES"/>
        </w:rPr>
        <w:t xml:space="preserve"> </w:t>
      </w:r>
    </w:p>
    <w:p w14:paraId="17D87ED5" w14:textId="46D1BE51" w:rsidR="00B77EE0" w:rsidRPr="009257E7" w:rsidRDefault="00B77EE0" w:rsidP="00766979">
      <w:pPr>
        <w:pStyle w:val="NormalWeb"/>
        <w:ind w:firstLine="720"/>
        <w:rPr>
          <w:lang w:val="es-ES"/>
        </w:rPr>
      </w:pPr>
      <w:r w:rsidRPr="009257E7">
        <w:rPr>
          <w:lang w:val="es-ES"/>
        </w:rPr>
        <w:t xml:space="preserve">De hecho, el gesto de ayuda de Nestlé sugiere por qué se necesitan soluciones sistémicas más profundas. Casi al mismo tiempo que Nestlé proveía agua embotellada gratis a </w:t>
      </w:r>
      <w:r w:rsidR="00766979" w:rsidRPr="009257E7">
        <w:rPr>
          <w:lang w:val="es-ES"/>
        </w:rPr>
        <w:t xml:space="preserve">les </w:t>
      </w:r>
      <w:r w:rsidRPr="009257E7">
        <w:rPr>
          <w:lang w:val="es-ES"/>
        </w:rPr>
        <w:t xml:space="preserve">residentes de Flint, la compañía también obtuvo derechos para extraer agua limpia de manantiales naturales de Michigan a precio de ganga y venderla en otros lugares con ganancias considerables. La tarifa anual de acceso de la compañía para bombear 250 galones por minuto de White Pine Springs, en Michigan, era de solo $200, menor que la factura anual de agua de muches propietaries de vivienda. El Departamento de Calidad Ambiental del estado aprobó esta extracción a pesar de </w:t>
      </w:r>
      <w:r w:rsidRPr="009257E7">
        <w:rPr>
          <w:lang w:val="es-ES"/>
        </w:rPr>
        <w:lastRenderedPageBreak/>
        <w:t>80,945 cartas de protesta de residentes, frente a solo 75 a favor</w:t>
      </w:r>
      <w:r w:rsidR="00725E81" w:rsidRPr="009257E7">
        <w:rPr>
          <w:rStyle w:val="FootnoteReference"/>
          <w:lang w:val="es-ES"/>
        </w:rPr>
        <w:footnoteReference w:id="205"/>
      </w:r>
      <w:r w:rsidRPr="009257E7">
        <w:rPr>
          <w:lang w:val="es-ES"/>
        </w:rPr>
        <w:t>. Esto forma parte de un plan corporativo:</w:t>
      </w:r>
    </w:p>
    <w:p w14:paraId="67866980" w14:textId="796E7755" w:rsidR="00B77EE0" w:rsidRPr="009257E7" w:rsidRDefault="00B77EE0" w:rsidP="00725E81">
      <w:pPr>
        <w:pStyle w:val="NormalWeb"/>
        <w:ind w:left="720"/>
        <w:rPr>
          <w:lang w:val="es-ES"/>
        </w:rPr>
      </w:pPr>
      <w:r w:rsidRPr="009257E7">
        <w:rPr>
          <w:lang w:val="es-ES"/>
        </w:rPr>
        <w:t>Nestlé ha llegado a dominar una industria controversial, manantial por manantial, y a menudo entra en municipios económicamente deprimidos con la promesa de empleos e infraestructura nueva</w:t>
      </w:r>
      <w:r w:rsidR="00D605FE" w:rsidRPr="009257E7">
        <w:rPr>
          <w:lang w:val="es-ES"/>
        </w:rPr>
        <w:t>,</w:t>
      </w:r>
      <w:r w:rsidRPr="009257E7">
        <w:rPr>
          <w:lang w:val="es-ES"/>
        </w:rPr>
        <w:t xml:space="preserve"> a cambio de exenciones contributivas y </w:t>
      </w:r>
      <w:r w:rsidR="00D605FE" w:rsidRPr="009257E7">
        <w:rPr>
          <w:lang w:val="es-ES"/>
        </w:rPr>
        <w:t xml:space="preserve">de </w:t>
      </w:r>
      <w:r w:rsidRPr="009257E7">
        <w:rPr>
          <w:lang w:val="es-ES"/>
        </w:rPr>
        <w:t>acceso a un recurso escaso para millones</w:t>
      </w:r>
      <w:r w:rsidR="00D605FE" w:rsidRPr="009257E7">
        <w:rPr>
          <w:lang w:val="es-ES"/>
        </w:rPr>
        <w:t xml:space="preserve"> de personas</w:t>
      </w:r>
      <w:r w:rsidRPr="009257E7">
        <w:rPr>
          <w:lang w:val="es-ES"/>
        </w:rPr>
        <w:t xml:space="preserve">. Cuando Nestlé encuentra resistencia de base contra su consumo industrial masivo, despliega abogades; cuando es bienvenida, puede empujar los límites de esa hospitalidad, a veces con la aquiescencia de gobiernos estatales y locales demasiado faltos de fondos o ineptos para decir que no. Existen los costos usuales de hacer negocios, incluidos </w:t>
      </w:r>
      <w:r w:rsidR="004B48D2" w:rsidRPr="009257E7">
        <w:rPr>
          <w:lang w:val="es-ES"/>
        </w:rPr>
        <w:t xml:space="preserve">el </w:t>
      </w:r>
      <w:r w:rsidRPr="009257E7">
        <w:rPr>
          <w:lang w:val="es-ES"/>
        </w:rPr>
        <w:t xml:space="preserve">transporte, </w:t>
      </w:r>
      <w:r w:rsidR="004B48D2" w:rsidRPr="009257E7">
        <w:rPr>
          <w:lang w:val="es-ES"/>
        </w:rPr>
        <w:t xml:space="preserve">la </w:t>
      </w:r>
      <w:r w:rsidRPr="009257E7">
        <w:rPr>
          <w:lang w:val="es-ES"/>
        </w:rPr>
        <w:t>infraestructura y</w:t>
      </w:r>
      <w:r w:rsidR="004B48D2" w:rsidRPr="009257E7">
        <w:rPr>
          <w:lang w:val="es-ES"/>
        </w:rPr>
        <w:t xml:space="preserve"> los</w:t>
      </w:r>
      <w:r w:rsidRPr="009257E7">
        <w:rPr>
          <w:lang w:val="es-ES"/>
        </w:rPr>
        <w:t xml:space="preserve"> salarios. Pero Nestlé paga poco por el producto que embotella: a veces una tarifa municipal y otras</w:t>
      </w:r>
      <w:r w:rsidR="004B48D2" w:rsidRPr="009257E7">
        <w:rPr>
          <w:lang w:val="es-ES"/>
        </w:rPr>
        <w:t>,</w:t>
      </w:r>
      <w:r w:rsidRPr="009257E7">
        <w:rPr>
          <w:lang w:val="es-ES"/>
        </w:rPr>
        <w:t xml:space="preserve"> solo una tarifa nominal de extracción. En Michigan, son $200.</w:t>
      </w:r>
      <w:r w:rsidR="009F73EF" w:rsidRPr="009257E7">
        <w:rPr>
          <w:rStyle w:val="FootnoteReference"/>
          <w:lang w:val="es-ES"/>
        </w:rPr>
        <w:footnoteReference w:id="206"/>
      </w:r>
    </w:p>
    <w:p w14:paraId="2A8A2F37" w14:textId="0BB2782E" w:rsidR="00B77EE0" w:rsidRPr="009257E7" w:rsidRDefault="00B77EE0" w:rsidP="009F73EF">
      <w:pPr>
        <w:pStyle w:val="NormalWeb"/>
        <w:ind w:firstLine="720"/>
        <w:rPr>
          <w:lang w:val="es-ES"/>
        </w:rPr>
      </w:pPr>
      <w:r w:rsidRPr="009257E7">
        <w:rPr>
          <w:lang w:val="es-ES"/>
        </w:rPr>
        <w:t>Con el tiempo, la privatización de los suministros de agua desplaza el control de la toma de decisiones gubernamental</w:t>
      </w:r>
      <w:r w:rsidR="009F73EF" w:rsidRPr="009257E7">
        <w:rPr>
          <w:lang w:val="es-ES"/>
        </w:rPr>
        <w:t>es</w:t>
      </w:r>
      <w:r w:rsidRPr="009257E7">
        <w:rPr>
          <w:lang w:val="es-ES"/>
        </w:rPr>
        <w:t xml:space="preserve"> a </w:t>
      </w:r>
      <w:r w:rsidR="009F73EF" w:rsidRPr="009257E7">
        <w:rPr>
          <w:lang w:val="es-ES"/>
        </w:rPr>
        <w:t>las corporacione</w:t>
      </w:r>
      <w:r w:rsidRPr="009257E7">
        <w:rPr>
          <w:lang w:val="es-ES"/>
        </w:rPr>
        <w:t>s. Esta transferencia continua reduce de manera constante el control comunitario sobre los recursos públicos. Así, la toma de decisiones se altera de forma fundamental: se aleja a</w:t>
      </w:r>
      <w:r w:rsidR="003062C4" w:rsidRPr="009257E7">
        <w:rPr>
          <w:lang w:val="es-ES"/>
        </w:rPr>
        <w:t>ú</w:t>
      </w:r>
      <w:r w:rsidRPr="009257E7">
        <w:rPr>
          <w:lang w:val="es-ES"/>
        </w:rPr>
        <w:t xml:space="preserve">n más de la apariencia formal de </w:t>
      </w:r>
      <w:r w:rsidR="003062C4" w:rsidRPr="009257E7">
        <w:rPr>
          <w:lang w:val="es-ES"/>
        </w:rPr>
        <w:t xml:space="preserve">la </w:t>
      </w:r>
      <w:r w:rsidRPr="009257E7">
        <w:rPr>
          <w:lang w:val="es-ES"/>
        </w:rPr>
        <w:t>rendición de cuentas democrática. Por tanto, las fallas de la democracia</w:t>
      </w:r>
      <w:r w:rsidR="003062C4" w:rsidRPr="009257E7">
        <w:rPr>
          <w:lang w:val="es-ES"/>
        </w:rPr>
        <w:t>,</w:t>
      </w:r>
      <w:r w:rsidRPr="009257E7">
        <w:rPr>
          <w:lang w:val="es-ES"/>
        </w:rPr>
        <w:t xml:space="preserve"> sujeta a </w:t>
      </w:r>
      <w:r w:rsidR="003062C4" w:rsidRPr="009257E7">
        <w:rPr>
          <w:lang w:val="es-ES"/>
        </w:rPr>
        <w:t xml:space="preserve">la </w:t>
      </w:r>
      <w:r w:rsidRPr="009257E7">
        <w:rPr>
          <w:lang w:val="es-ES"/>
        </w:rPr>
        <w:t xml:space="preserve">rendición de cuentas y </w:t>
      </w:r>
      <w:r w:rsidR="003062C4" w:rsidRPr="009257E7">
        <w:rPr>
          <w:lang w:val="es-ES"/>
        </w:rPr>
        <w:t>a</w:t>
      </w:r>
      <w:r w:rsidRPr="009257E7">
        <w:rPr>
          <w:lang w:val="es-ES"/>
        </w:rPr>
        <w:t xml:space="preserve"> la supervisión basada en principios</w:t>
      </w:r>
      <w:r w:rsidR="003062C4" w:rsidRPr="009257E7">
        <w:rPr>
          <w:lang w:val="es-ES"/>
        </w:rPr>
        <w:t>,</w:t>
      </w:r>
      <w:r w:rsidRPr="009257E7">
        <w:rPr>
          <w:lang w:val="es-ES"/>
        </w:rPr>
        <w:t xml:space="preserve"> que permitieron que funcionaries de Flint envenenaran el agua</w:t>
      </w:r>
      <w:r w:rsidR="003062C4" w:rsidRPr="009257E7">
        <w:rPr>
          <w:lang w:val="es-ES"/>
        </w:rPr>
        <w:t>,</w:t>
      </w:r>
      <w:r w:rsidRPr="009257E7">
        <w:rPr>
          <w:lang w:val="es-ES"/>
        </w:rPr>
        <w:t xml:space="preserve"> quedan más profundamente arraigadas y tienen más probabilidad de repetirse mediante acuerdos de agua privatizados. Incluso mientras la crisis de Flint se “corrige”, las próximas fallas se vuelven más probables.</w:t>
      </w:r>
    </w:p>
    <w:p w14:paraId="1242110C" w14:textId="4F34350C" w:rsidR="00B77EE0" w:rsidRPr="009257E7" w:rsidRDefault="00B77EE0" w:rsidP="003062C4">
      <w:pPr>
        <w:pStyle w:val="NormalWeb"/>
        <w:ind w:firstLine="720"/>
        <w:rPr>
          <w:lang w:val="es-ES"/>
        </w:rPr>
      </w:pPr>
      <w:r w:rsidRPr="009257E7">
        <w:rPr>
          <w:lang w:val="es-ES"/>
        </w:rPr>
        <w:t>Este patrón de toma de decisiones, que coloca sistémicamente a algunos grupos en peligro mientras protege o favorece a otros grupos, no es nuevo, ni en Flint ni en otros lugares</w:t>
      </w:r>
      <w:r w:rsidR="006403A3" w:rsidRPr="009257E7">
        <w:rPr>
          <w:rStyle w:val="FootnoteReference"/>
          <w:lang w:val="es-ES"/>
        </w:rPr>
        <w:footnoteReference w:id="207"/>
      </w:r>
      <w:r w:rsidRPr="009257E7">
        <w:rPr>
          <w:lang w:val="es-ES"/>
        </w:rPr>
        <w:t xml:space="preserve">. Como señala el informe de la Michigan Civil </w:t>
      </w:r>
      <w:proofErr w:type="spellStart"/>
      <w:r w:rsidRPr="009257E7">
        <w:rPr>
          <w:lang w:val="es-ES"/>
        </w:rPr>
        <w:t>Rights</w:t>
      </w:r>
      <w:proofErr w:type="spellEnd"/>
      <w:r w:rsidRPr="009257E7">
        <w:rPr>
          <w:lang w:val="es-ES"/>
        </w:rPr>
        <w:t xml:space="preserve"> </w:t>
      </w:r>
      <w:proofErr w:type="spellStart"/>
      <w:r w:rsidRPr="009257E7">
        <w:rPr>
          <w:lang w:val="es-ES"/>
        </w:rPr>
        <w:t>Commission</w:t>
      </w:r>
      <w:proofErr w:type="spellEnd"/>
      <w:r w:rsidRPr="009257E7">
        <w:rPr>
          <w:lang w:val="es-ES"/>
        </w:rPr>
        <w:t xml:space="preserve"> sobre la crisis de Flint, esta crisis local se construye sobre exclusiones intencionales, autorizadas jurídicamente, y privaciones materiales de épocas anteriores:</w:t>
      </w:r>
      <w:r w:rsidR="003062C4" w:rsidRPr="009257E7">
        <w:rPr>
          <w:lang w:val="es-ES"/>
        </w:rPr>
        <w:t xml:space="preserve"> </w:t>
      </w:r>
    </w:p>
    <w:p w14:paraId="0B94B874" w14:textId="5DF3D7A0" w:rsidR="00B77EE0" w:rsidRPr="009257E7" w:rsidRDefault="00B77EE0" w:rsidP="003062C4">
      <w:pPr>
        <w:pStyle w:val="NormalWeb"/>
        <w:ind w:left="720"/>
        <w:rPr>
          <w:lang w:val="es-ES"/>
        </w:rPr>
      </w:pPr>
      <w:r w:rsidRPr="009257E7">
        <w:rPr>
          <w:lang w:val="es-ES"/>
        </w:rPr>
        <w:t xml:space="preserve">[P]ara evaluar </w:t>
      </w:r>
      <w:proofErr w:type="gramStart"/>
      <w:r w:rsidRPr="009257E7">
        <w:rPr>
          <w:lang w:val="es-ES"/>
        </w:rPr>
        <w:t>adecuada</w:t>
      </w:r>
      <w:r w:rsidR="00173B8F" w:rsidRPr="009257E7">
        <w:rPr>
          <w:lang w:val="es-ES"/>
        </w:rPr>
        <w:t>mente</w:t>
      </w:r>
      <w:r w:rsidRPr="009257E7">
        <w:rPr>
          <w:lang w:val="es-ES"/>
        </w:rPr>
        <w:t xml:space="preserve"> y completamente</w:t>
      </w:r>
      <w:proofErr w:type="gramEnd"/>
      <w:r w:rsidRPr="009257E7">
        <w:rPr>
          <w:lang w:val="es-ES"/>
        </w:rPr>
        <w:t xml:space="preserve"> las causas de la crisis del agua en Flint, debemos mirar mucho más atrás. Creemos que el problema subyacente es histórico y sistémico</w:t>
      </w:r>
      <w:r w:rsidR="00173B8F" w:rsidRPr="009257E7">
        <w:rPr>
          <w:lang w:val="es-ES"/>
        </w:rPr>
        <w:t>. S</w:t>
      </w:r>
      <w:r w:rsidRPr="009257E7">
        <w:rPr>
          <w:lang w:val="es-ES"/>
        </w:rPr>
        <w:t>e remonta a casi un siglo</w:t>
      </w:r>
      <w:r w:rsidR="00173B8F" w:rsidRPr="009257E7">
        <w:rPr>
          <w:lang w:val="es-ES"/>
        </w:rPr>
        <w:t>. T</w:t>
      </w:r>
      <w:r w:rsidRPr="009257E7">
        <w:rPr>
          <w:lang w:val="es-ES"/>
        </w:rPr>
        <w:t xml:space="preserve">iene en su base la raza y la segregación </w:t>
      </w:r>
      <w:r w:rsidR="00173B8F" w:rsidRPr="009257E7">
        <w:rPr>
          <w:lang w:val="es-ES"/>
        </w:rPr>
        <w:t>en</w:t>
      </w:r>
      <w:r w:rsidRPr="009257E7">
        <w:rPr>
          <w:lang w:val="es-ES"/>
        </w:rPr>
        <w:t xml:space="preserve"> la comunidad de Flint. Estas políticas, prácticas, leyes y normas históricas fomentaron y perpetuaron la separación </w:t>
      </w:r>
      <w:r w:rsidR="00173B8F" w:rsidRPr="009257E7">
        <w:rPr>
          <w:lang w:val="es-ES"/>
        </w:rPr>
        <w:t>por</w:t>
      </w:r>
      <w:r w:rsidRPr="009257E7">
        <w:rPr>
          <w:lang w:val="es-ES"/>
        </w:rPr>
        <w:t xml:space="preserve"> raza, riqueza y oportunidad</w:t>
      </w:r>
      <w:r w:rsidR="00173B8F" w:rsidRPr="009257E7">
        <w:rPr>
          <w:lang w:val="es-ES"/>
        </w:rPr>
        <w:t>es</w:t>
      </w:r>
      <w:r w:rsidRPr="009257E7">
        <w:rPr>
          <w:lang w:val="es-ES"/>
        </w:rPr>
        <w:t>.</w:t>
      </w:r>
    </w:p>
    <w:p w14:paraId="6374EB5E" w14:textId="20D7988D" w:rsidR="00B77EE0" w:rsidRPr="009257E7" w:rsidRDefault="00B77EE0" w:rsidP="005C4540">
      <w:pPr>
        <w:pStyle w:val="NormalWeb"/>
        <w:ind w:left="720"/>
        <w:rPr>
          <w:lang w:val="es-ES"/>
        </w:rPr>
      </w:pPr>
      <w:r w:rsidRPr="009257E7">
        <w:rPr>
          <w:lang w:val="es-ES"/>
        </w:rPr>
        <w:lastRenderedPageBreak/>
        <w:t xml:space="preserve">No estamos sugiriendo que quienes tomaron decisiones relacionadas con esta crisis fueran racistas, o que quisieran tratar a Flint de manera diferente porque es una comunidad compuesta principalmente por personas de color. Más bien, la respuesta dispar es </w:t>
      </w:r>
      <w:r w:rsidR="005C4540" w:rsidRPr="009257E7">
        <w:rPr>
          <w:lang w:val="es-ES"/>
        </w:rPr>
        <w:t xml:space="preserve">el </w:t>
      </w:r>
      <w:r w:rsidRPr="009257E7">
        <w:rPr>
          <w:lang w:val="es-ES"/>
        </w:rPr>
        <w:t xml:space="preserve">resultado del racismo sistémico que </w:t>
      </w:r>
      <w:r w:rsidR="005C4540" w:rsidRPr="009257E7">
        <w:rPr>
          <w:lang w:val="es-ES"/>
        </w:rPr>
        <w:t>s</w:t>
      </w:r>
      <w:r w:rsidRPr="009257E7">
        <w:rPr>
          <w:lang w:val="es-ES"/>
        </w:rPr>
        <w:t>e constru</w:t>
      </w:r>
      <w:r w:rsidR="005C4540" w:rsidRPr="009257E7">
        <w:rPr>
          <w:lang w:val="es-ES"/>
        </w:rPr>
        <w:t>yó</w:t>
      </w:r>
      <w:r w:rsidRPr="009257E7">
        <w:rPr>
          <w:lang w:val="es-ES"/>
        </w:rPr>
        <w:t xml:space="preserve"> </w:t>
      </w:r>
      <w:r w:rsidR="005C4540" w:rsidRPr="009257E7">
        <w:rPr>
          <w:lang w:val="es-ES"/>
        </w:rPr>
        <w:t>desde</w:t>
      </w:r>
      <w:r w:rsidRPr="009257E7">
        <w:rPr>
          <w:lang w:val="es-ES"/>
        </w:rPr>
        <w:t xml:space="preserve"> la fundación y el crecimiento de Flint, </w:t>
      </w:r>
      <w:r w:rsidR="005C4540" w:rsidRPr="009257E7">
        <w:rPr>
          <w:lang w:val="es-ES"/>
        </w:rPr>
        <w:t xml:space="preserve">de </w:t>
      </w:r>
      <w:r w:rsidRPr="009257E7">
        <w:rPr>
          <w:lang w:val="es-ES"/>
        </w:rPr>
        <w:t xml:space="preserve">su industria y </w:t>
      </w:r>
      <w:r w:rsidR="005C4540" w:rsidRPr="009257E7">
        <w:rPr>
          <w:lang w:val="es-ES"/>
        </w:rPr>
        <w:t>d</w:t>
      </w:r>
      <w:r w:rsidRPr="009257E7">
        <w:rPr>
          <w:lang w:val="es-ES"/>
        </w:rPr>
        <w:t>el área suburbana que la rodea. Esto se revela mediante la historia de vivienda, empleo, base contributiva y regionalización, que están interconectadas en la creación del legado de Flint.</w:t>
      </w:r>
    </w:p>
    <w:p w14:paraId="17765BF4" w14:textId="2A02A9BD" w:rsidR="00B77EE0" w:rsidRPr="009257E7" w:rsidRDefault="00B77EE0" w:rsidP="005C4540">
      <w:pPr>
        <w:pStyle w:val="NormalWeb"/>
        <w:ind w:left="720"/>
        <w:rPr>
          <w:lang w:val="es-ES"/>
        </w:rPr>
      </w:pPr>
      <w:r w:rsidRPr="009257E7">
        <w:rPr>
          <w:lang w:val="es-ES"/>
        </w:rPr>
        <w:t xml:space="preserve">[...] [La historia </w:t>
      </w:r>
      <w:r w:rsidR="005C4540" w:rsidRPr="009257E7">
        <w:rPr>
          <w:lang w:val="es-ES"/>
        </w:rPr>
        <w:t xml:space="preserve">larga </w:t>
      </w:r>
      <w:r w:rsidRPr="009257E7">
        <w:rPr>
          <w:lang w:val="es-ES"/>
        </w:rPr>
        <w:t>de segregación] fue</w:t>
      </w:r>
      <w:r w:rsidR="005C4540" w:rsidRPr="009257E7">
        <w:rPr>
          <w:lang w:val="es-ES"/>
        </w:rPr>
        <w:t xml:space="preserve"> el</w:t>
      </w:r>
      <w:r w:rsidRPr="009257E7">
        <w:rPr>
          <w:lang w:val="es-ES"/>
        </w:rPr>
        <w:t xml:space="preserve"> resultado tanto de discriminación privada —pactos restrictivos— como de políticas gubernamentales —requisitos hipotecarios, líneas de distritos escolares, etc.—. Por supuesto, </w:t>
      </w:r>
      <w:r w:rsidR="005C4540" w:rsidRPr="009257E7">
        <w:rPr>
          <w:lang w:val="es-ES"/>
        </w:rPr>
        <w:t>gran parte</w:t>
      </w:r>
      <w:r w:rsidRPr="009257E7">
        <w:rPr>
          <w:lang w:val="es-ES"/>
        </w:rPr>
        <w:t xml:space="preserve"> de esto fue posible porque la jurisprudencia estadounidense de ese momento [cuando estas prácticas se establecieron] se basaba en gran medida en la adopción</w:t>
      </w:r>
      <w:r w:rsidR="005C4540" w:rsidRPr="009257E7">
        <w:rPr>
          <w:lang w:val="es-ES"/>
        </w:rPr>
        <w:t>,</w:t>
      </w:r>
      <w:r w:rsidRPr="009257E7">
        <w:rPr>
          <w:lang w:val="es-ES"/>
        </w:rPr>
        <w:t xml:space="preserve"> por parte de la Corte Suprema de </w:t>
      </w:r>
      <w:r w:rsidR="005C4540" w:rsidRPr="009257E7">
        <w:rPr>
          <w:lang w:val="es-ES"/>
        </w:rPr>
        <w:t xml:space="preserve">los </w:t>
      </w:r>
      <w:r w:rsidRPr="009257E7">
        <w:rPr>
          <w:lang w:val="es-ES"/>
        </w:rPr>
        <w:t>Estados Unidos</w:t>
      </w:r>
      <w:r w:rsidR="005C4540" w:rsidRPr="009257E7">
        <w:rPr>
          <w:lang w:val="es-ES"/>
        </w:rPr>
        <w:t>,</w:t>
      </w:r>
      <w:r w:rsidRPr="009257E7">
        <w:rPr>
          <w:lang w:val="es-ES"/>
        </w:rPr>
        <w:t xml:space="preserve"> de la doctrina “separados pero iguales” en </w:t>
      </w:r>
      <w:proofErr w:type="spellStart"/>
      <w:r w:rsidRPr="009257E7">
        <w:rPr>
          <w:rStyle w:val="Emphasis"/>
          <w:lang w:val="es-ES"/>
        </w:rPr>
        <w:t>Plessy</w:t>
      </w:r>
      <w:proofErr w:type="spellEnd"/>
      <w:r w:rsidRPr="009257E7">
        <w:rPr>
          <w:rStyle w:val="Emphasis"/>
          <w:lang w:val="es-ES"/>
        </w:rPr>
        <w:t xml:space="preserve"> v. Ferguson</w:t>
      </w:r>
      <w:r w:rsidRPr="009257E7">
        <w:rPr>
          <w:lang w:val="es-ES"/>
        </w:rPr>
        <w:t>.</w:t>
      </w:r>
    </w:p>
    <w:p w14:paraId="32B25B36" w14:textId="67171A81" w:rsidR="00B77EE0" w:rsidRPr="009257E7" w:rsidRDefault="00B77EE0" w:rsidP="005C4540">
      <w:pPr>
        <w:pStyle w:val="NormalWeb"/>
        <w:ind w:left="720"/>
        <w:rPr>
          <w:lang w:val="es-ES"/>
        </w:rPr>
      </w:pPr>
      <w:r w:rsidRPr="009257E7">
        <w:rPr>
          <w:lang w:val="es-ES"/>
        </w:rPr>
        <w:t>[...] [Pero incluso más recientemente] el legado de la discriminación per</w:t>
      </w:r>
      <w:r w:rsidR="005C4540" w:rsidRPr="009257E7">
        <w:rPr>
          <w:lang w:val="es-ES"/>
        </w:rPr>
        <w:t>sist</w:t>
      </w:r>
      <w:r w:rsidRPr="009257E7">
        <w:rPr>
          <w:lang w:val="es-ES"/>
        </w:rPr>
        <w:t>ió. Ha llevado a la ciudad de Flint adonde se encuentra ahora: con una mayoría de residentes</w:t>
      </w:r>
      <w:r w:rsidR="005B71A6" w:rsidRPr="009257E7">
        <w:rPr>
          <w:lang w:val="es-ES"/>
        </w:rPr>
        <w:t>,</w:t>
      </w:r>
      <w:r w:rsidRPr="009257E7">
        <w:rPr>
          <w:lang w:val="es-ES"/>
        </w:rPr>
        <w:t xml:space="preserve"> que son personas de color, y con sus quejas, junto con las de sus vecin</w:t>
      </w:r>
      <w:r w:rsidR="005B71A6" w:rsidRPr="009257E7">
        <w:rPr>
          <w:lang w:val="es-ES"/>
        </w:rPr>
        <w:t>o</w:t>
      </w:r>
      <w:r w:rsidRPr="009257E7">
        <w:rPr>
          <w:lang w:val="es-ES"/>
        </w:rPr>
        <w:t>s blan</w:t>
      </w:r>
      <w:r w:rsidR="005B71A6" w:rsidRPr="009257E7">
        <w:rPr>
          <w:lang w:val="es-ES"/>
        </w:rPr>
        <w:t>co</w:t>
      </w:r>
      <w:r w:rsidRPr="009257E7">
        <w:rPr>
          <w:lang w:val="es-ES"/>
        </w:rPr>
        <w:t>s, ignoradas en gran medida.</w:t>
      </w:r>
    </w:p>
    <w:p w14:paraId="7F61E999" w14:textId="1F1DB2ED" w:rsidR="00B77EE0" w:rsidRPr="009257E7" w:rsidRDefault="00B77EE0" w:rsidP="005B71A6">
      <w:pPr>
        <w:pStyle w:val="NormalWeb"/>
        <w:ind w:left="720"/>
        <w:rPr>
          <w:lang w:val="es-ES"/>
        </w:rPr>
      </w:pPr>
      <w:r w:rsidRPr="009257E7">
        <w:rPr>
          <w:lang w:val="es-ES"/>
        </w:rPr>
        <w:t>Esto nos lleva a la pregunta: ¿Se habría permitido que la crisis del agua de Flint ocurriera en Birmingham [92% blanca], Ann Arbor [73% blanca] o East Grand Rapids [95% blanca]? Creemos que la respuesta es no.</w:t>
      </w:r>
      <w:r w:rsidR="00141789" w:rsidRPr="009257E7">
        <w:rPr>
          <w:rStyle w:val="FootnoteReference"/>
          <w:lang w:val="es-ES"/>
        </w:rPr>
        <w:footnoteReference w:id="208"/>
      </w:r>
    </w:p>
    <w:p w14:paraId="6A4BA19E" w14:textId="5DB73094" w:rsidR="00B77EE0" w:rsidRPr="009257E7" w:rsidRDefault="00B77EE0" w:rsidP="005B71A6">
      <w:pPr>
        <w:pStyle w:val="NormalWeb"/>
        <w:ind w:firstLine="720"/>
        <w:rPr>
          <w:lang w:val="es-ES"/>
        </w:rPr>
      </w:pPr>
      <w:r w:rsidRPr="009257E7">
        <w:rPr>
          <w:lang w:val="es-ES"/>
        </w:rPr>
        <w:t>Una lección fundamental de Flint y de innumerables ejemplos similares es que incluso las soluciones reformistas urgentes —que les residentes reciban botellas gratis de agua o aprendan a filtrar y monitorear el agua por sí mismes— simplemente no son suficientes. Esas medidas no toman en cuenta la historia de comunidades excluidas o marginadas con base en la identidad social. Por esta razón clave, la abogacía sistémica emplea la mejora como andamiaje para la transformación.</w:t>
      </w:r>
    </w:p>
    <w:p w14:paraId="72842128" w14:textId="32DBE33A" w:rsidR="00B77EE0" w:rsidRPr="009257E7" w:rsidRDefault="00B77EE0" w:rsidP="007A516F">
      <w:pPr>
        <w:pStyle w:val="NormalWeb"/>
        <w:ind w:firstLine="720"/>
        <w:rPr>
          <w:lang w:val="es-ES"/>
        </w:rPr>
      </w:pPr>
      <w:r w:rsidRPr="009257E7">
        <w:rPr>
          <w:lang w:val="es-ES"/>
        </w:rPr>
        <w:t xml:space="preserve">Recordemos el dicho: </w:t>
      </w:r>
      <w:r w:rsidR="005D0E16" w:rsidRPr="009257E7">
        <w:rPr>
          <w:lang w:val="es-ES"/>
        </w:rPr>
        <w:t>“</w:t>
      </w:r>
      <w:r w:rsidRPr="009257E7">
        <w:rPr>
          <w:lang w:val="es-ES"/>
        </w:rPr>
        <w:t>recibir peces, aprender a pescar</w:t>
      </w:r>
      <w:r w:rsidR="005D0E16" w:rsidRPr="009257E7">
        <w:rPr>
          <w:lang w:val="es-ES"/>
        </w:rPr>
        <w:t>”</w:t>
      </w:r>
      <w:r w:rsidRPr="009257E7">
        <w:rPr>
          <w:lang w:val="es-ES"/>
        </w:rPr>
        <w:t xml:space="preserve">. Pero ambas cosas son funcionalmente iguales si todos los peces sanos están detrás de una represa en un estanque propiedad de las élites que vierten veneno río abajo, donde vive la “gente promedio”. Esto ilustra de manera concreta la importancia de ver el derecho y </w:t>
      </w:r>
      <w:r w:rsidR="005D0E16" w:rsidRPr="009257E7">
        <w:rPr>
          <w:lang w:val="es-ES"/>
        </w:rPr>
        <w:t xml:space="preserve">de </w:t>
      </w:r>
      <w:r w:rsidRPr="009257E7">
        <w:rPr>
          <w:lang w:val="es-ES"/>
        </w:rPr>
        <w:t>poder discutir, en contextos comunitarios y otros, las operaciones complejas del derecho como sistema. Incluso cuando el sistema parece fallar, lo hace por diseño. Lo que debe ganarse son las destrezas analíticas para ver y comunicar esa falla sistémica, y las destrezas prácticas para desmantelar la represa y detener el envenenamiento, de modo que la gente promedio no quede en desventaja mientras las élites prosperan.</w:t>
      </w:r>
    </w:p>
    <w:p w14:paraId="51F8F7E9" w14:textId="08161ACC" w:rsidR="00B77EE0" w:rsidRPr="009257E7" w:rsidRDefault="00B77EE0" w:rsidP="00BD132C">
      <w:pPr>
        <w:pStyle w:val="NormalWeb"/>
        <w:ind w:firstLine="720"/>
        <w:rPr>
          <w:lang w:val="es-ES"/>
        </w:rPr>
      </w:pPr>
      <w:r w:rsidRPr="009257E7">
        <w:rPr>
          <w:lang w:val="es-ES"/>
        </w:rPr>
        <w:t xml:space="preserve">Flint ilustra de forma efectiva la importancia tanto de la mejora como de la transformación al crear soluciones </w:t>
      </w:r>
      <w:r w:rsidR="00BD132C" w:rsidRPr="009257E7">
        <w:rPr>
          <w:lang w:val="es-ES"/>
        </w:rPr>
        <w:t>ante</w:t>
      </w:r>
      <w:r w:rsidRPr="009257E7">
        <w:rPr>
          <w:lang w:val="es-ES"/>
        </w:rPr>
        <w:t xml:space="preserve"> la injusticia sistémica. Parte del Desafío Crítico es que </w:t>
      </w:r>
      <w:r w:rsidRPr="009257E7">
        <w:rPr>
          <w:lang w:val="es-ES"/>
        </w:rPr>
        <w:lastRenderedPageBreak/>
        <w:t>las élites pueden tolerar soluciones reformistas para descarrilar la transformación. La pregunta crítica que la crisis de Flint plantea para les abogades sistémiques es si, y cómo, les abogades pueden luchar por soluciones reformistas y también integrar en esa lucha los tipos de cambios que podrían transformar la toma de decisiones y los resultados futuros. El desafío continuo que este libro detalla es si activistas y abogades pueden “arreglar” problemas mientras transforman comprensiones culturales y desplazan poder hacia la “gente promedio”.</w:t>
      </w:r>
    </w:p>
    <w:p w14:paraId="46D4D5B3" w14:textId="77777777" w:rsidR="008E3632" w:rsidRPr="009257E7" w:rsidRDefault="003A2900" w:rsidP="008640FC">
      <w:pPr>
        <w:pStyle w:val="NormalWeb"/>
        <w:ind w:firstLine="720"/>
        <w:rPr>
          <w:b/>
          <w:bCs/>
          <w:lang w:val="es-ES"/>
        </w:rPr>
      </w:pPr>
      <w:r w:rsidRPr="009257E7">
        <w:rPr>
          <w:lang w:val="es-ES"/>
        </w:rPr>
        <w:t>Flint</w:t>
      </w:r>
      <w:r w:rsidR="00B77EE0" w:rsidRPr="009257E7">
        <w:rPr>
          <w:lang w:val="es-ES"/>
        </w:rPr>
        <w:t xml:space="preserve"> también ilustra</w:t>
      </w:r>
      <w:r w:rsidRPr="009257E7">
        <w:rPr>
          <w:lang w:val="es-ES"/>
        </w:rPr>
        <w:t xml:space="preserve"> cómo</w:t>
      </w:r>
      <w:r w:rsidR="00B77EE0" w:rsidRPr="009257E7">
        <w:rPr>
          <w:lang w:val="es-ES"/>
        </w:rPr>
        <w:t xml:space="preserve"> incluso las soluciones reformistas se </w:t>
      </w:r>
      <w:r w:rsidRPr="009257E7">
        <w:rPr>
          <w:lang w:val="es-ES"/>
        </w:rPr>
        <w:t>logr</w:t>
      </w:r>
      <w:r w:rsidR="00B77EE0" w:rsidRPr="009257E7">
        <w:rPr>
          <w:lang w:val="es-ES"/>
        </w:rPr>
        <w:t xml:space="preserve">an con dificultad. Requieren que numerosos individuos se movilicen y colaboren </w:t>
      </w:r>
      <w:r w:rsidRPr="009257E7">
        <w:rPr>
          <w:lang w:val="es-ES"/>
        </w:rPr>
        <w:t>en</w:t>
      </w:r>
      <w:r w:rsidR="00B77EE0" w:rsidRPr="009257E7">
        <w:rPr>
          <w:lang w:val="es-ES"/>
        </w:rPr>
        <w:t xml:space="preserve"> </w:t>
      </w:r>
      <w:r w:rsidRPr="009257E7">
        <w:rPr>
          <w:lang w:val="es-ES"/>
        </w:rPr>
        <w:t>pr</w:t>
      </w:r>
      <w:r w:rsidR="00B77EE0" w:rsidRPr="009257E7">
        <w:rPr>
          <w:lang w:val="es-ES"/>
        </w:rPr>
        <w:t xml:space="preserve">o </w:t>
      </w:r>
      <w:r w:rsidRPr="009257E7">
        <w:rPr>
          <w:lang w:val="es-ES"/>
        </w:rPr>
        <w:t>de</w:t>
      </w:r>
      <w:r w:rsidR="00B77EE0" w:rsidRPr="009257E7">
        <w:rPr>
          <w:lang w:val="es-ES"/>
        </w:rPr>
        <w:t xml:space="preserve"> la justicia. De hecho, nadie realmente “dio” nada a les residentes de Flint. Les residentes de Flint lucharon para llamar la atención sobre el problema y se organizaron para exigir soluciones. Les residentes se convirtieron en activistas, y les activistas trabajaron con aliades, incluides profesionales —abogades, científiques, médiques y otres— para sacar a la luz el agua envenenada y sus efectos sobre </w:t>
      </w:r>
      <w:r w:rsidR="008640FC" w:rsidRPr="009257E7">
        <w:rPr>
          <w:lang w:val="es-ES"/>
        </w:rPr>
        <w:t xml:space="preserve">la </w:t>
      </w:r>
      <w:r w:rsidR="00B77EE0" w:rsidRPr="009257E7">
        <w:rPr>
          <w:lang w:val="es-ES"/>
        </w:rPr>
        <w:t>niñe</w:t>
      </w:r>
      <w:r w:rsidR="008640FC" w:rsidRPr="009257E7">
        <w:rPr>
          <w:lang w:val="es-ES"/>
        </w:rPr>
        <w:t>z</w:t>
      </w:r>
      <w:r w:rsidR="00B77EE0" w:rsidRPr="009257E7">
        <w:rPr>
          <w:lang w:val="es-ES"/>
        </w:rPr>
        <w:t xml:space="preserve"> y </w:t>
      </w:r>
      <w:r w:rsidR="008640FC" w:rsidRPr="009257E7">
        <w:rPr>
          <w:lang w:val="es-ES"/>
        </w:rPr>
        <w:t xml:space="preserve">las </w:t>
      </w:r>
      <w:r w:rsidR="00B77EE0" w:rsidRPr="009257E7">
        <w:rPr>
          <w:lang w:val="es-ES"/>
        </w:rPr>
        <w:t>familias en Flint. Trabajaron de forma creativa y colaborativa contra una oposición organizada</w:t>
      </w:r>
      <w:r w:rsidR="008640FC" w:rsidRPr="009257E7">
        <w:rPr>
          <w:lang w:val="es-ES"/>
        </w:rPr>
        <w:t>,</w:t>
      </w:r>
      <w:r w:rsidR="00B77EE0" w:rsidRPr="009257E7">
        <w:rPr>
          <w:lang w:val="es-ES"/>
        </w:rPr>
        <w:t xml:space="preserve"> para lograr reconocimiento y algo de reparación. En esta situación, desentrañar la similitud y la diferencia s</w:t>
      </w:r>
      <w:r w:rsidR="008640FC" w:rsidRPr="009257E7">
        <w:rPr>
          <w:lang w:val="es-ES"/>
        </w:rPr>
        <w:t>e</w:t>
      </w:r>
      <w:r w:rsidR="00B77EE0" w:rsidRPr="009257E7">
        <w:rPr>
          <w:lang w:val="es-ES"/>
        </w:rPr>
        <w:t xml:space="preserve"> co</w:t>
      </w:r>
      <w:r w:rsidR="008640FC" w:rsidRPr="009257E7">
        <w:rPr>
          <w:lang w:val="es-ES"/>
        </w:rPr>
        <w:t>nvirtió en</w:t>
      </w:r>
      <w:r w:rsidR="00B77EE0" w:rsidRPr="009257E7">
        <w:rPr>
          <w:lang w:val="es-ES"/>
        </w:rPr>
        <w:t xml:space="preserve"> una destreza organizativa clave para la acción colectiva</w:t>
      </w:r>
      <w:r w:rsidR="008640FC" w:rsidRPr="009257E7">
        <w:rPr>
          <w:lang w:val="es-ES"/>
        </w:rPr>
        <w:t>,</w:t>
      </w:r>
      <w:r w:rsidR="00B77EE0" w:rsidRPr="009257E7">
        <w:rPr>
          <w:lang w:val="es-ES"/>
        </w:rPr>
        <w:t xml:space="preserve"> como parte de un plan de abogacía </w:t>
      </w:r>
      <w:proofErr w:type="spellStart"/>
      <w:r w:rsidR="00B77EE0" w:rsidRPr="009257E7">
        <w:rPr>
          <w:lang w:val="es-ES"/>
        </w:rPr>
        <w:t>coalicional</w:t>
      </w:r>
      <w:proofErr w:type="spellEnd"/>
      <w:r w:rsidR="00B77EE0" w:rsidRPr="009257E7">
        <w:rPr>
          <w:lang w:val="es-ES"/>
        </w:rPr>
        <w:t xml:space="preserve">. En este proceso </w:t>
      </w:r>
      <w:proofErr w:type="spellStart"/>
      <w:r w:rsidR="00B77EE0" w:rsidRPr="009257E7">
        <w:rPr>
          <w:lang w:val="es-ES"/>
        </w:rPr>
        <w:t>colectivizador</w:t>
      </w:r>
      <w:proofErr w:type="spellEnd"/>
      <w:r w:rsidR="00B77EE0" w:rsidRPr="009257E7">
        <w:rPr>
          <w:lang w:val="es-ES"/>
        </w:rPr>
        <w:t xml:space="preserve"> desde abajo, la deconstrucción y la conciencia dual</w:t>
      </w:r>
      <w:r w:rsidR="008640FC" w:rsidRPr="009257E7">
        <w:rPr>
          <w:lang w:val="es-ES"/>
        </w:rPr>
        <w:t>,</w:t>
      </w:r>
      <w:r w:rsidR="00B77EE0" w:rsidRPr="009257E7">
        <w:rPr>
          <w:lang w:val="es-ES"/>
        </w:rPr>
        <w:t xml:space="preserve"> mediante narrativas analíticas</w:t>
      </w:r>
      <w:r w:rsidR="008640FC" w:rsidRPr="009257E7">
        <w:rPr>
          <w:lang w:val="es-ES"/>
        </w:rPr>
        <w:t>,</w:t>
      </w:r>
      <w:r w:rsidR="00B77EE0" w:rsidRPr="009257E7">
        <w:rPr>
          <w:lang w:val="es-ES"/>
        </w:rPr>
        <w:t xml:space="preserve"> suelen ayudar mucho como puntos de partida para el pensamiento crítico y la abogacía.</w:t>
      </w:r>
      <w:r w:rsidR="008640FC" w:rsidRPr="009257E7">
        <w:rPr>
          <w:lang w:val="es-ES"/>
        </w:rPr>
        <w:br/>
      </w:r>
      <w:r w:rsidR="008F5B70" w:rsidRPr="009257E7">
        <w:rPr>
          <w:b/>
          <w:bCs/>
          <w:lang w:val="es-ES"/>
        </w:rPr>
        <w:br/>
        <w:t>5.6 Las narrativas analíticas, la deconstrucción y la conciencia dual son puntos de partida para fortalecer la abogacía y los grupos</w:t>
      </w:r>
    </w:p>
    <w:p w14:paraId="18192B27" w14:textId="1859E13B" w:rsidR="008E3632" w:rsidRPr="009257E7" w:rsidRDefault="008E3632" w:rsidP="00EB5D9F">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Les abogades con frecuencia desconocen detalles importantes sobre los problemas o los contextos. Incluso cuando los conocen, pueden e</w:t>
      </w:r>
      <w:r w:rsidR="00A56C99" w:rsidRPr="009257E7">
        <w:rPr>
          <w:rFonts w:ascii="Times New Roman" w:eastAsia="Times New Roman" w:hAnsi="Times New Roman" w:cs="Times New Roman"/>
          <w:kern w:val="0"/>
          <w:lang w:val="es-ES"/>
          <w14:ligatures w14:val="none"/>
        </w:rPr>
        <w:t>xperiment</w:t>
      </w:r>
      <w:r w:rsidRPr="009257E7">
        <w:rPr>
          <w:rFonts w:ascii="Times New Roman" w:eastAsia="Times New Roman" w:hAnsi="Times New Roman" w:cs="Times New Roman"/>
          <w:kern w:val="0"/>
          <w:lang w:val="es-ES"/>
          <w14:ligatures w14:val="none"/>
        </w:rPr>
        <w:t xml:space="preserve">ar incomodidad o </w:t>
      </w:r>
      <w:r w:rsidR="00A56C99" w:rsidRPr="009257E7">
        <w:rPr>
          <w:rFonts w:ascii="Times New Roman" w:eastAsia="Times New Roman" w:hAnsi="Times New Roman" w:cs="Times New Roman"/>
          <w:kern w:val="0"/>
          <w:lang w:val="es-ES"/>
          <w14:ligatures w14:val="none"/>
        </w:rPr>
        <w:t>una</w:t>
      </w:r>
      <w:r w:rsidRPr="009257E7">
        <w:rPr>
          <w:rFonts w:ascii="Times New Roman" w:eastAsia="Times New Roman" w:hAnsi="Times New Roman" w:cs="Times New Roman"/>
          <w:kern w:val="0"/>
          <w:lang w:val="es-ES"/>
          <w14:ligatures w14:val="none"/>
        </w:rPr>
        <w:t xml:space="preserve"> profunda</w:t>
      </w:r>
      <w:r w:rsidR="00A56C99" w:rsidRPr="009257E7">
        <w:rPr>
          <w:rFonts w:ascii="Times New Roman" w:eastAsia="Times New Roman" w:hAnsi="Times New Roman" w:cs="Times New Roman"/>
          <w:kern w:val="0"/>
          <w:lang w:val="es-ES"/>
          <w14:ligatures w14:val="none"/>
        </w:rPr>
        <w:t xml:space="preserve"> desorientación</w:t>
      </w:r>
      <w:r w:rsidRPr="009257E7">
        <w:rPr>
          <w:rFonts w:ascii="Times New Roman" w:eastAsia="Times New Roman" w:hAnsi="Times New Roman" w:cs="Times New Roman"/>
          <w:kern w:val="0"/>
          <w:lang w:val="es-ES"/>
          <w14:ligatures w14:val="none"/>
        </w:rPr>
        <w:t xml:space="preserve"> al desaprender y reaprender las fuentes del Desafío Crítico. Explorar con mayor profundidad cómo el derecho no siempre es lo que pretende ser puede resultar profundamente perturbador. Debido a que exige cambios de paradigma, contrarrestar la injusticia sistémica es una tarea intimidante. Y, sin embargo, el compromiso con la criticidad exige valor y resiliencia para hacer preguntas y buscar respuestas</w:t>
      </w:r>
      <w:r w:rsidR="002117FF" w:rsidRPr="009257E7">
        <w:rPr>
          <w:rFonts w:ascii="Times New Roman" w:eastAsia="Times New Roman" w:hAnsi="Times New Roman" w:cs="Times New Roman"/>
          <w:kern w:val="0"/>
          <w:lang w:val="es-ES"/>
          <w14:ligatures w14:val="none"/>
        </w:rPr>
        <w:t>,</w:t>
      </w:r>
      <w:r w:rsidRPr="009257E7">
        <w:rPr>
          <w:rFonts w:ascii="Times New Roman" w:eastAsia="Times New Roman" w:hAnsi="Times New Roman" w:cs="Times New Roman"/>
          <w:kern w:val="0"/>
          <w:lang w:val="es-ES"/>
          <w14:ligatures w14:val="none"/>
        </w:rPr>
        <w:t xml:space="preserve"> aun cuando —o especialmente cuando— perturb</w:t>
      </w:r>
      <w:r w:rsidR="002117FF" w:rsidRPr="009257E7">
        <w:rPr>
          <w:rFonts w:ascii="Times New Roman" w:eastAsia="Times New Roman" w:hAnsi="Times New Roman" w:cs="Times New Roman"/>
          <w:kern w:val="0"/>
          <w:lang w:val="es-ES"/>
          <w14:ligatures w14:val="none"/>
        </w:rPr>
        <w:t>e</w:t>
      </w:r>
      <w:r w:rsidRPr="009257E7">
        <w:rPr>
          <w:rFonts w:ascii="Times New Roman" w:eastAsia="Times New Roman" w:hAnsi="Times New Roman" w:cs="Times New Roman"/>
          <w:kern w:val="0"/>
          <w:lang w:val="es-ES"/>
          <w14:ligatures w14:val="none"/>
        </w:rPr>
        <w:t>n dogmas establecidos.</w:t>
      </w:r>
    </w:p>
    <w:p w14:paraId="18993643" w14:textId="7B046B5D" w:rsidR="008E3632" w:rsidRPr="009257E7" w:rsidRDefault="008E3632" w:rsidP="002117FF">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 xml:space="preserve">Por tanto, les abogades hacen preguntas: preguntas críticas e incómodas sobre “otres” excluides, marginades o subordinades. Hacer “otras” preguntas para </w:t>
      </w:r>
      <w:r w:rsidR="002117FF" w:rsidRPr="009257E7">
        <w:rPr>
          <w:rFonts w:ascii="Times New Roman" w:eastAsia="Times New Roman" w:hAnsi="Times New Roman" w:cs="Times New Roman"/>
          <w:kern w:val="0"/>
          <w:lang w:val="es-ES"/>
          <w14:ligatures w14:val="none"/>
        </w:rPr>
        <w:t>genera</w:t>
      </w:r>
      <w:r w:rsidRPr="009257E7">
        <w:rPr>
          <w:rFonts w:ascii="Times New Roman" w:eastAsia="Times New Roman" w:hAnsi="Times New Roman" w:cs="Times New Roman"/>
          <w:kern w:val="0"/>
          <w:lang w:val="es-ES"/>
          <w14:ligatures w14:val="none"/>
        </w:rPr>
        <w:t xml:space="preserve">r perspectivas relacionadas con la identidad es un medio accesible para desaprender y reaprender </w:t>
      </w:r>
      <w:r w:rsidR="002117FF" w:rsidRPr="009257E7">
        <w:rPr>
          <w:rFonts w:ascii="Times New Roman" w:eastAsia="Times New Roman" w:hAnsi="Times New Roman" w:cs="Times New Roman"/>
          <w:kern w:val="0"/>
          <w:lang w:val="es-ES"/>
          <w14:ligatures w14:val="none"/>
        </w:rPr>
        <w:t>en</w:t>
      </w:r>
      <w:r w:rsidRPr="009257E7">
        <w:rPr>
          <w:rFonts w:ascii="Times New Roman" w:eastAsia="Times New Roman" w:hAnsi="Times New Roman" w:cs="Times New Roman"/>
          <w:kern w:val="0"/>
          <w:lang w:val="es-ES"/>
          <w14:ligatures w14:val="none"/>
        </w:rPr>
        <w:t xml:space="preserve"> múltiples contextos. Como explica Mari Matsuda, académica crítica de la raza</w:t>
      </w:r>
      <w:r w:rsidR="004C4615" w:rsidRPr="009257E7">
        <w:rPr>
          <w:rStyle w:val="FootnoteReference"/>
          <w:rFonts w:ascii="Times New Roman" w:eastAsia="Times New Roman" w:hAnsi="Times New Roman" w:cs="Times New Roman"/>
          <w:kern w:val="0"/>
          <w:lang w:val="es-ES"/>
          <w14:ligatures w14:val="none"/>
        </w:rPr>
        <w:footnoteReference w:id="209"/>
      </w:r>
      <w:r w:rsidRPr="009257E7">
        <w:rPr>
          <w:rFonts w:ascii="Times New Roman" w:eastAsia="Times New Roman" w:hAnsi="Times New Roman" w:cs="Times New Roman"/>
          <w:kern w:val="0"/>
          <w:lang w:val="es-ES"/>
          <w14:ligatures w14:val="none"/>
        </w:rPr>
        <w:t>:</w:t>
      </w:r>
    </w:p>
    <w:p w14:paraId="48C35991" w14:textId="13E92CBA" w:rsidR="008E3632" w:rsidRPr="009257E7" w:rsidRDefault="008E3632" w:rsidP="005409B6">
      <w:pPr>
        <w:spacing w:before="100" w:beforeAutospacing="1" w:after="100" w:afterAutospacing="1" w:line="240" w:lineRule="auto"/>
        <w:ind w:left="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 xml:space="preserve">La forma en que intento comprender la interconexión de todas las formas de subordinación es mediante un método que llamo “hacer la otra pregunta”. Cuando veo algo que parece racista, pregunto: “¿Dónde está el patriarcado en esto?”. Cuando veo algo que parece sexista, pregunto: “¿Dónde está el heterosexismo en esto?”. Cuando veo algo que parece homofóbico, pregunto: “¿Dónde están los intereses de clase en esto?”. Trabajar en coalición nos obliga a buscar tanto las relaciones obvias como las no obvias </w:t>
      </w:r>
      <w:r w:rsidRPr="009257E7">
        <w:rPr>
          <w:rFonts w:ascii="Times New Roman" w:eastAsia="Times New Roman" w:hAnsi="Times New Roman" w:cs="Times New Roman"/>
          <w:kern w:val="0"/>
          <w:lang w:val="es-ES"/>
          <w14:ligatures w14:val="none"/>
        </w:rPr>
        <w:lastRenderedPageBreak/>
        <w:t>de dominación, y nos ayuda a comprender que ninguna forma de subordinación existe jamás por sí sola.</w:t>
      </w:r>
      <w:r w:rsidR="000744A1" w:rsidRPr="009257E7">
        <w:rPr>
          <w:rStyle w:val="FootnoteReference"/>
          <w:rFonts w:ascii="Times New Roman" w:eastAsia="Times New Roman" w:hAnsi="Times New Roman" w:cs="Times New Roman"/>
          <w:kern w:val="0"/>
          <w:lang w:val="es-ES"/>
          <w14:ligatures w14:val="none"/>
        </w:rPr>
        <w:footnoteReference w:id="210"/>
      </w:r>
    </w:p>
    <w:p w14:paraId="094FF67B" w14:textId="4467E747" w:rsidR="008E3632" w:rsidRPr="009257E7" w:rsidRDefault="008E3632" w:rsidP="000744A1">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Aunque e</w:t>
      </w:r>
      <w:r w:rsidR="000744A1" w:rsidRPr="009257E7">
        <w:rPr>
          <w:rFonts w:ascii="Times New Roman" w:eastAsia="Times New Roman" w:hAnsi="Times New Roman" w:cs="Times New Roman"/>
          <w:kern w:val="0"/>
          <w:lang w:val="es-ES"/>
          <w14:ligatures w14:val="none"/>
        </w:rPr>
        <w:t>l</w:t>
      </w:r>
      <w:r w:rsidRPr="009257E7">
        <w:rPr>
          <w:rFonts w:ascii="Times New Roman" w:eastAsia="Times New Roman" w:hAnsi="Times New Roman" w:cs="Times New Roman"/>
          <w:kern w:val="0"/>
          <w:lang w:val="es-ES"/>
          <w14:ligatures w14:val="none"/>
        </w:rPr>
        <w:t xml:space="preserve"> </w:t>
      </w:r>
      <w:r w:rsidR="000744A1" w:rsidRPr="009257E7">
        <w:rPr>
          <w:rFonts w:ascii="Times New Roman" w:eastAsia="Times New Roman" w:hAnsi="Times New Roman" w:cs="Times New Roman"/>
          <w:kern w:val="0"/>
          <w:lang w:val="es-ES"/>
          <w14:ligatures w14:val="none"/>
        </w:rPr>
        <w:t>método</w:t>
      </w:r>
      <w:r w:rsidRPr="009257E7">
        <w:rPr>
          <w:rFonts w:ascii="Times New Roman" w:eastAsia="Times New Roman" w:hAnsi="Times New Roman" w:cs="Times New Roman"/>
          <w:kern w:val="0"/>
          <w:lang w:val="es-ES"/>
          <w14:ligatures w14:val="none"/>
        </w:rPr>
        <w:t xml:space="preserve"> </w:t>
      </w:r>
      <w:r w:rsidR="000744A1" w:rsidRPr="009257E7">
        <w:rPr>
          <w:rFonts w:ascii="Times New Roman" w:eastAsia="Times New Roman" w:hAnsi="Times New Roman" w:cs="Times New Roman"/>
          <w:kern w:val="0"/>
          <w:lang w:val="es-ES"/>
          <w14:ligatures w14:val="none"/>
        </w:rPr>
        <w:t>es</w:t>
      </w:r>
      <w:r w:rsidRPr="009257E7">
        <w:rPr>
          <w:rFonts w:ascii="Times New Roman" w:eastAsia="Times New Roman" w:hAnsi="Times New Roman" w:cs="Times New Roman"/>
          <w:kern w:val="0"/>
          <w:lang w:val="es-ES"/>
          <w14:ligatures w14:val="none"/>
        </w:rPr>
        <w:t xml:space="preserve"> </w:t>
      </w:r>
      <w:r w:rsidR="000744A1" w:rsidRPr="009257E7">
        <w:rPr>
          <w:rFonts w:ascii="Times New Roman" w:eastAsia="Times New Roman" w:hAnsi="Times New Roman" w:cs="Times New Roman"/>
          <w:kern w:val="0"/>
          <w:lang w:val="es-ES"/>
          <w14:ligatures w14:val="none"/>
        </w:rPr>
        <w:t>simple</w:t>
      </w:r>
      <w:r w:rsidRPr="009257E7">
        <w:rPr>
          <w:rFonts w:ascii="Times New Roman" w:eastAsia="Times New Roman" w:hAnsi="Times New Roman" w:cs="Times New Roman"/>
          <w:kern w:val="0"/>
          <w:lang w:val="es-ES"/>
          <w14:ligatures w14:val="none"/>
        </w:rPr>
        <w:t xml:space="preserve">, </w:t>
      </w:r>
      <w:r w:rsidR="000744A1" w:rsidRPr="009257E7">
        <w:rPr>
          <w:rFonts w:ascii="Times New Roman" w:eastAsia="Times New Roman" w:hAnsi="Times New Roman" w:cs="Times New Roman"/>
          <w:kern w:val="0"/>
          <w:lang w:val="es-ES"/>
          <w14:ligatures w14:val="none"/>
        </w:rPr>
        <w:t>plantea</w:t>
      </w:r>
      <w:r w:rsidRPr="009257E7">
        <w:rPr>
          <w:rFonts w:ascii="Times New Roman" w:eastAsia="Times New Roman" w:hAnsi="Times New Roman" w:cs="Times New Roman"/>
          <w:kern w:val="0"/>
          <w:lang w:val="es-ES"/>
          <w14:ligatures w14:val="none"/>
        </w:rPr>
        <w:t xml:space="preserve">r otras preguntas puede desenmascarar realidades sociales y sus vínculos mutuamente reforzadores. Por tanto, este proceso de indagación crítica y autocrítica a menudo comienza con narrativas analíticas basadas en experiencias personales o </w:t>
      </w:r>
      <w:r w:rsidR="00221BC4" w:rsidRPr="009257E7">
        <w:rPr>
          <w:rFonts w:ascii="Times New Roman" w:eastAsia="Times New Roman" w:hAnsi="Times New Roman" w:cs="Times New Roman"/>
          <w:kern w:val="0"/>
          <w:lang w:val="es-ES"/>
          <w14:ligatures w14:val="none"/>
        </w:rPr>
        <w:t>cercan</w:t>
      </w:r>
      <w:r w:rsidRPr="009257E7">
        <w:rPr>
          <w:rFonts w:ascii="Times New Roman" w:eastAsia="Times New Roman" w:hAnsi="Times New Roman" w:cs="Times New Roman"/>
          <w:kern w:val="0"/>
          <w:lang w:val="es-ES"/>
          <w14:ligatures w14:val="none"/>
        </w:rPr>
        <w:t xml:space="preserve">as que ayudan a “desenmascarar” realidades sociales en términos micro-macro. Esto conduce a </w:t>
      </w:r>
      <w:r w:rsidR="00221BC4" w:rsidRPr="009257E7">
        <w:rPr>
          <w:rFonts w:ascii="Times New Roman" w:eastAsia="Times New Roman" w:hAnsi="Times New Roman" w:cs="Times New Roman"/>
          <w:kern w:val="0"/>
          <w:lang w:val="es-ES"/>
          <w14:ligatures w14:val="none"/>
        </w:rPr>
        <w:t xml:space="preserve">un </w:t>
      </w:r>
      <w:r w:rsidRPr="009257E7">
        <w:rPr>
          <w:rFonts w:ascii="Times New Roman" w:eastAsia="Times New Roman" w:hAnsi="Times New Roman" w:cs="Times New Roman"/>
          <w:kern w:val="0"/>
          <w:lang w:val="es-ES"/>
          <w14:ligatures w14:val="none"/>
        </w:rPr>
        <w:t>conocimiento nuevo para crear y sostener las múltiples colaboraciones y coaliciones necesarias para las luchas grupales organizadas</w:t>
      </w:r>
      <w:r w:rsidR="00036432" w:rsidRPr="009257E7">
        <w:rPr>
          <w:rStyle w:val="FootnoteReference"/>
          <w:rFonts w:ascii="Times New Roman" w:eastAsia="Times New Roman" w:hAnsi="Times New Roman" w:cs="Times New Roman"/>
          <w:kern w:val="0"/>
          <w:lang w:val="es-ES"/>
          <w14:ligatures w14:val="none"/>
        </w:rPr>
        <w:footnoteReference w:id="211"/>
      </w:r>
      <w:r w:rsidRPr="009257E7">
        <w:rPr>
          <w:rFonts w:ascii="Times New Roman" w:eastAsia="Times New Roman" w:hAnsi="Times New Roman" w:cs="Times New Roman"/>
          <w:kern w:val="0"/>
          <w:lang w:val="es-ES"/>
          <w14:ligatures w14:val="none"/>
        </w:rPr>
        <w:t>.</w:t>
      </w:r>
    </w:p>
    <w:p w14:paraId="5BAF8840" w14:textId="77777777" w:rsidR="008E3632" w:rsidRPr="009257E7" w:rsidRDefault="008E3632" w:rsidP="006742F5">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En general, las narrativas son un medio venerable y común para transmitir conocimiento a través de épocas y culturas:</w:t>
      </w:r>
    </w:p>
    <w:p w14:paraId="780AE899" w14:textId="320FB334" w:rsidR="008E3632" w:rsidRPr="009257E7" w:rsidRDefault="008E3632" w:rsidP="006742F5">
      <w:pPr>
        <w:spacing w:before="100" w:beforeAutospacing="1" w:after="100" w:afterAutospacing="1" w:line="240" w:lineRule="auto"/>
        <w:ind w:left="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 xml:space="preserve">La palabra “narrativa” deriva del latín </w:t>
      </w:r>
      <w:r w:rsidRPr="009257E7">
        <w:rPr>
          <w:rFonts w:ascii="Times New Roman" w:eastAsia="Times New Roman" w:hAnsi="Times New Roman" w:cs="Times New Roman"/>
          <w:i/>
          <w:iCs/>
          <w:kern w:val="0"/>
          <w:lang w:val="es-ES"/>
          <w14:ligatures w14:val="none"/>
        </w:rPr>
        <w:t>narrare</w:t>
      </w:r>
      <w:r w:rsidRPr="009257E7">
        <w:rPr>
          <w:rFonts w:ascii="Times New Roman" w:eastAsia="Times New Roman" w:hAnsi="Times New Roman" w:cs="Times New Roman"/>
          <w:kern w:val="0"/>
          <w:lang w:val="es-ES"/>
          <w14:ligatures w14:val="none"/>
        </w:rPr>
        <w:t xml:space="preserve">, que significa “contar”, y de </w:t>
      </w:r>
      <w:proofErr w:type="spellStart"/>
      <w:r w:rsidRPr="009257E7">
        <w:rPr>
          <w:rFonts w:ascii="Times New Roman" w:eastAsia="Times New Roman" w:hAnsi="Times New Roman" w:cs="Times New Roman"/>
          <w:i/>
          <w:iCs/>
          <w:kern w:val="0"/>
          <w:lang w:val="es-ES"/>
          <w14:ligatures w14:val="none"/>
        </w:rPr>
        <w:t>gnarus</w:t>
      </w:r>
      <w:proofErr w:type="spellEnd"/>
      <w:r w:rsidRPr="009257E7">
        <w:rPr>
          <w:rFonts w:ascii="Times New Roman" w:eastAsia="Times New Roman" w:hAnsi="Times New Roman" w:cs="Times New Roman"/>
          <w:kern w:val="0"/>
          <w:lang w:val="es-ES"/>
          <w14:ligatures w14:val="none"/>
        </w:rPr>
        <w:t>, que significa “conocedor”; y estas dos facetas de la palabra explican la importancia de la narrativa o del relato como “una herramienta universal para conocer y también para contar, para absorber información y también para expresarla”. Las historias [...] son un vehículo mediante el cual, como seres humanos, damos sentido a nosotr</w:t>
      </w:r>
      <w:r w:rsidR="00D87F02" w:rsidRPr="009257E7">
        <w:rPr>
          <w:rFonts w:ascii="Times New Roman" w:eastAsia="Times New Roman" w:hAnsi="Times New Roman" w:cs="Times New Roman"/>
          <w:kern w:val="0"/>
          <w:lang w:val="es-ES"/>
          <w14:ligatures w14:val="none"/>
        </w:rPr>
        <w:t>o</w:t>
      </w:r>
      <w:r w:rsidRPr="009257E7">
        <w:rPr>
          <w:rFonts w:ascii="Times New Roman" w:eastAsia="Times New Roman" w:hAnsi="Times New Roman" w:cs="Times New Roman"/>
          <w:kern w:val="0"/>
          <w:lang w:val="es-ES"/>
          <w14:ligatures w14:val="none"/>
        </w:rPr>
        <w:t>s mism</w:t>
      </w:r>
      <w:r w:rsidR="00D87F02" w:rsidRPr="009257E7">
        <w:rPr>
          <w:rFonts w:ascii="Times New Roman" w:eastAsia="Times New Roman" w:hAnsi="Times New Roman" w:cs="Times New Roman"/>
          <w:kern w:val="0"/>
          <w:lang w:val="es-ES"/>
          <w14:ligatures w14:val="none"/>
        </w:rPr>
        <w:t>o</w:t>
      </w:r>
      <w:r w:rsidRPr="009257E7">
        <w:rPr>
          <w:rFonts w:ascii="Times New Roman" w:eastAsia="Times New Roman" w:hAnsi="Times New Roman" w:cs="Times New Roman"/>
          <w:kern w:val="0"/>
          <w:lang w:val="es-ES"/>
          <w14:ligatures w14:val="none"/>
        </w:rPr>
        <w:t>s y a nuestras experiencias. Las narrativas ayudan a moldear nuestras identidades, nuestras relaciones y nuestras conductas; “pues soñamos en narrativa, divagamos en narrativa, recordamos, anticipamos, esperamos, desesperamos, creemos, dudamos, planificamos, revisamos, criticamos, construimos, chismeamos, aprendemos, odiamos y amamos mediante la narrativa”.</w:t>
      </w:r>
      <w:r w:rsidR="00BA6866" w:rsidRPr="009257E7">
        <w:rPr>
          <w:rStyle w:val="FootnoteReference"/>
          <w:rFonts w:ascii="Times New Roman" w:eastAsia="Times New Roman" w:hAnsi="Times New Roman" w:cs="Times New Roman"/>
          <w:kern w:val="0"/>
          <w:lang w:val="es-ES"/>
          <w14:ligatures w14:val="none"/>
        </w:rPr>
        <w:footnoteReference w:id="212"/>
      </w:r>
    </w:p>
    <w:p w14:paraId="558A1E42" w14:textId="77777777" w:rsidR="008E3632" w:rsidRPr="009257E7" w:rsidRDefault="008E3632" w:rsidP="00036432">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Las narrativas analíticas son un tipo de narración críticamente intencional, que relatan “cómo el derecho ha impedido o impulsado luchas por la justicia y la libertad” orientadas al progreso desde abajo:</w:t>
      </w:r>
    </w:p>
    <w:p w14:paraId="2EB79A60" w14:textId="4D887D20" w:rsidR="008E3632" w:rsidRPr="009257E7" w:rsidRDefault="008E3632" w:rsidP="00BA6866">
      <w:pPr>
        <w:spacing w:before="100" w:beforeAutospacing="1" w:after="100" w:afterAutospacing="1" w:line="240" w:lineRule="auto"/>
        <w:ind w:left="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Como l</w:t>
      </w:r>
      <w:r w:rsidR="00BA6866" w:rsidRPr="009257E7">
        <w:rPr>
          <w:rFonts w:ascii="Times New Roman" w:eastAsia="Times New Roman" w:hAnsi="Times New Roman" w:cs="Times New Roman"/>
          <w:kern w:val="0"/>
          <w:lang w:val="es-ES"/>
          <w14:ligatures w14:val="none"/>
        </w:rPr>
        <w:t>o</w:t>
      </w:r>
      <w:r w:rsidRPr="009257E7">
        <w:rPr>
          <w:rFonts w:ascii="Times New Roman" w:eastAsia="Times New Roman" w:hAnsi="Times New Roman" w:cs="Times New Roman"/>
          <w:kern w:val="0"/>
          <w:lang w:val="es-ES"/>
          <w14:ligatures w14:val="none"/>
        </w:rPr>
        <w:t>s mejores artistas de rap, l</w:t>
      </w:r>
      <w:r w:rsidR="00BA6866" w:rsidRPr="009257E7">
        <w:rPr>
          <w:rFonts w:ascii="Times New Roman" w:eastAsia="Times New Roman" w:hAnsi="Times New Roman" w:cs="Times New Roman"/>
          <w:kern w:val="0"/>
          <w:lang w:val="es-ES"/>
          <w14:ligatures w14:val="none"/>
        </w:rPr>
        <w:t>o</w:t>
      </w:r>
      <w:r w:rsidRPr="009257E7">
        <w:rPr>
          <w:rFonts w:ascii="Times New Roman" w:eastAsia="Times New Roman" w:hAnsi="Times New Roman" w:cs="Times New Roman"/>
          <w:kern w:val="0"/>
          <w:lang w:val="es-ES"/>
          <w14:ligatures w14:val="none"/>
        </w:rPr>
        <w:t>s abogad</w:t>
      </w:r>
      <w:r w:rsidR="00BA6866" w:rsidRPr="009257E7">
        <w:rPr>
          <w:rFonts w:ascii="Times New Roman" w:eastAsia="Times New Roman" w:hAnsi="Times New Roman" w:cs="Times New Roman"/>
          <w:kern w:val="0"/>
          <w:lang w:val="es-ES"/>
          <w14:ligatures w14:val="none"/>
        </w:rPr>
        <w:t>o</w:t>
      </w:r>
      <w:r w:rsidRPr="009257E7">
        <w:rPr>
          <w:rFonts w:ascii="Times New Roman" w:eastAsia="Times New Roman" w:hAnsi="Times New Roman" w:cs="Times New Roman"/>
          <w:kern w:val="0"/>
          <w:lang w:val="es-ES"/>
          <w14:ligatures w14:val="none"/>
        </w:rPr>
        <w:t xml:space="preserve">s progresistas pueden energizar a una ciudadanía desmoralizada con perspectivas sobre los orígenes históricos y las causas </w:t>
      </w:r>
      <w:r w:rsidR="00B74BD3" w:rsidRPr="009257E7">
        <w:rPr>
          <w:rFonts w:ascii="Times New Roman" w:eastAsia="Times New Roman" w:hAnsi="Times New Roman" w:cs="Times New Roman"/>
          <w:kern w:val="0"/>
          <w:lang w:val="es-ES"/>
          <w14:ligatures w14:val="none"/>
        </w:rPr>
        <w:t>actual</w:t>
      </w:r>
      <w:r w:rsidRPr="009257E7">
        <w:rPr>
          <w:rFonts w:ascii="Times New Roman" w:eastAsia="Times New Roman" w:hAnsi="Times New Roman" w:cs="Times New Roman"/>
          <w:kern w:val="0"/>
          <w:lang w:val="es-ES"/>
          <w14:ligatures w14:val="none"/>
        </w:rPr>
        <w:t>es de la miseria social [...] [para] educar a l</w:t>
      </w:r>
      <w:r w:rsidR="00B74BD3" w:rsidRPr="009257E7">
        <w:rPr>
          <w:rFonts w:ascii="Times New Roman" w:eastAsia="Times New Roman" w:hAnsi="Times New Roman" w:cs="Times New Roman"/>
          <w:kern w:val="0"/>
          <w:lang w:val="es-ES"/>
          <w14:ligatures w14:val="none"/>
        </w:rPr>
        <w:t>o</w:t>
      </w:r>
      <w:r w:rsidRPr="009257E7">
        <w:rPr>
          <w:rFonts w:ascii="Times New Roman" w:eastAsia="Times New Roman" w:hAnsi="Times New Roman" w:cs="Times New Roman"/>
          <w:kern w:val="0"/>
          <w:lang w:val="es-ES"/>
          <w14:ligatures w14:val="none"/>
        </w:rPr>
        <w:t>s ciudadan</w:t>
      </w:r>
      <w:r w:rsidR="00B74BD3" w:rsidRPr="009257E7">
        <w:rPr>
          <w:rFonts w:ascii="Times New Roman" w:eastAsia="Times New Roman" w:hAnsi="Times New Roman" w:cs="Times New Roman"/>
          <w:kern w:val="0"/>
          <w:lang w:val="es-ES"/>
          <w14:ligatures w14:val="none"/>
        </w:rPr>
        <w:t>o</w:t>
      </w:r>
      <w:r w:rsidRPr="009257E7">
        <w:rPr>
          <w:rFonts w:ascii="Times New Roman" w:eastAsia="Times New Roman" w:hAnsi="Times New Roman" w:cs="Times New Roman"/>
          <w:kern w:val="0"/>
          <w:lang w:val="es-ES"/>
          <w14:ligatures w14:val="none"/>
        </w:rPr>
        <w:t>s sobre las operaciones de los poderes económicos y políticos en los tribunales [...] [y] empoderar a las víctimas de la sociedad para transformar</w:t>
      </w:r>
      <w:r w:rsidR="00B74BD3" w:rsidRPr="009257E7">
        <w:rPr>
          <w:rFonts w:ascii="Times New Roman" w:eastAsia="Times New Roman" w:hAnsi="Times New Roman" w:cs="Times New Roman"/>
          <w:kern w:val="0"/>
          <w:lang w:val="es-ES"/>
          <w14:ligatures w14:val="none"/>
        </w:rPr>
        <w:t>la</w:t>
      </w:r>
      <w:r w:rsidRPr="009257E7">
        <w:rPr>
          <w:rFonts w:ascii="Times New Roman" w:eastAsia="Times New Roman" w:hAnsi="Times New Roman" w:cs="Times New Roman"/>
          <w:kern w:val="0"/>
          <w:lang w:val="es-ES"/>
          <w14:ligatures w14:val="none"/>
        </w:rPr>
        <w:t>.</w:t>
      </w:r>
      <w:r w:rsidR="00A26A14" w:rsidRPr="009257E7">
        <w:rPr>
          <w:rStyle w:val="FootnoteReference"/>
          <w:rFonts w:ascii="Times New Roman" w:eastAsia="Times New Roman" w:hAnsi="Times New Roman" w:cs="Times New Roman"/>
          <w:kern w:val="0"/>
          <w:lang w:val="es-ES"/>
          <w14:ligatures w14:val="none"/>
        </w:rPr>
        <w:footnoteReference w:id="213"/>
      </w:r>
    </w:p>
    <w:p w14:paraId="54AA2AE4" w14:textId="3D4020EC" w:rsidR="008E3632" w:rsidRPr="009257E7" w:rsidRDefault="008E3632" w:rsidP="00A26A14">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Con el tiempo, y apoyado por otros métodos de producción de conocimiento, hacer preguntas y relatar narrativas analíticas que comienzan con la experiencia personal o próxima puede, a su vez, producir perspectivas</w:t>
      </w:r>
      <w:r w:rsidR="00A26A14" w:rsidRPr="009257E7">
        <w:rPr>
          <w:rFonts w:ascii="Times New Roman" w:eastAsia="Times New Roman" w:hAnsi="Times New Roman" w:cs="Times New Roman"/>
          <w:kern w:val="0"/>
          <w:lang w:val="es-ES"/>
          <w14:ligatures w14:val="none"/>
        </w:rPr>
        <w:t xml:space="preserve"> nuevas</w:t>
      </w:r>
      <w:r w:rsidRPr="009257E7">
        <w:rPr>
          <w:rFonts w:ascii="Times New Roman" w:eastAsia="Times New Roman" w:hAnsi="Times New Roman" w:cs="Times New Roman"/>
          <w:kern w:val="0"/>
          <w:lang w:val="es-ES"/>
          <w14:ligatures w14:val="none"/>
        </w:rPr>
        <w:t xml:space="preserve"> y cuerpos de producción académica: cuerpos de conocimiento colectivo basados en múltiples fuentes de estudio, investigación y análisis.</w:t>
      </w:r>
      <w:r w:rsidR="00A80191" w:rsidRPr="009257E7">
        <w:rPr>
          <w:rFonts w:ascii="Times New Roman" w:eastAsia="Times New Roman" w:hAnsi="Times New Roman" w:cs="Times New Roman"/>
          <w:kern w:val="0"/>
          <w:lang w:val="es-ES"/>
          <w14:ligatures w14:val="none"/>
        </w:rPr>
        <w:t xml:space="preserve"> </w:t>
      </w:r>
    </w:p>
    <w:p w14:paraId="1F3C5AC0" w14:textId="1C3642A9" w:rsidR="008E3632" w:rsidRPr="009257E7" w:rsidRDefault="008E3632" w:rsidP="00A80191">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lastRenderedPageBreak/>
        <w:t xml:space="preserve">Dos conceptos y prácticas clave profundizan </w:t>
      </w:r>
      <w:r w:rsidR="00A80191" w:rsidRPr="009257E7">
        <w:rPr>
          <w:rFonts w:ascii="Times New Roman" w:eastAsia="Times New Roman" w:hAnsi="Times New Roman" w:cs="Times New Roman"/>
          <w:kern w:val="0"/>
          <w:lang w:val="es-ES"/>
          <w14:ligatures w14:val="none"/>
        </w:rPr>
        <w:t xml:space="preserve">en </w:t>
      </w:r>
      <w:r w:rsidRPr="009257E7">
        <w:rPr>
          <w:rFonts w:ascii="Times New Roman" w:eastAsia="Times New Roman" w:hAnsi="Times New Roman" w:cs="Times New Roman"/>
          <w:kern w:val="0"/>
          <w:lang w:val="es-ES"/>
          <w14:ligatures w14:val="none"/>
        </w:rPr>
        <w:t xml:space="preserve">estos puntos y temas: la deconstrucción y la conciencia dual. La deconstrucción —una disección mediante análisis crítico— es el primer paso hacia una comprensión crítica de la subordinación, y la conciencia dual permite que les abogades se mantengan realistas sobre los peligros y </w:t>
      </w:r>
      <w:r w:rsidR="00A80191" w:rsidRPr="009257E7">
        <w:rPr>
          <w:rFonts w:ascii="Times New Roman" w:eastAsia="Times New Roman" w:hAnsi="Times New Roman" w:cs="Times New Roman"/>
          <w:kern w:val="0"/>
          <w:lang w:val="es-ES"/>
          <w14:ligatures w14:val="none"/>
        </w:rPr>
        <w:t xml:space="preserve">los </w:t>
      </w:r>
      <w:r w:rsidRPr="009257E7">
        <w:rPr>
          <w:rFonts w:ascii="Times New Roman" w:eastAsia="Times New Roman" w:hAnsi="Times New Roman" w:cs="Times New Roman"/>
          <w:kern w:val="0"/>
          <w:lang w:val="es-ES"/>
          <w14:ligatures w14:val="none"/>
        </w:rPr>
        <w:t>límites del derecho, siempre al sopesar ventajas y desventajas. Como documenta Susan Serrano, académica crítica de la raza, en su relato sobre las luchas de les puertorriqueñes por derechos en Haw</w:t>
      </w:r>
      <w:r w:rsidR="006D6F3C" w:rsidRPr="009257E7">
        <w:rPr>
          <w:rFonts w:ascii="Times New Roman" w:eastAsia="Times New Roman" w:hAnsi="Times New Roman" w:cs="Times New Roman"/>
          <w:kern w:val="0"/>
          <w:lang w:val="es-ES"/>
          <w14:ligatures w14:val="none"/>
        </w:rPr>
        <w:t>á</w:t>
      </w:r>
      <w:r w:rsidRPr="009257E7">
        <w:rPr>
          <w:rFonts w:ascii="Times New Roman" w:eastAsia="Times New Roman" w:hAnsi="Times New Roman" w:cs="Times New Roman"/>
          <w:kern w:val="0"/>
          <w:lang w:val="es-ES"/>
          <w14:ligatures w14:val="none"/>
        </w:rPr>
        <w:t>i hace un siglo o más:</w:t>
      </w:r>
    </w:p>
    <w:p w14:paraId="69723D22" w14:textId="4C2FB9CD" w:rsidR="008E3632" w:rsidRPr="009257E7" w:rsidRDefault="008E3632" w:rsidP="006D6F3C">
      <w:pPr>
        <w:spacing w:before="100" w:beforeAutospacing="1" w:after="100" w:afterAutospacing="1" w:line="240" w:lineRule="auto"/>
        <w:ind w:left="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 xml:space="preserve">[L]es </w:t>
      </w:r>
      <w:proofErr w:type="spellStart"/>
      <w:r w:rsidRPr="009257E7">
        <w:rPr>
          <w:rFonts w:ascii="Times New Roman" w:eastAsia="Times New Roman" w:hAnsi="Times New Roman" w:cs="Times New Roman"/>
          <w:kern w:val="0"/>
          <w:lang w:val="es-ES"/>
          <w14:ligatures w14:val="none"/>
        </w:rPr>
        <w:t>teóricxs</w:t>
      </w:r>
      <w:proofErr w:type="spellEnd"/>
      <w:r w:rsidRPr="009257E7">
        <w:rPr>
          <w:rFonts w:ascii="Times New Roman" w:eastAsia="Times New Roman" w:hAnsi="Times New Roman" w:cs="Times New Roman"/>
          <w:kern w:val="0"/>
          <w:lang w:val="es-ES"/>
          <w14:ligatures w14:val="none"/>
        </w:rPr>
        <w:t xml:space="preserve"> </w:t>
      </w:r>
      <w:proofErr w:type="spellStart"/>
      <w:r w:rsidRPr="009257E7">
        <w:rPr>
          <w:rFonts w:ascii="Times New Roman" w:eastAsia="Times New Roman" w:hAnsi="Times New Roman" w:cs="Times New Roman"/>
          <w:kern w:val="0"/>
          <w:lang w:val="es-ES"/>
          <w14:ligatures w14:val="none"/>
        </w:rPr>
        <w:t>críticxs</w:t>
      </w:r>
      <w:proofErr w:type="spellEnd"/>
      <w:r w:rsidRPr="009257E7">
        <w:rPr>
          <w:rFonts w:ascii="Times New Roman" w:eastAsia="Times New Roman" w:hAnsi="Times New Roman" w:cs="Times New Roman"/>
          <w:kern w:val="0"/>
          <w:lang w:val="es-ES"/>
          <w14:ligatures w14:val="none"/>
        </w:rPr>
        <w:t xml:space="preserve"> de la raza también adoptaron el concepto de “doble conciencia” de W.E.B. Du Bois, qu</w:t>
      </w:r>
      <w:r w:rsidR="006D6F3C" w:rsidRPr="009257E7">
        <w:rPr>
          <w:rFonts w:ascii="Times New Roman" w:eastAsia="Times New Roman" w:hAnsi="Times New Roman" w:cs="Times New Roman"/>
          <w:kern w:val="0"/>
          <w:lang w:val="es-ES"/>
          <w14:ligatures w14:val="none"/>
        </w:rPr>
        <w:t>ien</w:t>
      </w:r>
      <w:r w:rsidRPr="009257E7">
        <w:rPr>
          <w:rFonts w:ascii="Times New Roman" w:eastAsia="Times New Roman" w:hAnsi="Times New Roman" w:cs="Times New Roman"/>
          <w:kern w:val="0"/>
          <w:lang w:val="es-ES"/>
          <w14:ligatures w14:val="none"/>
        </w:rPr>
        <w:t xml:space="preserve"> describe la forma en que l</w:t>
      </w:r>
      <w:r w:rsidR="006D6F3C" w:rsidRPr="009257E7">
        <w:rPr>
          <w:rFonts w:ascii="Times New Roman" w:eastAsia="Times New Roman" w:hAnsi="Times New Roman" w:cs="Times New Roman"/>
          <w:kern w:val="0"/>
          <w:lang w:val="es-ES"/>
          <w14:ligatures w14:val="none"/>
        </w:rPr>
        <w:t>o</w:t>
      </w:r>
      <w:r w:rsidRPr="009257E7">
        <w:rPr>
          <w:rFonts w:ascii="Times New Roman" w:eastAsia="Times New Roman" w:hAnsi="Times New Roman" w:cs="Times New Roman"/>
          <w:kern w:val="0"/>
          <w:lang w:val="es-ES"/>
          <w14:ligatures w14:val="none"/>
        </w:rPr>
        <w:t>s afroamerican</w:t>
      </w:r>
      <w:r w:rsidR="006D6F3C" w:rsidRPr="009257E7">
        <w:rPr>
          <w:rFonts w:ascii="Times New Roman" w:eastAsia="Times New Roman" w:hAnsi="Times New Roman" w:cs="Times New Roman"/>
          <w:kern w:val="0"/>
          <w:lang w:val="es-ES"/>
          <w14:ligatures w14:val="none"/>
        </w:rPr>
        <w:t>o</w:t>
      </w:r>
      <w:r w:rsidRPr="009257E7">
        <w:rPr>
          <w:rFonts w:ascii="Times New Roman" w:eastAsia="Times New Roman" w:hAnsi="Times New Roman" w:cs="Times New Roman"/>
          <w:kern w:val="0"/>
          <w:lang w:val="es-ES"/>
          <w14:ligatures w14:val="none"/>
        </w:rPr>
        <w:t>s sostenían dos perspectivas a la vez: la perspectiva mayoritaria —que les demonizaba y despreciaba— y la suya propia. [...]</w:t>
      </w:r>
    </w:p>
    <w:p w14:paraId="5EA022D5" w14:textId="50B788C4" w:rsidR="008E3632" w:rsidRPr="009257E7" w:rsidRDefault="008E3632" w:rsidP="006D6F3C">
      <w:pPr>
        <w:spacing w:before="100" w:beforeAutospacing="1" w:after="100" w:afterAutospacing="1" w:line="240" w:lineRule="auto"/>
        <w:ind w:left="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 xml:space="preserve">[...] Para les </w:t>
      </w:r>
      <w:proofErr w:type="spellStart"/>
      <w:r w:rsidRPr="009257E7">
        <w:rPr>
          <w:rFonts w:ascii="Times New Roman" w:eastAsia="Times New Roman" w:hAnsi="Times New Roman" w:cs="Times New Roman"/>
          <w:kern w:val="0"/>
          <w:lang w:val="es-ES"/>
          <w14:ligatures w14:val="none"/>
        </w:rPr>
        <w:t>teóricxs</w:t>
      </w:r>
      <w:proofErr w:type="spellEnd"/>
      <w:r w:rsidRPr="009257E7">
        <w:rPr>
          <w:rFonts w:ascii="Times New Roman" w:eastAsia="Times New Roman" w:hAnsi="Times New Roman" w:cs="Times New Roman"/>
          <w:kern w:val="0"/>
          <w:lang w:val="es-ES"/>
          <w14:ligatures w14:val="none"/>
        </w:rPr>
        <w:t xml:space="preserve"> </w:t>
      </w:r>
      <w:proofErr w:type="spellStart"/>
      <w:r w:rsidRPr="009257E7">
        <w:rPr>
          <w:rFonts w:ascii="Times New Roman" w:eastAsia="Times New Roman" w:hAnsi="Times New Roman" w:cs="Times New Roman"/>
          <w:kern w:val="0"/>
          <w:lang w:val="es-ES"/>
          <w14:ligatures w14:val="none"/>
        </w:rPr>
        <w:t>críticxs</w:t>
      </w:r>
      <w:proofErr w:type="spellEnd"/>
      <w:r w:rsidRPr="009257E7">
        <w:rPr>
          <w:rFonts w:ascii="Times New Roman" w:eastAsia="Times New Roman" w:hAnsi="Times New Roman" w:cs="Times New Roman"/>
          <w:kern w:val="0"/>
          <w:lang w:val="es-ES"/>
          <w14:ligatures w14:val="none"/>
        </w:rPr>
        <w:t xml:space="preserve"> de la raza, esta dualidad sentó </w:t>
      </w:r>
      <w:r w:rsidR="006D6F3C" w:rsidRPr="009257E7">
        <w:rPr>
          <w:rFonts w:ascii="Times New Roman" w:eastAsia="Times New Roman" w:hAnsi="Times New Roman" w:cs="Times New Roman"/>
          <w:kern w:val="0"/>
          <w:lang w:val="es-ES"/>
          <w14:ligatures w14:val="none"/>
        </w:rPr>
        <w:t>las</w:t>
      </w:r>
      <w:r w:rsidRPr="009257E7">
        <w:rPr>
          <w:rFonts w:ascii="Times New Roman" w:eastAsia="Times New Roman" w:hAnsi="Times New Roman" w:cs="Times New Roman"/>
          <w:kern w:val="0"/>
          <w:lang w:val="es-ES"/>
          <w14:ligatures w14:val="none"/>
        </w:rPr>
        <w:t xml:space="preserve"> base</w:t>
      </w:r>
      <w:r w:rsidR="006D6F3C" w:rsidRPr="009257E7">
        <w:rPr>
          <w:rFonts w:ascii="Times New Roman" w:eastAsia="Times New Roman" w:hAnsi="Times New Roman" w:cs="Times New Roman"/>
          <w:kern w:val="0"/>
          <w:lang w:val="es-ES"/>
          <w14:ligatures w14:val="none"/>
        </w:rPr>
        <w:t>s</w:t>
      </w:r>
      <w:r w:rsidRPr="009257E7">
        <w:rPr>
          <w:rFonts w:ascii="Times New Roman" w:eastAsia="Times New Roman" w:hAnsi="Times New Roman" w:cs="Times New Roman"/>
          <w:kern w:val="0"/>
          <w:lang w:val="es-ES"/>
          <w14:ligatures w14:val="none"/>
        </w:rPr>
        <w:t xml:space="preserve"> para comprender los desafíos jurídicos y políticos</w:t>
      </w:r>
      <w:r w:rsidR="006D6F3C" w:rsidRPr="009257E7">
        <w:rPr>
          <w:rFonts w:ascii="Times New Roman" w:eastAsia="Times New Roman" w:hAnsi="Times New Roman" w:cs="Times New Roman"/>
          <w:kern w:val="0"/>
          <w:lang w:val="es-ES"/>
          <w14:ligatures w14:val="none"/>
        </w:rPr>
        <w:t>,</w:t>
      </w:r>
      <w:r w:rsidRPr="009257E7">
        <w:rPr>
          <w:rFonts w:ascii="Times New Roman" w:eastAsia="Times New Roman" w:hAnsi="Times New Roman" w:cs="Times New Roman"/>
          <w:kern w:val="0"/>
          <w:lang w:val="es-ES"/>
          <w14:ligatures w14:val="none"/>
        </w:rPr>
        <w:t xml:space="preserve"> limitados pero poderosos</w:t>
      </w:r>
      <w:r w:rsidR="006D6F3C" w:rsidRPr="009257E7">
        <w:rPr>
          <w:rFonts w:ascii="Times New Roman" w:eastAsia="Times New Roman" w:hAnsi="Times New Roman" w:cs="Times New Roman"/>
          <w:kern w:val="0"/>
          <w:lang w:val="es-ES"/>
          <w14:ligatures w14:val="none"/>
        </w:rPr>
        <w:t>,</w:t>
      </w:r>
      <w:r w:rsidRPr="009257E7">
        <w:rPr>
          <w:rFonts w:ascii="Times New Roman" w:eastAsia="Times New Roman" w:hAnsi="Times New Roman" w:cs="Times New Roman"/>
          <w:kern w:val="0"/>
          <w:lang w:val="es-ES"/>
          <w14:ligatures w14:val="none"/>
        </w:rPr>
        <w:t xml:space="preserve"> de los grupos oprimidos frente a los arreglos sociales existentes. [...]</w:t>
      </w:r>
    </w:p>
    <w:p w14:paraId="40652B48" w14:textId="2CF7EFAB" w:rsidR="008E3632" w:rsidRPr="009257E7" w:rsidRDefault="008E3632" w:rsidP="006D6F3C">
      <w:pPr>
        <w:spacing w:before="100" w:beforeAutospacing="1" w:after="100" w:afterAutospacing="1" w:line="240" w:lineRule="auto"/>
        <w:ind w:left="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 xml:space="preserve">Les </w:t>
      </w:r>
      <w:proofErr w:type="spellStart"/>
      <w:r w:rsidRPr="009257E7">
        <w:rPr>
          <w:rFonts w:ascii="Times New Roman" w:eastAsia="Times New Roman" w:hAnsi="Times New Roman" w:cs="Times New Roman"/>
          <w:kern w:val="0"/>
          <w:lang w:val="es-ES"/>
          <w14:ligatures w14:val="none"/>
        </w:rPr>
        <w:t>teóricxs</w:t>
      </w:r>
      <w:proofErr w:type="spellEnd"/>
      <w:r w:rsidRPr="009257E7">
        <w:rPr>
          <w:rFonts w:ascii="Times New Roman" w:eastAsia="Times New Roman" w:hAnsi="Times New Roman" w:cs="Times New Roman"/>
          <w:kern w:val="0"/>
          <w:lang w:val="es-ES"/>
          <w14:ligatures w14:val="none"/>
        </w:rPr>
        <w:t xml:space="preserve"> </w:t>
      </w:r>
      <w:proofErr w:type="spellStart"/>
      <w:r w:rsidRPr="009257E7">
        <w:rPr>
          <w:rFonts w:ascii="Times New Roman" w:eastAsia="Times New Roman" w:hAnsi="Times New Roman" w:cs="Times New Roman"/>
          <w:kern w:val="0"/>
          <w:lang w:val="es-ES"/>
          <w14:ligatures w14:val="none"/>
        </w:rPr>
        <w:t>críticxs</w:t>
      </w:r>
      <w:proofErr w:type="spellEnd"/>
      <w:r w:rsidRPr="009257E7">
        <w:rPr>
          <w:rFonts w:ascii="Times New Roman" w:eastAsia="Times New Roman" w:hAnsi="Times New Roman" w:cs="Times New Roman"/>
          <w:kern w:val="0"/>
          <w:lang w:val="es-ES"/>
          <w14:ligatures w14:val="none"/>
        </w:rPr>
        <w:t xml:space="preserve"> de la raza sostienen, por tanto, que los grupos oprimidos pueden tener un cinismo profundo frente al derecho y el proceso jurídico, mientras reconocen el papel histórico y social que los derechos han desempeñado tanto en la liberación —aunque sea imperfecta— como en la elevación de la psique de los grupos subordinados. En lugar de una mera “falsa conciencia”, les </w:t>
      </w:r>
      <w:proofErr w:type="spellStart"/>
      <w:r w:rsidRPr="009257E7">
        <w:rPr>
          <w:rFonts w:ascii="Times New Roman" w:eastAsia="Times New Roman" w:hAnsi="Times New Roman" w:cs="Times New Roman"/>
          <w:kern w:val="0"/>
          <w:lang w:val="es-ES"/>
          <w14:ligatures w14:val="none"/>
        </w:rPr>
        <w:t>académicxs</w:t>
      </w:r>
      <w:proofErr w:type="spellEnd"/>
      <w:r w:rsidRPr="009257E7">
        <w:rPr>
          <w:rFonts w:ascii="Times New Roman" w:eastAsia="Times New Roman" w:hAnsi="Times New Roman" w:cs="Times New Roman"/>
          <w:kern w:val="0"/>
          <w:lang w:val="es-ES"/>
          <w14:ligatures w14:val="none"/>
        </w:rPr>
        <w:t xml:space="preserve"> </w:t>
      </w:r>
      <w:proofErr w:type="spellStart"/>
      <w:r w:rsidRPr="009257E7">
        <w:rPr>
          <w:rFonts w:ascii="Times New Roman" w:eastAsia="Times New Roman" w:hAnsi="Times New Roman" w:cs="Times New Roman"/>
          <w:kern w:val="0"/>
          <w:lang w:val="es-ES"/>
          <w14:ligatures w14:val="none"/>
        </w:rPr>
        <w:t>críticxs</w:t>
      </w:r>
      <w:proofErr w:type="spellEnd"/>
      <w:r w:rsidRPr="009257E7">
        <w:rPr>
          <w:rFonts w:ascii="Times New Roman" w:eastAsia="Times New Roman" w:hAnsi="Times New Roman" w:cs="Times New Roman"/>
          <w:kern w:val="0"/>
          <w:lang w:val="es-ES"/>
          <w14:ligatures w14:val="none"/>
        </w:rPr>
        <w:t xml:space="preserve"> de la raza sostienen que los grupos marginados poseen una “conciencia crítica”: l</w:t>
      </w:r>
      <w:r w:rsidR="00DB6647" w:rsidRPr="009257E7">
        <w:rPr>
          <w:rFonts w:ascii="Times New Roman" w:eastAsia="Times New Roman" w:hAnsi="Times New Roman" w:cs="Times New Roman"/>
          <w:kern w:val="0"/>
          <w:lang w:val="es-ES"/>
          <w14:ligatures w14:val="none"/>
        </w:rPr>
        <w:t>o</w:t>
      </w:r>
      <w:r w:rsidRPr="009257E7">
        <w:rPr>
          <w:rFonts w:ascii="Times New Roman" w:eastAsia="Times New Roman" w:hAnsi="Times New Roman" w:cs="Times New Roman"/>
          <w:kern w:val="0"/>
          <w:lang w:val="es-ES"/>
          <w14:ligatures w14:val="none"/>
        </w:rPr>
        <w:t>s subordinad</w:t>
      </w:r>
      <w:r w:rsidR="00DB6647" w:rsidRPr="009257E7">
        <w:rPr>
          <w:rFonts w:ascii="Times New Roman" w:eastAsia="Times New Roman" w:hAnsi="Times New Roman" w:cs="Times New Roman"/>
          <w:kern w:val="0"/>
          <w:lang w:val="es-ES"/>
          <w14:ligatures w14:val="none"/>
        </w:rPr>
        <w:t>o</w:t>
      </w:r>
      <w:r w:rsidRPr="009257E7">
        <w:rPr>
          <w:rFonts w:ascii="Times New Roman" w:eastAsia="Times New Roman" w:hAnsi="Times New Roman" w:cs="Times New Roman"/>
          <w:kern w:val="0"/>
          <w:lang w:val="es-ES"/>
          <w14:ligatures w14:val="none"/>
        </w:rPr>
        <w:t>s pueden “comprender la subordinación y derivar de ella medios de liberación”. [...]</w:t>
      </w:r>
    </w:p>
    <w:p w14:paraId="043A4433" w14:textId="77777777" w:rsidR="008E3632" w:rsidRPr="009257E7" w:rsidRDefault="008E3632" w:rsidP="00DB6647">
      <w:pPr>
        <w:spacing w:before="100" w:beforeAutospacing="1" w:after="100" w:afterAutospacing="1" w:line="240" w:lineRule="auto"/>
        <w:ind w:left="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 xml:space="preserve">Por estas razones, les </w:t>
      </w:r>
      <w:proofErr w:type="spellStart"/>
      <w:r w:rsidRPr="009257E7">
        <w:rPr>
          <w:rFonts w:ascii="Times New Roman" w:eastAsia="Times New Roman" w:hAnsi="Times New Roman" w:cs="Times New Roman"/>
          <w:kern w:val="0"/>
          <w:lang w:val="es-ES"/>
          <w14:ligatures w14:val="none"/>
        </w:rPr>
        <w:t>teóricxs</w:t>
      </w:r>
      <w:proofErr w:type="spellEnd"/>
      <w:r w:rsidRPr="009257E7">
        <w:rPr>
          <w:rFonts w:ascii="Times New Roman" w:eastAsia="Times New Roman" w:hAnsi="Times New Roman" w:cs="Times New Roman"/>
          <w:kern w:val="0"/>
          <w:lang w:val="es-ES"/>
          <w14:ligatures w14:val="none"/>
        </w:rPr>
        <w:t xml:space="preserve"> </w:t>
      </w:r>
      <w:proofErr w:type="spellStart"/>
      <w:r w:rsidRPr="009257E7">
        <w:rPr>
          <w:rFonts w:ascii="Times New Roman" w:eastAsia="Times New Roman" w:hAnsi="Times New Roman" w:cs="Times New Roman"/>
          <w:kern w:val="0"/>
          <w:lang w:val="es-ES"/>
          <w14:ligatures w14:val="none"/>
        </w:rPr>
        <w:t>críticxs</w:t>
      </w:r>
      <w:proofErr w:type="spellEnd"/>
      <w:r w:rsidRPr="009257E7">
        <w:rPr>
          <w:rFonts w:ascii="Times New Roman" w:eastAsia="Times New Roman" w:hAnsi="Times New Roman" w:cs="Times New Roman"/>
          <w:kern w:val="0"/>
          <w:lang w:val="es-ES"/>
          <w14:ligatures w14:val="none"/>
        </w:rPr>
        <w:t xml:space="preserve"> de la raza subrayan la importancia de la afirmación de derechos para los pueblos oprimidos y las comunidades de color. [...] Así, les </w:t>
      </w:r>
      <w:proofErr w:type="spellStart"/>
      <w:r w:rsidRPr="009257E7">
        <w:rPr>
          <w:rFonts w:ascii="Times New Roman" w:eastAsia="Times New Roman" w:hAnsi="Times New Roman" w:cs="Times New Roman"/>
          <w:kern w:val="0"/>
          <w:lang w:val="es-ES"/>
          <w14:ligatures w14:val="none"/>
        </w:rPr>
        <w:t>teóricxs</w:t>
      </w:r>
      <w:proofErr w:type="spellEnd"/>
      <w:r w:rsidRPr="009257E7">
        <w:rPr>
          <w:rFonts w:ascii="Times New Roman" w:eastAsia="Times New Roman" w:hAnsi="Times New Roman" w:cs="Times New Roman"/>
          <w:kern w:val="0"/>
          <w:lang w:val="es-ES"/>
          <w14:ligatures w14:val="none"/>
        </w:rPr>
        <w:t xml:space="preserve"> </w:t>
      </w:r>
      <w:proofErr w:type="spellStart"/>
      <w:r w:rsidRPr="009257E7">
        <w:rPr>
          <w:rFonts w:ascii="Times New Roman" w:eastAsia="Times New Roman" w:hAnsi="Times New Roman" w:cs="Times New Roman"/>
          <w:kern w:val="0"/>
          <w:lang w:val="es-ES"/>
          <w14:ligatures w14:val="none"/>
        </w:rPr>
        <w:t>críticxs</w:t>
      </w:r>
      <w:proofErr w:type="spellEnd"/>
      <w:r w:rsidRPr="009257E7">
        <w:rPr>
          <w:rFonts w:ascii="Times New Roman" w:eastAsia="Times New Roman" w:hAnsi="Times New Roman" w:cs="Times New Roman"/>
          <w:kern w:val="0"/>
          <w:lang w:val="es-ES"/>
          <w14:ligatures w14:val="none"/>
        </w:rPr>
        <w:t xml:space="preserve"> de la raza vieron el “descarte de derechos” de </w:t>
      </w:r>
      <w:proofErr w:type="spellStart"/>
      <w:r w:rsidRPr="009257E7">
        <w:rPr>
          <w:rFonts w:ascii="Times New Roman" w:eastAsia="Times New Roman" w:hAnsi="Times New Roman" w:cs="Times New Roman"/>
          <w:kern w:val="0"/>
          <w:lang w:val="es-ES"/>
          <w14:ligatures w14:val="none"/>
        </w:rPr>
        <w:t>Critical</w:t>
      </w:r>
      <w:proofErr w:type="spellEnd"/>
      <w:r w:rsidRPr="009257E7">
        <w:rPr>
          <w:rFonts w:ascii="Times New Roman" w:eastAsia="Times New Roman" w:hAnsi="Times New Roman" w:cs="Times New Roman"/>
          <w:kern w:val="0"/>
          <w:lang w:val="es-ES"/>
          <w14:ligatures w14:val="none"/>
        </w:rPr>
        <w:t xml:space="preserve"> Legal </w:t>
      </w:r>
      <w:proofErr w:type="spellStart"/>
      <w:r w:rsidRPr="009257E7">
        <w:rPr>
          <w:rFonts w:ascii="Times New Roman" w:eastAsia="Times New Roman" w:hAnsi="Times New Roman" w:cs="Times New Roman"/>
          <w:kern w:val="0"/>
          <w:lang w:val="es-ES"/>
          <w14:ligatures w14:val="none"/>
        </w:rPr>
        <w:t>Studies</w:t>
      </w:r>
      <w:proofErr w:type="spellEnd"/>
      <w:r w:rsidRPr="009257E7">
        <w:rPr>
          <w:rFonts w:ascii="Times New Roman" w:eastAsia="Times New Roman" w:hAnsi="Times New Roman" w:cs="Times New Roman"/>
          <w:kern w:val="0"/>
          <w:lang w:val="es-ES"/>
          <w14:ligatures w14:val="none"/>
        </w:rPr>
        <w:t xml:space="preserve"> como algo desconectado de las experiencias complejas de las comunidades con el derecho y el proceso jurídico.</w:t>
      </w:r>
    </w:p>
    <w:p w14:paraId="4A57003D" w14:textId="77777777" w:rsidR="008E3632" w:rsidRPr="009257E7" w:rsidRDefault="008E3632" w:rsidP="00DB6647">
      <w:pPr>
        <w:spacing w:before="100" w:beforeAutospacing="1" w:after="100" w:afterAutospacing="1" w:line="240" w:lineRule="auto"/>
        <w:ind w:left="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 xml:space="preserve">[...] Esta doble conciencia —el reconocimiento simultáneo del efecto opresivo del poder diferencial en la aplicación del derecho, y del valor del discurso de derechos y de los reclamos </w:t>
      </w:r>
      <w:proofErr w:type="gramStart"/>
      <w:r w:rsidRPr="009257E7">
        <w:rPr>
          <w:rFonts w:ascii="Times New Roman" w:eastAsia="Times New Roman" w:hAnsi="Times New Roman" w:cs="Times New Roman"/>
          <w:kern w:val="0"/>
          <w:lang w:val="es-ES"/>
          <w14:ligatures w14:val="none"/>
        </w:rPr>
        <w:t>jurídicos</w:t>
      </w:r>
      <w:proofErr w:type="gramEnd"/>
      <w:r w:rsidRPr="009257E7">
        <w:rPr>
          <w:rFonts w:ascii="Times New Roman" w:eastAsia="Times New Roman" w:hAnsi="Times New Roman" w:cs="Times New Roman"/>
          <w:kern w:val="0"/>
          <w:lang w:val="es-ES"/>
          <w14:ligatures w14:val="none"/>
        </w:rPr>
        <w:t xml:space="preserve"> aunque puedan fracasar— es, por tanto, una fuente de fuerza.</w:t>
      </w:r>
    </w:p>
    <w:p w14:paraId="06B10858" w14:textId="11B441C0" w:rsidR="008E3632" w:rsidRPr="009257E7" w:rsidRDefault="008E3632" w:rsidP="00A02B51">
      <w:pPr>
        <w:spacing w:before="100" w:beforeAutospacing="1" w:after="100" w:afterAutospacing="1" w:line="240" w:lineRule="auto"/>
        <w:ind w:left="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 Les puertorriqueñes de Haw</w:t>
      </w:r>
      <w:r w:rsidR="00A02B51" w:rsidRPr="009257E7">
        <w:rPr>
          <w:rFonts w:ascii="Times New Roman" w:eastAsia="Times New Roman" w:hAnsi="Times New Roman" w:cs="Times New Roman"/>
          <w:kern w:val="0"/>
          <w:lang w:val="es-ES"/>
          <w14:ligatures w14:val="none"/>
        </w:rPr>
        <w:t>á</w:t>
      </w:r>
      <w:r w:rsidRPr="009257E7">
        <w:rPr>
          <w:rFonts w:ascii="Times New Roman" w:eastAsia="Times New Roman" w:hAnsi="Times New Roman" w:cs="Times New Roman"/>
          <w:kern w:val="0"/>
          <w:lang w:val="es-ES"/>
          <w14:ligatures w14:val="none"/>
        </w:rPr>
        <w:t>i también poseían una conciencia crítica: comprendían la subordinación y derivaban de ella métodos de liberación.</w:t>
      </w:r>
      <w:r w:rsidR="00A02B51" w:rsidRPr="009257E7">
        <w:rPr>
          <w:rStyle w:val="FootnoteReference"/>
          <w:rFonts w:ascii="Times New Roman" w:eastAsia="Times New Roman" w:hAnsi="Times New Roman" w:cs="Times New Roman"/>
          <w:kern w:val="0"/>
          <w:lang w:val="es-ES"/>
          <w14:ligatures w14:val="none"/>
        </w:rPr>
        <w:footnoteReference w:id="214"/>
      </w:r>
    </w:p>
    <w:p w14:paraId="5099C5D3" w14:textId="1FF71ED0" w:rsidR="008E3632" w:rsidRPr="009257E7" w:rsidRDefault="008E3632" w:rsidP="00775936">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 xml:space="preserve">En conjunto, la deconstrucción y la conciencia dual ofrecen puntos de partida para desaprender y reaprender. Si se practican, abren caminos para el análisis y el conocimiento críticos. El uso de estas herramientas analíticas produce conclusiones fundamentales sobre: (1) cómo y por qué las reflexiones críticas y autocríticas desde abajo generan perspectivas que conducen a la acción colectiva; (2) cómo y por qué la colaboración multidisciplinaria, multicultural y responsable </w:t>
      </w:r>
      <w:r w:rsidR="00775936" w:rsidRPr="009257E7">
        <w:rPr>
          <w:rFonts w:ascii="Times New Roman" w:eastAsia="Times New Roman" w:hAnsi="Times New Roman" w:cs="Times New Roman"/>
          <w:kern w:val="0"/>
          <w:lang w:val="es-ES"/>
          <w14:ligatures w14:val="none"/>
        </w:rPr>
        <w:t>con</w:t>
      </w:r>
      <w:r w:rsidRPr="009257E7">
        <w:rPr>
          <w:rFonts w:ascii="Times New Roman" w:eastAsia="Times New Roman" w:hAnsi="Times New Roman" w:cs="Times New Roman"/>
          <w:kern w:val="0"/>
          <w:lang w:val="es-ES"/>
          <w14:ligatures w14:val="none"/>
        </w:rPr>
        <w:t xml:space="preserve"> quienes están abajo impulsa y sostiene luchas organizadas de largo plazo; y (3) cómo y por qué l</w:t>
      </w:r>
      <w:r w:rsidR="00EF26EA" w:rsidRPr="009257E7">
        <w:rPr>
          <w:rFonts w:ascii="Times New Roman" w:eastAsia="Times New Roman" w:hAnsi="Times New Roman" w:cs="Times New Roman"/>
          <w:kern w:val="0"/>
          <w:lang w:val="es-ES"/>
          <w14:ligatures w14:val="none"/>
        </w:rPr>
        <w:t>e</w:t>
      </w:r>
      <w:r w:rsidRPr="009257E7">
        <w:rPr>
          <w:rFonts w:ascii="Times New Roman" w:eastAsia="Times New Roman" w:hAnsi="Times New Roman" w:cs="Times New Roman"/>
          <w:kern w:val="0"/>
          <w:lang w:val="es-ES"/>
          <w14:ligatures w14:val="none"/>
        </w:rPr>
        <w:t xml:space="preserve">s abogades sistémiques recurren a las escuelas y los enfoques </w:t>
      </w:r>
      <w:r w:rsidRPr="009257E7">
        <w:rPr>
          <w:rFonts w:ascii="Times New Roman" w:eastAsia="Times New Roman" w:hAnsi="Times New Roman" w:cs="Times New Roman"/>
          <w:kern w:val="0"/>
          <w:lang w:val="es-ES"/>
          <w14:ligatures w14:val="none"/>
        </w:rPr>
        <w:lastRenderedPageBreak/>
        <w:t>para orientar su abogacía. Estos puntos de partida ayudan a les abogades a construir conocimiento junto con experiencia para usarlo en los contextos variados y complejos que los problemas sociales siempre presentan.</w:t>
      </w:r>
    </w:p>
    <w:p w14:paraId="01D47A32" w14:textId="6E69E92C" w:rsidR="008F5B70" w:rsidRPr="009257E7" w:rsidRDefault="008E3632" w:rsidP="00EF26EA">
      <w:pPr>
        <w:spacing w:before="100" w:beforeAutospacing="1" w:after="100" w:afterAutospacing="1" w:line="240" w:lineRule="auto"/>
        <w:ind w:firstLine="720"/>
        <w:rPr>
          <w:rFonts w:ascii="Times New Roman" w:eastAsia="Times New Roman" w:hAnsi="Times New Roman" w:cs="Times New Roman"/>
          <w:b/>
          <w:bCs/>
          <w:kern w:val="0"/>
          <w:lang w:val="es-ES"/>
          <w14:ligatures w14:val="none"/>
        </w:rPr>
      </w:pPr>
      <w:r w:rsidRPr="009257E7">
        <w:rPr>
          <w:rFonts w:ascii="Times New Roman" w:eastAsia="Times New Roman" w:hAnsi="Times New Roman" w:cs="Times New Roman"/>
          <w:kern w:val="0"/>
          <w:lang w:val="es-ES"/>
          <w14:ligatures w14:val="none"/>
        </w:rPr>
        <w:t xml:space="preserve">La deconstrucción y la conciencia dual ayudan a les abogades a iniciar el proceso de desaprender y reaprender, tanto para sí mismes como para los grupos que apoyan. Ambas herramientas se benefician de la autorreflexión crítica sobre la experiencia personal o próxima, pero también sobre las perspectivas del conocimiento crítico y de otras disciplinas. Ambas enfatizan cambios en </w:t>
      </w:r>
      <w:r w:rsidR="001747C4" w:rsidRPr="009257E7">
        <w:rPr>
          <w:rFonts w:ascii="Times New Roman" w:eastAsia="Times New Roman" w:hAnsi="Times New Roman" w:cs="Times New Roman"/>
          <w:kern w:val="0"/>
          <w:lang w:val="es-ES"/>
          <w14:ligatures w14:val="none"/>
        </w:rPr>
        <w:t xml:space="preserve">los </w:t>
      </w:r>
      <w:r w:rsidRPr="009257E7">
        <w:rPr>
          <w:rFonts w:ascii="Times New Roman" w:eastAsia="Times New Roman" w:hAnsi="Times New Roman" w:cs="Times New Roman"/>
          <w:kern w:val="0"/>
          <w:lang w:val="es-ES"/>
          <w14:ligatures w14:val="none"/>
        </w:rPr>
        <w:t>hábitos cognitivos o</w:t>
      </w:r>
      <w:r w:rsidR="001747C4" w:rsidRPr="009257E7">
        <w:rPr>
          <w:rFonts w:ascii="Times New Roman" w:eastAsia="Times New Roman" w:hAnsi="Times New Roman" w:cs="Times New Roman"/>
          <w:kern w:val="0"/>
          <w:lang w:val="es-ES"/>
          <w14:ligatures w14:val="none"/>
        </w:rPr>
        <w:t xml:space="preserve"> en las</w:t>
      </w:r>
      <w:r w:rsidRPr="009257E7">
        <w:rPr>
          <w:rFonts w:ascii="Times New Roman" w:eastAsia="Times New Roman" w:hAnsi="Times New Roman" w:cs="Times New Roman"/>
          <w:kern w:val="0"/>
          <w:lang w:val="es-ES"/>
          <w14:ligatures w14:val="none"/>
        </w:rPr>
        <w:t xml:space="preserve"> presuposiciones. Por tanto, recopilar información y fundirla en conocimiento para desaprender y reaprender </w:t>
      </w:r>
      <w:proofErr w:type="gramStart"/>
      <w:r w:rsidRPr="009257E7">
        <w:rPr>
          <w:rFonts w:ascii="Times New Roman" w:eastAsia="Times New Roman" w:hAnsi="Times New Roman" w:cs="Times New Roman"/>
          <w:kern w:val="0"/>
          <w:lang w:val="es-ES"/>
          <w14:ligatures w14:val="none"/>
        </w:rPr>
        <w:t>tanto detalles</w:t>
      </w:r>
      <w:proofErr w:type="gramEnd"/>
      <w:r w:rsidRPr="009257E7">
        <w:rPr>
          <w:rFonts w:ascii="Times New Roman" w:eastAsia="Times New Roman" w:hAnsi="Times New Roman" w:cs="Times New Roman"/>
          <w:kern w:val="0"/>
          <w:lang w:val="es-ES"/>
          <w14:ligatures w14:val="none"/>
        </w:rPr>
        <w:t xml:space="preserve"> como fundamentos son tareas indispensables para la solidaridad y el éxito en la abogacía sistémica transformadora.</w:t>
      </w:r>
      <w:r w:rsidR="00EF26EA" w:rsidRPr="009257E7">
        <w:rPr>
          <w:rFonts w:ascii="Times New Roman" w:eastAsia="Times New Roman" w:hAnsi="Times New Roman" w:cs="Times New Roman"/>
          <w:kern w:val="0"/>
          <w:lang w:val="es-ES"/>
          <w14:ligatures w14:val="none"/>
        </w:rPr>
        <w:br/>
      </w:r>
      <w:r w:rsidR="008F5B70" w:rsidRPr="009257E7">
        <w:rPr>
          <w:rFonts w:ascii="Times New Roman" w:eastAsia="Times New Roman" w:hAnsi="Times New Roman" w:cs="Times New Roman"/>
          <w:b/>
          <w:bCs/>
          <w:kern w:val="0"/>
          <w:lang w:val="es-ES"/>
          <w14:ligatures w14:val="none"/>
        </w:rPr>
        <w:br/>
        <w:t>5.7 Transformar la abogacía ayuda a transformar la sociedad: poco a poco, año tras año</w:t>
      </w:r>
    </w:p>
    <w:p w14:paraId="19E8827F" w14:textId="23E9C16E" w:rsidR="0070725F" w:rsidRPr="009257E7" w:rsidRDefault="0070725F" w:rsidP="0070725F">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 xml:space="preserve">Desaprender y reaprender la abogacía misma es un medio para una transformación más amplia de sistemas y sociedades. Bill </w:t>
      </w:r>
      <w:proofErr w:type="spellStart"/>
      <w:r w:rsidRPr="009257E7">
        <w:rPr>
          <w:rFonts w:ascii="Times New Roman" w:eastAsia="Times New Roman" w:hAnsi="Times New Roman" w:cs="Times New Roman"/>
          <w:kern w:val="0"/>
          <w:lang w:val="es-ES"/>
          <w14:ligatures w14:val="none"/>
        </w:rPr>
        <w:t>Ong</w:t>
      </w:r>
      <w:proofErr w:type="spellEnd"/>
      <w:r w:rsidRPr="009257E7">
        <w:rPr>
          <w:rFonts w:ascii="Times New Roman" w:eastAsia="Times New Roman" w:hAnsi="Times New Roman" w:cs="Times New Roman"/>
          <w:kern w:val="0"/>
          <w:lang w:val="es-ES"/>
          <w14:ligatures w14:val="none"/>
        </w:rPr>
        <w:t xml:space="preserve"> Hing, académico del derecho asiático estadounidense, describe cómo James </w:t>
      </w:r>
      <w:proofErr w:type="gramStart"/>
      <w:r w:rsidRPr="009257E7">
        <w:rPr>
          <w:rFonts w:ascii="Times New Roman" w:eastAsia="Times New Roman" w:hAnsi="Times New Roman" w:cs="Times New Roman"/>
          <w:kern w:val="0"/>
          <w:lang w:val="es-ES"/>
          <w14:ligatures w14:val="none"/>
        </w:rPr>
        <w:t>Yen</w:t>
      </w:r>
      <w:proofErr w:type="gramEnd"/>
      <w:r w:rsidRPr="009257E7">
        <w:rPr>
          <w:rFonts w:ascii="Times New Roman" w:eastAsia="Times New Roman" w:hAnsi="Times New Roman" w:cs="Times New Roman"/>
          <w:kern w:val="0"/>
          <w:lang w:val="es-ES"/>
          <w14:ligatures w14:val="none"/>
        </w:rPr>
        <w:t xml:space="preserve"> </w:t>
      </w:r>
      <w:r w:rsidR="002B5161" w:rsidRPr="009257E7">
        <w:rPr>
          <w:rFonts w:ascii="Times New Roman" w:eastAsia="Times New Roman" w:hAnsi="Times New Roman" w:cs="Times New Roman"/>
          <w:kern w:val="0"/>
          <w:lang w:val="es-ES"/>
          <w14:ligatures w14:val="none"/>
        </w:rPr>
        <w:t>impuls</w:t>
      </w:r>
      <w:r w:rsidRPr="009257E7">
        <w:rPr>
          <w:rFonts w:ascii="Times New Roman" w:eastAsia="Times New Roman" w:hAnsi="Times New Roman" w:cs="Times New Roman"/>
          <w:kern w:val="0"/>
          <w:lang w:val="es-ES"/>
          <w14:ligatures w14:val="none"/>
        </w:rPr>
        <w:t xml:space="preserve">ó cambios significativos en la sociedad mediante la abogacía transformadora. Yen diseñó un proyecto de educación pública que partía de “lo que el pueblo sabe” y </w:t>
      </w:r>
      <w:r w:rsidR="002B5161" w:rsidRPr="009257E7">
        <w:rPr>
          <w:rFonts w:ascii="Times New Roman" w:eastAsia="Times New Roman" w:hAnsi="Times New Roman" w:cs="Times New Roman"/>
          <w:kern w:val="0"/>
          <w:lang w:val="es-ES"/>
          <w14:ligatures w14:val="none"/>
        </w:rPr>
        <w:t xml:space="preserve">se </w:t>
      </w:r>
      <w:r w:rsidRPr="009257E7">
        <w:rPr>
          <w:rFonts w:ascii="Times New Roman" w:eastAsia="Times New Roman" w:hAnsi="Times New Roman" w:cs="Times New Roman"/>
          <w:kern w:val="0"/>
          <w:lang w:val="es-ES"/>
          <w14:ligatures w14:val="none"/>
        </w:rPr>
        <w:t xml:space="preserve">construía sobre lo que ya tiene. El trabajo de </w:t>
      </w:r>
      <w:proofErr w:type="gramStart"/>
      <w:r w:rsidRPr="009257E7">
        <w:rPr>
          <w:rFonts w:ascii="Times New Roman" w:eastAsia="Times New Roman" w:hAnsi="Times New Roman" w:cs="Times New Roman"/>
          <w:kern w:val="0"/>
          <w:lang w:val="es-ES"/>
          <w14:ligatures w14:val="none"/>
        </w:rPr>
        <w:t>Yen</w:t>
      </w:r>
      <w:proofErr w:type="gramEnd"/>
      <w:r w:rsidRPr="009257E7">
        <w:rPr>
          <w:rFonts w:ascii="Times New Roman" w:eastAsia="Times New Roman" w:hAnsi="Times New Roman" w:cs="Times New Roman"/>
          <w:kern w:val="0"/>
          <w:lang w:val="es-ES"/>
          <w14:ligatures w14:val="none"/>
        </w:rPr>
        <w:t xml:space="preserve"> ilustra de manera concreta muchos elementos de la abogacía sistémica, incluid</w:t>
      </w:r>
      <w:r w:rsidR="002B5161" w:rsidRPr="009257E7">
        <w:rPr>
          <w:rFonts w:ascii="Times New Roman" w:eastAsia="Times New Roman" w:hAnsi="Times New Roman" w:cs="Times New Roman"/>
          <w:kern w:val="0"/>
          <w:lang w:val="es-ES"/>
          <w14:ligatures w14:val="none"/>
        </w:rPr>
        <w:t>as</w:t>
      </w:r>
      <w:r w:rsidRPr="009257E7">
        <w:rPr>
          <w:rFonts w:ascii="Times New Roman" w:eastAsia="Times New Roman" w:hAnsi="Times New Roman" w:cs="Times New Roman"/>
          <w:kern w:val="0"/>
          <w:lang w:val="es-ES"/>
          <w14:ligatures w14:val="none"/>
        </w:rPr>
        <w:t xml:space="preserve"> la conciencia </w:t>
      </w:r>
      <w:proofErr w:type="spellStart"/>
      <w:r w:rsidRPr="009257E7">
        <w:rPr>
          <w:rFonts w:ascii="Times New Roman" w:eastAsia="Times New Roman" w:hAnsi="Times New Roman" w:cs="Times New Roman"/>
          <w:kern w:val="0"/>
          <w:lang w:val="es-ES"/>
          <w14:ligatures w14:val="none"/>
        </w:rPr>
        <w:t>antisubordinación</w:t>
      </w:r>
      <w:proofErr w:type="spellEnd"/>
      <w:r w:rsidRPr="009257E7">
        <w:rPr>
          <w:rFonts w:ascii="Times New Roman" w:eastAsia="Times New Roman" w:hAnsi="Times New Roman" w:cs="Times New Roman"/>
          <w:kern w:val="0"/>
          <w:lang w:val="es-ES"/>
          <w14:ligatures w14:val="none"/>
        </w:rPr>
        <w:t xml:space="preserve">, la colaboración y la acción. Hing concluye con siete orientaciones prácticas derivadas del trabajo de abogacía de </w:t>
      </w:r>
      <w:proofErr w:type="gramStart"/>
      <w:r w:rsidRPr="009257E7">
        <w:rPr>
          <w:rFonts w:ascii="Times New Roman" w:eastAsia="Times New Roman" w:hAnsi="Times New Roman" w:cs="Times New Roman"/>
          <w:kern w:val="0"/>
          <w:lang w:val="es-ES"/>
          <w14:ligatures w14:val="none"/>
        </w:rPr>
        <w:t>Yen</w:t>
      </w:r>
      <w:proofErr w:type="gramEnd"/>
      <w:r w:rsidRPr="009257E7">
        <w:rPr>
          <w:rFonts w:ascii="Times New Roman" w:eastAsia="Times New Roman" w:hAnsi="Times New Roman" w:cs="Times New Roman"/>
          <w:kern w:val="0"/>
          <w:lang w:val="es-ES"/>
          <w14:ligatures w14:val="none"/>
        </w:rPr>
        <w:t>:</w:t>
      </w:r>
    </w:p>
    <w:p w14:paraId="07E310BE" w14:textId="77777777" w:rsidR="0070725F" w:rsidRPr="009257E7" w:rsidRDefault="0070725F" w:rsidP="005A1265">
      <w:pPr>
        <w:spacing w:after="0" w:line="240" w:lineRule="auto"/>
        <w:ind w:left="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 Educar a clientes y comunidades para apoyar la resistencia;</w:t>
      </w:r>
    </w:p>
    <w:p w14:paraId="2D05EAE4" w14:textId="7979E2A1" w:rsidR="0070725F" w:rsidRPr="009257E7" w:rsidRDefault="0070725F" w:rsidP="005A1265">
      <w:pPr>
        <w:spacing w:after="0" w:line="240" w:lineRule="auto"/>
        <w:ind w:left="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 Abrirnos a ser educad</w:t>
      </w:r>
      <w:r w:rsidR="005A1265" w:rsidRPr="009257E7">
        <w:rPr>
          <w:rFonts w:ascii="Times New Roman" w:eastAsia="Times New Roman" w:hAnsi="Times New Roman" w:cs="Times New Roman"/>
          <w:kern w:val="0"/>
          <w:lang w:val="es-ES"/>
          <w14:ligatures w14:val="none"/>
        </w:rPr>
        <w:t>o</w:t>
      </w:r>
      <w:r w:rsidRPr="009257E7">
        <w:rPr>
          <w:rFonts w:ascii="Times New Roman" w:eastAsia="Times New Roman" w:hAnsi="Times New Roman" w:cs="Times New Roman"/>
          <w:kern w:val="0"/>
          <w:lang w:val="es-ES"/>
          <w14:ligatures w14:val="none"/>
        </w:rPr>
        <w:t>s por clientes, comunidades y aliad</w:t>
      </w:r>
      <w:r w:rsidR="005A1265" w:rsidRPr="009257E7">
        <w:rPr>
          <w:rFonts w:ascii="Times New Roman" w:eastAsia="Times New Roman" w:hAnsi="Times New Roman" w:cs="Times New Roman"/>
          <w:kern w:val="0"/>
          <w:lang w:val="es-ES"/>
          <w14:ligatures w14:val="none"/>
        </w:rPr>
        <w:t>o</w:t>
      </w:r>
      <w:r w:rsidRPr="009257E7">
        <w:rPr>
          <w:rFonts w:ascii="Times New Roman" w:eastAsia="Times New Roman" w:hAnsi="Times New Roman" w:cs="Times New Roman"/>
          <w:kern w:val="0"/>
          <w:lang w:val="es-ES"/>
          <w14:ligatures w14:val="none"/>
        </w:rPr>
        <w:t>s;</w:t>
      </w:r>
    </w:p>
    <w:p w14:paraId="57110A90" w14:textId="291061FF" w:rsidR="0070725F" w:rsidRPr="009257E7" w:rsidRDefault="0070725F" w:rsidP="005A1265">
      <w:pPr>
        <w:spacing w:after="0" w:line="240" w:lineRule="auto"/>
        <w:ind w:left="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 Reconocer que no hay necesidad de romantizar el conocimiento o la visión de</w:t>
      </w:r>
      <w:r w:rsidR="005A1265" w:rsidRPr="009257E7">
        <w:rPr>
          <w:rFonts w:ascii="Times New Roman" w:eastAsia="Times New Roman" w:hAnsi="Times New Roman" w:cs="Times New Roman"/>
          <w:kern w:val="0"/>
          <w:lang w:val="es-ES"/>
          <w14:ligatures w14:val="none"/>
        </w:rPr>
        <w:t>l</w:t>
      </w:r>
      <w:r w:rsidRPr="009257E7">
        <w:rPr>
          <w:rFonts w:ascii="Times New Roman" w:eastAsia="Times New Roman" w:hAnsi="Times New Roman" w:cs="Times New Roman"/>
          <w:kern w:val="0"/>
          <w:lang w:val="es-ES"/>
          <w14:ligatures w14:val="none"/>
        </w:rPr>
        <w:t xml:space="preserve"> cliente;</w:t>
      </w:r>
    </w:p>
    <w:p w14:paraId="43CF1911" w14:textId="77777777" w:rsidR="0070725F" w:rsidRPr="009257E7" w:rsidRDefault="0070725F" w:rsidP="005A1265">
      <w:pPr>
        <w:spacing w:after="0" w:line="240" w:lineRule="auto"/>
        <w:ind w:left="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 Destacar la importancia de la colaboración;</w:t>
      </w:r>
    </w:p>
    <w:p w14:paraId="7B018A72" w14:textId="16B73118" w:rsidR="0070725F" w:rsidRPr="009257E7" w:rsidRDefault="0070725F" w:rsidP="005A1265">
      <w:pPr>
        <w:spacing w:after="0" w:line="240" w:lineRule="auto"/>
        <w:ind w:left="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 Respetar a l</w:t>
      </w:r>
      <w:r w:rsidR="00F648A5" w:rsidRPr="009257E7">
        <w:rPr>
          <w:rFonts w:ascii="Times New Roman" w:eastAsia="Times New Roman" w:hAnsi="Times New Roman" w:cs="Times New Roman"/>
          <w:kern w:val="0"/>
          <w:lang w:val="es-ES"/>
          <w14:ligatures w14:val="none"/>
        </w:rPr>
        <w:t>o</w:t>
      </w:r>
      <w:r w:rsidRPr="009257E7">
        <w:rPr>
          <w:rFonts w:ascii="Times New Roman" w:eastAsia="Times New Roman" w:hAnsi="Times New Roman" w:cs="Times New Roman"/>
          <w:kern w:val="0"/>
          <w:lang w:val="es-ES"/>
          <w14:ligatures w14:val="none"/>
        </w:rPr>
        <w:t>s clientes en lugar de repetir una experiencia de subordinación;</w:t>
      </w:r>
    </w:p>
    <w:p w14:paraId="05293F7D" w14:textId="77777777" w:rsidR="0070725F" w:rsidRPr="009257E7" w:rsidRDefault="0070725F" w:rsidP="005A1265">
      <w:pPr>
        <w:spacing w:after="0" w:line="240" w:lineRule="auto"/>
        <w:ind w:left="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 Asumir las batallas extremadamente difíciles a las que conduce la abogacía colaborativa, a pesar de las probabilidades; [y]</w:t>
      </w:r>
    </w:p>
    <w:p w14:paraId="1A754C7E" w14:textId="6A2805A1" w:rsidR="0070725F" w:rsidRPr="009257E7" w:rsidRDefault="0070725F" w:rsidP="005A1265">
      <w:pPr>
        <w:spacing w:after="0" w:line="240" w:lineRule="auto"/>
        <w:ind w:left="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 xml:space="preserve">• Integrar y navegar </w:t>
      </w:r>
      <w:r w:rsidR="00F648A5" w:rsidRPr="009257E7">
        <w:rPr>
          <w:rFonts w:ascii="Times New Roman" w:eastAsia="Times New Roman" w:hAnsi="Times New Roman" w:cs="Times New Roman"/>
          <w:kern w:val="0"/>
          <w:lang w:val="es-ES"/>
          <w14:ligatures w14:val="none"/>
        </w:rPr>
        <w:t xml:space="preserve">por </w:t>
      </w:r>
      <w:r w:rsidRPr="009257E7">
        <w:rPr>
          <w:rFonts w:ascii="Times New Roman" w:eastAsia="Times New Roman" w:hAnsi="Times New Roman" w:cs="Times New Roman"/>
          <w:kern w:val="0"/>
          <w:lang w:val="es-ES"/>
          <w14:ligatures w14:val="none"/>
        </w:rPr>
        <w:t>muchos mundos. [...]</w:t>
      </w:r>
      <w:r w:rsidR="00747F74" w:rsidRPr="009257E7">
        <w:rPr>
          <w:rStyle w:val="FootnoteReference"/>
          <w:rFonts w:ascii="Times New Roman" w:eastAsia="Times New Roman" w:hAnsi="Times New Roman" w:cs="Times New Roman"/>
          <w:kern w:val="0"/>
          <w:lang w:val="es-ES"/>
          <w14:ligatures w14:val="none"/>
        </w:rPr>
        <w:footnoteReference w:id="215"/>
      </w:r>
    </w:p>
    <w:p w14:paraId="75966B40" w14:textId="66E1493A" w:rsidR="00042E3B" w:rsidRPr="009257E7" w:rsidRDefault="0070725F" w:rsidP="00534F48">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Estos puntos subrayan cómo une abogade, en colaboración con muchas otras personas, pudo transformar su trabajo para transformar las condiciones sociales. Muestran cómo la mejora puede conducir a la transformación, si se persigue de forma intencional y tenaz. Muestran cómo la deconstrucción desde abajo de las realidades existentes, junto con la conciencia dual y las perspectivas críticas, puede ayudar a les abogades y a los grupos a superar el Desafío Crítico de usar el derecho para la justicia. Muestran cómo el progreso se construye día a día y mediante metas de tres capas.</w:t>
      </w:r>
      <w:r w:rsidR="00747F74" w:rsidRPr="009257E7">
        <w:rPr>
          <w:rFonts w:ascii="Times New Roman" w:eastAsia="Times New Roman" w:hAnsi="Times New Roman" w:cs="Times New Roman"/>
          <w:kern w:val="0"/>
          <w:lang w:val="es-ES"/>
          <w14:ligatures w14:val="none"/>
        </w:rPr>
        <w:t xml:space="preserve"> </w:t>
      </w:r>
    </w:p>
    <w:p w14:paraId="037CB281" w14:textId="7C008654" w:rsidR="00041F56" w:rsidRPr="009257E7" w:rsidRDefault="00041F56" w:rsidP="00041F56">
      <w:pPr>
        <w:spacing w:before="100" w:beforeAutospacing="1" w:after="100" w:afterAutospacing="1" w:line="240" w:lineRule="auto"/>
        <w:outlineLvl w:val="2"/>
        <w:rPr>
          <w:rFonts w:ascii="Times New Roman" w:eastAsia="Times New Roman" w:hAnsi="Times New Roman" w:cs="Times New Roman"/>
          <w:b/>
          <w:bCs/>
          <w:kern w:val="0"/>
          <w:lang w:val="es-ES"/>
          <w14:ligatures w14:val="none"/>
        </w:rPr>
      </w:pPr>
      <w:r w:rsidRPr="009257E7">
        <w:rPr>
          <w:rFonts w:ascii="Times New Roman" w:eastAsia="Times New Roman" w:hAnsi="Times New Roman" w:cs="Times New Roman"/>
          <w:b/>
          <w:bCs/>
          <w:kern w:val="0"/>
          <w:lang w:val="es-ES"/>
          <w14:ligatures w14:val="none"/>
        </w:rPr>
        <w:t>Capítulo 6: El uso de objetivos de tres niveles en contextos y escenarios sistémicos</w:t>
      </w:r>
    </w:p>
    <w:p w14:paraId="1628D36E" w14:textId="4E3E434D" w:rsidR="00041F56" w:rsidRPr="009257E7" w:rsidRDefault="00041F56" w:rsidP="00041F56">
      <w:pPr>
        <w:pStyle w:val="NormalWeb"/>
        <w:rPr>
          <w:lang w:val="es-ES"/>
        </w:rPr>
      </w:pPr>
      <w:r w:rsidRPr="009257E7">
        <w:rPr>
          <w:rStyle w:val="Emphasis"/>
          <w:lang w:val="es-ES"/>
        </w:rPr>
        <w:lastRenderedPageBreak/>
        <w:t>La necesidad de cambio abrió, como una excavadora, un camino por el centro de mi mente.</w:t>
      </w:r>
      <w:r w:rsidRPr="009257E7">
        <w:rPr>
          <w:lang w:val="es-ES"/>
        </w:rPr>
        <w:br/>
      </w:r>
      <w:r w:rsidRPr="009257E7">
        <w:rPr>
          <w:rStyle w:val="Strong"/>
          <w:lang w:val="es-ES"/>
        </w:rPr>
        <w:t>—</w:t>
      </w:r>
      <w:r w:rsidRPr="009257E7">
        <w:rPr>
          <w:rStyle w:val="Strong"/>
          <w:b w:val="0"/>
          <w:bCs w:val="0"/>
          <w:lang w:val="es-ES"/>
        </w:rPr>
        <w:t>Maya Angelou,</w:t>
      </w:r>
      <w:r w:rsidRPr="009257E7">
        <w:rPr>
          <w:lang w:val="es-ES"/>
        </w:rPr>
        <w:t xml:space="preserve"> </w:t>
      </w:r>
      <w:r w:rsidRPr="009257E7">
        <w:rPr>
          <w:rStyle w:val="Emphasis"/>
          <w:lang w:val="es-ES"/>
        </w:rPr>
        <w:t xml:space="preserve">I Know Why </w:t>
      </w:r>
      <w:proofErr w:type="spellStart"/>
      <w:r w:rsidRPr="009257E7">
        <w:rPr>
          <w:rStyle w:val="Emphasis"/>
          <w:lang w:val="es-ES"/>
        </w:rPr>
        <w:t>the</w:t>
      </w:r>
      <w:proofErr w:type="spellEnd"/>
      <w:r w:rsidRPr="009257E7">
        <w:rPr>
          <w:rStyle w:val="Emphasis"/>
          <w:lang w:val="es-ES"/>
        </w:rPr>
        <w:t xml:space="preserve"> </w:t>
      </w:r>
      <w:proofErr w:type="spellStart"/>
      <w:r w:rsidRPr="009257E7">
        <w:rPr>
          <w:rStyle w:val="Emphasis"/>
          <w:lang w:val="es-ES"/>
        </w:rPr>
        <w:t>Caged</w:t>
      </w:r>
      <w:proofErr w:type="spellEnd"/>
      <w:r w:rsidRPr="009257E7">
        <w:rPr>
          <w:rStyle w:val="Emphasis"/>
          <w:lang w:val="es-ES"/>
        </w:rPr>
        <w:t xml:space="preserve"> Bird Sings</w:t>
      </w:r>
      <w:r w:rsidRPr="009257E7">
        <w:rPr>
          <w:lang w:val="es-ES"/>
        </w:rPr>
        <w:t xml:space="preserve"> (1969)</w:t>
      </w:r>
    </w:p>
    <w:p w14:paraId="489BCF5F" w14:textId="77777777" w:rsidR="00041F56" w:rsidRPr="009257E7" w:rsidRDefault="00041F56" w:rsidP="00041F56">
      <w:pPr>
        <w:pStyle w:val="NormalWeb"/>
        <w:rPr>
          <w:lang w:val="es-ES"/>
        </w:rPr>
      </w:pPr>
      <w:r w:rsidRPr="009257E7">
        <w:rPr>
          <w:b/>
          <w:bCs/>
          <w:lang w:val="es-ES"/>
        </w:rPr>
        <w:t>Introducción</w:t>
      </w:r>
    </w:p>
    <w:p w14:paraId="413E5015" w14:textId="468071D5" w:rsidR="00041F56" w:rsidRPr="009257E7" w:rsidRDefault="00041F56" w:rsidP="00041F56">
      <w:pPr>
        <w:pStyle w:val="NormalWeb"/>
        <w:ind w:firstLine="720"/>
        <w:rPr>
          <w:lang w:val="es-ES"/>
        </w:rPr>
      </w:pPr>
      <w:r w:rsidRPr="009257E7">
        <w:rPr>
          <w:lang w:val="es-ES"/>
        </w:rPr>
        <w:t>El dominio sistémico es intimidante, pero sigue siendo objeto de disputa. Incluso mientras las castas identitarias se establecían desde arriba, los grupos, junto con sus organizadores y abogades, impedían que el sistema descansara tranquilamente. En cada etapa, resistieron y cambiaron el curso de la historia. Disputaron tanto los conceptos fundacionales como las reglas básicas.</w:t>
      </w:r>
    </w:p>
    <w:p w14:paraId="0E9313D1" w14:textId="6556D5F3" w:rsidR="00041F56" w:rsidRPr="009257E7" w:rsidRDefault="00041F56" w:rsidP="00041F56">
      <w:pPr>
        <w:pStyle w:val="NormalWeb"/>
        <w:ind w:firstLine="720"/>
        <w:rPr>
          <w:lang w:val="es-ES"/>
        </w:rPr>
      </w:pPr>
      <w:r w:rsidRPr="009257E7">
        <w:rPr>
          <w:lang w:val="es-ES"/>
        </w:rPr>
        <w:t>Las controversias y complejidades consiguientes son el legado que todo defensor debe asumir en la actualidad. La industria jurídica, de manera simultánea, restringe la justicia a compartimentos individualizados y reformistas</w:t>
      </w:r>
      <w:r w:rsidR="005F3263" w:rsidRPr="009257E7">
        <w:rPr>
          <w:lang w:val="es-ES"/>
        </w:rPr>
        <w:t xml:space="preserve">, y </w:t>
      </w:r>
      <w:r w:rsidRPr="009257E7">
        <w:rPr>
          <w:lang w:val="es-ES"/>
        </w:rPr>
        <w:t xml:space="preserve">colectiviza la injusticia mediante castas basadas en la identidad. En contraste, la abogacía sistémica busca colectivizar la justicia, aumentar el poder desde abajo y transformar </w:t>
      </w:r>
      <w:r w:rsidR="005F3263" w:rsidRPr="009257E7">
        <w:rPr>
          <w:lang w:val="es-ES"/>
        </w:rPr>
        <w:t xml:space="preserve">los </w:t>
      </w:r>
      <w:r w:rsidRPr="009257E7">
        <w:rPr>
          <w:lang w:val="es-ES"/>
        </w:rPr>
        <w:t xml:space="preserve">sistemas, </w:t>
      </w:r>
      <w:r w:rsidR="005F3263" w:rsidRPr="009257E7">
        <w:rPr>
          <w:lang w:val="es-ES"/>
        </w:rPr>
        <w:t xml:space="preserve">la </w:t>
      </w:r>
      <w:r w:rsidRPr="009257E7">
        <w:rPr>
          <w:lang w:val="es-ES"/>
        </w:rPr>
        <w:t>conciencia y</w:t>
      </w:r>
      <w:r w:rsidR="005F3263" w:rsidRPr="009257E7">
        <w:rPr>
          <w:lang w:val="es-ES"/>
        </w:rPr>
        <w:t xml:space="preserve"> la</w:t>
      </w:r>
      <w:r w:rsidRPr="009257E7">
        <w:rPr>
          <w:lang w:val="es-ES"/>
        </w:rPr>
        <w:t xml:space="preserve"> cultura para ayudar a inclinar el arco del cambio hacia la justicia igualitaria para todes. Aunque en la práctica ambas formas se superponen, este capítulo presenta algunos puntos clave que distinguen la abogacía sistémica de la práctica tradicional </w:t>
      </w:r>
      <w:r w:rsidR="005F3263" w:rsidRPr="009257E7">
        <w:rPr>
          <w:lang w:val="es-ES"/>
        </w:rPr>
        <w:t>en</w:t>
      </w:r>
      <w:r w:rsidRPr="009257E7">
        <w:rPr>
          <w:lang w:val="es-ES"/>
        </w:rPr>
        <w:t xml:space="preserve"> la industria.</w:t>
      </w:r>
    </w:p>
    <w:p w14:paraId="3B6BF8C4" w14:textId="7D67641D" w:rsidR="00041F56" w:rsidRPr="009257E7" w:rsidRDefault="00041F56" w:rsidP="005F3263">
      <w:pPr>
        <w:pStyle w:val="NormalWeb"/>
        <w:ind w:firstLine="720"/>
        <w:rPr>
          <w:lang w:val="es-ES"/>
        </w:rPr>
      </w:pPr>
      <w:r w:rsidRPr="009257E7">
        <w:rPr>
          <w:lang w:val="es-ES"/>
        </w:rPr>
        <w:t xml:space="preserve">Comenzamos con la concepción crítica del “contexto” y destacamos cómo les abogades usan este concepto para delimitar puntos de entrada manejables en sistemas más amplios y patrones de injusticia grupal que, de otro modo, podrían parecer abrumadores. El contexto es un concepto fundacional y práctico. Para les abogades sistémiques, el contexto significa la convergencia de identidades, grupos, intereses y poder en un tiempo y lugar determinados. </w:t>
      </w:r>
      <w:r w:rsidR="005F3263" w:rsidRPr="009257E7">
        <w:rPr>
          <w:lang w:val="es-ES"/>
        </w:rPr>
        <w:t>Desde una perspectiva de solución de problemas, comprender cómo estos cuatro elementos de IGIP —identidades, grupos, intereses y poder— “se combinan” para producir injusticia en un contexto determinado, ya sea micro o macro, ocupa un lugar central en la comprensión de este.</w:t>
      </w:r>
      <w:r w:rsidRPr="009257E7">
        <w:rPr>
          <w:lang w:val="es-ES"/>
        </w:rPr>
        <w:t xml:space="preserve"> Este desaprender y reaprender el contexto reposiciona</w:t>
      </w:r>
      <w:r w:rsidR="005F3263" w:rsidRPr="009257E7">
        <w:rPr>
          <w:lang w:val="es-ES"/>
        </w:rPr>
        <w:t>n</w:t>
      </w:r>
      <w:r w:rsidRPr="009257E7">
        <w:rPr>
          <w:lang w:val="es-ES"/>
        </w:rPr>
        <w:t xml:space="preserve"> a les abogades para planificar, investigar y ejecutar proyectos de </w:t>
      </w:r>
      <w:proofErr w:type="spellStart"/>
      <w:r w:rsidRPr="009257E7">
        <w:rPr>
          <w:lang w:val="es-ES"/>
        </w:rPr>
        <w:t>antisubordinación</w:t>
      </w:r>
      <w:proofErr w:type="spellEnd"/>
      <w:r w:rsidRPr="009257E7">
        <w:rPr>
          <w:lang w:val="es-ES"/>
        </w:rPr>
        <w:t xml:space="preserve"> alineados con </w:t>
      </w:r>
      <w:r w:rsidR="005F3263" w:rsidRPr="009257E7">
        <w:rPr>
          <w:lang w:val="es-ES"/>
        </w:rPr>
        <w:t xml:space="preserve">objetivos de tres niveles.  </w:t>
      </w:r>
    </w:p>
    <w:p w14:paraId="1DCE0D8F" w14:textId="3700AA0D" w:rsidR="005F3263" w:rsidRPr="009257E7" w:rsidRDefault="005F3263" w:rsidP="005F3263">
      <w:pPr>
        <w:pStyle w:val="NormalWeb"/>
        <w:ind w:firstLine="720"/>
        <w:rPr>
          <w:lang w:val="es-ES"/>
        </w:rPr>
      </w:pPr>
      <w:r w:rsidRPr="009257E7">
        <w:rPr>
          <w:lang w:val="es-ES"/>
        </w:rPr>
        <w:t>También examinamos los tres tipos recurrentes de “escenarios” que les abogades enfrentan en cualquier contexto determinado: si ya existe en ese contexto algún núcleo de organización colectiva. De ser así, la abogacía debe orientarse a apoyar esos esfuerzos. De no ser así, la abogacía debe considerar inicialmente si debe ayudar y de qué manera a originar o fortalecer esos núcleos de conciencia colectiva y de acción colaborativa. Como se muestra más adelante, los contextos se definen tanto por sus particularidades —sus combinaciones únicas de elementos— como por sus puntos en común —los patrones que comparten a pesar de sus diferencias particulares—. Por tanto, los contextos sistémicos se presentan en configuraciones infinitas. Sin embargo, los escenarios de práctica se presentan en tres tipos recurrentes: (1) aquellos que involucran únicamente a individuos y no requieren acción colectiva; (2) aquellos que involucran problemas colectivos con algún nivel de lucha grupal ya organizada en busca de una solución sistémica; y (3) aquellos que, de manera similar, involucran problemas colectivos, pero sin conciencia grupal ni capacidad organizada. Cada contexto (único) presenta al menos uno de estos tres escenarios (recurrentes) de práctica.</w:t>
      </w:r>
    </w:p>
    <w:p w14:paraId="04EADE07" w14:textId="2F889070" w:rsidR="005F3263" w:rsidRPr="009257E7" w:rsidRDefault="005F3263" w:rsidP="005F3263">
      <w:pPr>
        <w:pStyle w:val="NormalWeb"/>
        <w:ind w:firstLine="720"/>
        <w:rPr>
          <w:lang w:val="es-ES"/>
        </w:rPr>
      </w:pPr>
      <w:r w:rsidRPr="009257E7">
        <w:rPr>
          <w:lang w:val="es-ES"/>
        </w:rPr>
        <w:lastRenderedPageBreak/>
        <w:t xml:space="preserve">Como veremos en este capítulo, tanto los contextos como los escenarios subrayan la relevancia de las identidades, los grupos, los intereses y el poder, así como la importancia de otras perspectivas provenientes del conocimiento crítico y desde abajo. Les abogades emplean una conciencia autocrítica de los contextos </w:t>
      </w:r>
      <w:r w:rsidRPr="009257E7">
        <w:rPr>
          <w:rStyle w:val="Emphasis"/>
          <w:lang w:val="es-ES"/>
        </w:rPr>
        <w:t>y</w:t>
      </w:r>
      <w:r w:rsidRPr="009257E7">
        <w:rPr>
          <w:lang w:val="es-ES"/>
        </w:rPr>
        <w:t xml:space="preserve"> de los escenarios al tomar cada elección o decisión, incluida la de establecerse allí donde mejor puedan impulsar luchas grupales organizadas, con énfasis en las capacidades grupales para disputar reglas básicas o conceptos fundacionales sistémicos que perpetúan la injusticia. Este punto es clave: </w:t>
      </w:r>
      <w:r w:rsidRPr="009257E7">
        <w:rPr>
          <w:rStyle w:val="Emphasis"/>
          <w:lang w:val="es-ES"/>
        </w:rPr>
        <w:t>una capacidad colectiva para desafiar o modificar reglas básicas y conceptos fundacionales sesgados que, por diseño, otorgan a las élites establecidas una ventaja en cada disputa es parte integral del progreso hacia los objetivos de tres niveles</w:t>
      </w:r>
      <w:r w:rsidRPr="009257E7">
        <w:rPr>
          <w:lang w:val="es-ES"/>
        </w:rPr>
        <w:t>.</w:t>
      </w:r>
    </w:p>
    <w:p w14:paraId="2866E16F" w14:textId="4494887E" w:rsidR="00C01B9D" w:rsidRPr="009257E7" w:rsidRDefault="00C01B9D" w:rsidP="00C01B9D">
      <w:pPr>
        <w:pStyle w:val="NormalWeb"/>
        <w:ind w:firstLine="720"/>
        <w:rPr>
          <w:lang w:val="es-ES"/>
        </w:rPr>
      </w:pPr>
      <w:r w:rsidRPr="009257E7">
        <w:rPr>
          <w:lang w:val="es-ES"/>
        </w:rPr>
        <w:t xml:space="preserve">Para destacar la importancia de las reglas básicas y los conceptos fundacionales, este capítulo examina con mayor detalle tanto el segundo nivel de construcción del poder grupal como el tercer nivel de transformación de la conciencia y la cultura, así como la interrelación funcional entre ambos niveles. La conclusión fundamental es que cambiar las leyes nunca es suficiente; les abogades y los grupos, además, deben cambiar las distribuciones de poder para transformar las actitudes personales y culturales. Los cambios culturales comienzan como un proceso </w:t>
      </w:r>
      <w:proofErr w:type="spellStart"/>
      <w:r w:rsidRPr="009257E7">
        <w:rPr>
          <w:lang w:val="es-ES"/>
        </w:rPr>
        <w:t>intragrupal</w:t>
      </w:r>
      <w:proofErr w:type="spellEnd"/>
      <w:r w:rsidRPr="009257E7">
        <w:rPr>
          <w:lang w:val="es-ES"/>
        </w:rPr>
        <w:t xml:space="preserve"> —el trabajo interno de transformar la conciencia dentro de los grupos organizados de clientes y entre sus integrantes, involucrados tanto en acciones jurídicas como extrajurídicas— y se expanden hacia afuera para alterar, con el tiempo, el panorama social.</w:t>
      </w:r>
    </w:p>
    <w:p w14:paraId="0DE31966" w14:textId="4E71016D" w:rsidR="00C01B9D" w:rsidRPr="009257E7" w:rsidRDefault="00C01B9D" w:rsidP="00C01B9D">
      <w:pPr>
        <w:pStyle w:val="NormalWeb"/>
        <w:ind w:firstLine="720"/>
        <w:rPr>
          <w:lang w:val="es-ES"/>
        </w:rPr>
      </w:pPr>
      <w:r w:rsidRPr="009257E7">
        <w:rPr>
          <w:lang w:val="es-ES"/>
        </w:rPr>
        <w:t>Este trabajo requiere un alcance amplio de investigación, análisis y acción. En términos prácticos, exige que les abogades sepan y hagan más, es decir, que amplíen su capacidad para avanzar hacia los objetivos de tres niveles. El análisis y la abogacía sistémicos dependen de una base amplia de conocimientos críticos, valores, destrezas y actitudes. Este conjunto amplio de herramientas combina la persuasión con la presión mediante acciones directas, democráticas y judiciales. Contrarresta la injusticia sistémica tanto en los aspectos micro y cotidianos de la vida como en las rutinas macro e institucionales. Los objetivos de tres niveles pueden ayudar a les abogades a trascender parcialmente las vendas, las esposas y las jerarquías del derecho como industria.</w:t>
      </w:r>
    </w:p>
    <w:p w14:paraId="5C5208C3" w14:textId="3FF27853" w:rsidR="00C01B9D" w:rsidRPr="009257E7" w:rsidRDefault="00C01B9D" w:rsidP="00C01B9D">
      <w:pPr>
        <w:pStyle w:val="NormalWeb"/>
        <w:ind w:firstLine="720"/>
        <w:rPr>
          <w:lang w:val="es-ES"/>
        </w:rPr>
      </w:pPr>
      <w:r w:rsidRPr="009257E7">
        <w:rPr>
          <w:lang w:val="es-ES"/>
        </w:rPr>
        <w:t xml:space="preserve">Decimos que trascendemos </w:t>
      </w:r>
      <w:r w:rsidRPr="009257E7">
        <w:rPr>
          <w:rStyle w:val="Emphasis"/>
          <w:lang w:val="es-ES"/>
        </w:rPr>
        <w:t>parcialmente</w:t>
      </w:r>
      <w:r w:rsidRPr="009257E7">
        <w:rPr>
          <w:lang w:val="es-ES"/>
        </w:rPr>
        <w:t xml:space="preserve"> porque la oposición y la supresión constantes, así como la cooptación, son riesgos permanentes. La cooptación, la captura, el </w:t>
      </w:r>
      <w:proofErr w:type="spellStart"/>
      <w:r w:rsidRPr="009257E7">
        <w:rPr>
          <w:lang w:val="es-ES"/>
        </w:rPr>
        <w:t>tokenismo</w:t>
      </w:r>
      <w:proofErr w:type="spellEnd"/>
      <w:r w:rsidRPr="009257E7">
        <w:rPr>
          <w:lang w:val="es-ES"/>
        </w:rPr>
        <w:t>, la represalia y otros riesgos están presentes en todas las acciones, tanto jurídicas como extrajurídicas. La complejidad de los sistemas y de los contextos crea oportunidades para la manipulación. Les abogades no pueden aislarse de estos riesgos: no existe una fórmula mágica de palabras, acciones, identidades o relaciones que pueda impedir que las insurgencias desde abajo sean tomadas desde arriba. Solo una vigilancia constante, tanto personal como colectiva, puede protegernos contra estos y otros peligros similares. Al reconocer esta realidad, les abogades practican regularmente las perspectivas básicas de las escuelas y los enfoques señalados en el capítulo 5: análisis crítico y autocrítico, junto con acciones basadas en principios, arraigadas en los grupos desde abajo y sujetas a rendición de cuentas ante ellos. Aquí enfatizamos que estas acciones, basadas en principios y sujetas a rendición de cuentas, deben diseñarse y llevarse a cabo de manera consciente y sinérgica a lo largo de los tres niveles de solución de problemas sistémicos.</w:t>
      </w:r>
    </w:p>
    <w:p w14:paraId="14238987" w14:textId="77777777" w:rsidR="00C01B9D" w:rsidRPr="009257E7" w:rsidRDefault="00C01B9D" w:rsidP="00C01B9D">
      <w:pPr>
        <w:pStyle w:val="NormalWeb"/>
        <w:ind w:firstLine="360"/>
        <w:rPr>
          <w:lang w:val="es-ES"/>
        </w:rPr>
      </w:pPr>
      <w:r w:rsidRPr="009257E7">
        <w:rPr>
          <w:lang w:val="es-ES"/>
        </w:rPr>
        <w:lastRenderedPageBreak/>
        <w:t>Para ello, este capítulo presenta algunos aspectos clave de este conjunto ampliado de herramientas críticas, entre ellos:</w:t>
      </w:r>
    </w:p>
    <w:p w14:paraId="325FC1E8" w14:textId="77777777" w:rsidR="00C01B9D" w:rsidRPr="009257E7" w:rsidRDefault="00C01B9D" w:rsidP="00C01B9D">
      <w:pPr>
        <w:pStyle w:val="NormalWeb"/>
        <w:numPr>
          <w:ilvl w:val="0"/>
          <w:numId w:val="7"/>
        </w:numPr>
        <w:rPr>
          <w:lang w:val="es-ES"/>
        </w:rPr>
      </w:pPr>
      <w:r w:rsidRPr="009257E7">
        <w:rPr>
          <w:lang w:val="es-ES"/>
        </w:rPr>
        <w:t>definir los contextos de la abogacía en términos de las historias y los legados de identidades, grupos, intereses y poder;</w:t>
      </w:r>
    </w:p>
    <w:p w14:paraId="1E9EAE29" w14:textId="77777777" w:rsidR="00C01B9D" w:rsidRPr="009257E7" w:rsidRDefault="00C01B9D" w:rsidP="00C01B9D">
      <w:pPr>
        <w:pStyle w:val="NormalWeb"/>
        <w:numPr>
          <w:ilvl w:val="0"/>
          <w:numId w:val="7"/>
        </w:numPr>
        <w:rPr>
          <w:lang w:val="es-ES"/>
        </w:rPr>
      </w:pPr>
      <w:r w:rsidRPr="009257E7">
        <w:rPr>
          <w:lang w:val="es-ES"/>
        </w:rPr>
        <w:t xml:space="preserve">centrarse en la importancia fundamental de planificar e impulsar la abogacía de </w:t>
      </w:r>
      <w:proofErr w:type="spellStart"/>
      <w:r w:rsidRPr="009257E7">
        <w:rPr>
          <w:lang w:val="es-ES"/>
        </w:rPr>
        <w:t>antisubordinación</w:t>
      </w:r>
      <w:proofErr w:type="spellEnd"/>
      <w:r w:rsidRPr="009257E7">
        <w:rPr>
          <w:lang w:val="es-ES"/>
        </w:rPr>
        <w:t xml:space="preserve"> en función de los objetivos de tres niveles;</w:t>
      </w:r>
    </w:p>
    <w:p w14:paraId="488C1C4F" w14:textId="77777777" w:rsidR="00C01B9D" w:rsidRPr="009257E7" w:rsidRDefault="00C01B9D" w:rsidP="00C01B9D">
      <w:pPr>
        <w:pStyle w:val="NormalWeb"/>
        <w:numPr>
          <w:ilvl w:val="0"/>
          <w:numId w:val="7"/>
        </w:numPr>
        <w:rPr>
          <w:lang w:val="es-ES"/>
        </w:rPr>
      </w:pPr>
      <w:r w:rsidRPr="009257E7">
        <w:rPr>
          <w:lang w:val="es-ES"/>
        </w:rPr>
        <w:t>demostrar que la construcción de poder grupal del segundo nivel incluye indicadores concretos y, en última instancia, comprobables de la capacidad del grupo para generar las decisiones deseadas por parte de les responsables de la toma de decisiones que han sido identificades como objetivo, principalmente mediante la selección de indicadores relevantes en el contexto a partir de un análisis crítico de las condiciones sociales de sus integrantes y de las capacidades organizativas del grupo;</w:t>
      </w:r>
    </w:p>
    <w:p w14:paraId="4226CC21" w14:textId="77777777" w:rsidR="00C01B9D" w:rsidRPr="009257E7" w:rsidRDefault="00C01B9D" w:rsidP="00C01B9D">
      <w:pPr>
        <w:pStyle w:val="NormalWeb"/>
        <w:numPr>
          <w:ilvl w:val="0"/>
          <w:numId w:val="7"/>
        </w:numPr>
        <w:rPr>
          <w:lang w:val="es-ES"/>
        </w:rPr>
      </w:pPr>
      <w:proofErr w:type="gramStart"/>
      <w:r w:rsidRPr="009257E7">
        <w:rPr>
          <w:lang w:val="es-ES"/>
        </w:rPr>
        <w:t>explicar</w:t>
      </w:r>
      <w:proofErr w:type="gramEnd"/>
      <w:r w:rsidRPr="009257E7">
        <w:rPr>
          <w:lang w:val="es-ES"/>
        </w:rPr>
        <w:t xml:space="preserve"> que los procesos de construcción de poder deben diseñarse para impulsar los objetivos del tercer nivel mediante la participación de individuos dentro de los grupos, con el fin de generar una comprensión crítica compartida de los “marcos de culpabilización” jurídicos y culturales, transformar la conciencia entre quienes participan y, con el tiempo, hacerlo de manera más amplia mediante la acción grupal jurídica y extrajurídica; y</w:t>
      </w:r>
    </w:p>
    <w:p w14:paraId="6571E820" w14:textId="77777777" w:rsidR="00C01B9D" w:rsidRPr="009257E7" w:rsidRDefault="00C01B9D" w:rsidP="00C01B9D">
      <w:pPr>
        <w:pStyle w:val="NormalWeb"/>
        <w:numPr>
          <w:ilvl w:val="0"/>
          <w:numId w:val="7"/>
        </w:numPr>
        <w:rPr>
          <w:lang w:val="es-ES"/>
        </w:rPr>
      </w:pPr>
      <w:r w:rsidRPr="009257E7">
        <w:rPr>
          <w:lang w:val="es-ES"/>
        </w:rPr>
        <w:t>mostrar, por tanto, que el trabajo de construcción de poder grupal y el de transformación de la conciencia y la cultura son distintos, pero están entrelazados.</w:t>
      </w:r>
    </w:p>
    <w:p w14:paraId="23FCE864" w14:textId="2BD12ACF" w:rsidR="00041F56" w:rsidRPr="009257E7" w:rsidRDefault="00C01B9D" w:rsidP="00C01B9D">
      <w:pPr>
        <w:pStyle w:val="NormalWeb"/>
        <w:ind w:firstLine="360"/>
        <w:rPr>
          <w:lang w:val="es-ES"/>
        </w:rPr>
      </w:pPr>
      <w:r w:rsidRPr="009257E7">
        <w:rPr>
          <w:lang w:val="es-ES"/>
        </w:rPr>
        <w:t xml:space="preserve">Mientras lee, reflexione sobre los reclamos atomizados, las ficciones jurídicas, los incentivos materiales y las fallas por diseño de la industria jurídica. Recuerde también la conciencia dual, el conocimiento crítico y los valores de </w:t>
      </w:r>
      <w:proofErr w:type="spellStart"/>
      <w:r w:rsidRPr="009257E7">
        <w:rPr>
          <w:lang w:val="es-ES"/>
        </w:rPr>
        <w:t>antisubordinación</w:t>
      </w:r>
      <w:proofErr w:type="spellEnd"/>
      <w:r w:rsidRPr="009257E7">
        <w:rPr>
          <w:lang w:val="es-ES"/>
        </w:rPr>
        <w:t xml:space="preserve">. A partir de esas reflexiones, imagine de manera concreta cómo podría ejercer la abogacía de manera diferente en contextos o escenarios específicos. ¿Cómo afectaría su enfoque de las acciones del primer nivel, que suelen ser reformistas y con frecuencia individualizadas, a una atención autocrítica a la construcción de poder grupal del segundo nivel y a los objetivos del tercer nivel de transformación de la conciencia y la cultura? ¿Cómo podría su abogacía ser más transformadora al </w:t>
      </w:r>
      <w:r w:rsidR="00B32566" w:rsidRPr="009257E7">
        <w:rPr>
          <w:lang w:val="es-ES"/>
        </w:rPr>
        <w:t>considerar</w:t>
      </w:r>
      <w:r w:rsidRPr="009257E7">
        <w:rPr>
          <w:lang w:val="es-ES"/>
        </w:rPr>
        <w:t xml:space="preserve"> los elementos ausentes —identidades, grupos, intereses y poder— en su comprensión crítica </w:t>
      </w:r>
      <w:r w:rsidRPr="009257E7">
        <w:rPr>
          <w:rStyle w:val="Emphasis"/>
          <w:lang w:val="es-ES"/>
        </w:rPr>
        <w:t>y</w:t>
      </w:r>
      <w:r w:rsidRPr="009257E7">
        <w:rPr>
          <w:lang w:val="es-ES"/>
        </w:rPr>
        <w:t xml:space="preserve"> práctica de problemas y contextos complejos? Un punto de partida concreto consiste en centrar un problema persistente </w:t>
      </w:r>
      <w:r w:rsidR="00B32566" w:rsidRPr="009257E7">
        <w:rPr>
          <w:lang w:val="es-ES"/>
        </w:rPr>
        <w:t>en</w:t>
      </w:r>
      <w:r w:rsidRPr="009257E7">
        <w:rPr>
          <w:lang w:val="es-ES"/>
        </w:rPr>
        <w:t xml:space="preserve"> un contexto particular.</w:t>
      </w:r>
    </w:p>
    <w:p w14:paraId="68EC1253" w14:textId="77777777" w:rsidR="00C01B9D" w:rsidRPr="009257E7" w:rsidRDefault="00041F56" w:rsidP="00041F56">
      <w:pPr>
        <w:pStyle w:val="NormalWeb"/>
        <w:rPr>
          <w:lang w:val="es-ES"/>
        </w:rPr>
      </w:pPr>
      <w:r w:rsidRPr="009257E7">
        <w:rPr>
          <w:b/>
          <w:bCs/>
          <w:lang w:val="es-ES"/>
        </w:rPr>
        <w:t>6.1</w:t>
      </w:r>
      <w:r w:rsidRPr="009257E7">
        <w:rPr>
          <w:lang w:val="es-ES"/>
        </w:rPr>
        <w:t xml:space="preserve"> La abogacía sistémica se centra en los problemas sociales persistentes en contextos complejos</w:t>
      </w:r>
    </w:p>
    <w:p w14:paraId="0D111F22" w14:textId="77777777" w:rsidR="00B32566" w:rsidRPr="009257E7" w:rsidRDefault="00B32566" w:rsidP="00B32566">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El “contexto” es un punto de enfoque y un espacio de trabajo que les abogades utilizan para investigar y diseñar proyectos basados en principios, sujetos a rendición de cuentas y efectivos. Específicamente, abordamos los contextos en términos sistémicos, es decir, como contextos sistémicos. Para comenzar, considérese el dilema de les abogades que buscan garantizar que todas las mujeres tengan justicia igualitaria en relación con las decisiones reproductivas:</w:t>
      </w:r>
    </w:p>
    <w:p w14:paraId="64E40B61" w14:textId="5410BE3F" w:rsidR="00B32566" w:rsidRPr="009257E7" w:rsidRDefault="00B32566" w:rsidP="00B32566">
      <w:pPr>
        <w:spacing w:before="100" w:beforeAutospacing="1" w:after="100" w:afterAutospacing="1" w:line="240" w:lineRule="auto"/>
        <w:ind w:left="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A comienzos de 2009, Nadya Suleman, conocida ahora como la “</w:t>
      </w:r>
      <w:proofErr w:type="spellStart"/>
      <w:r w:rsidRPr="009257E7">
        <w:rPr>
          <w:rFonts w:ascii="Times New Roman" w:eastAsia="Times New Roman" w:hAnsi="Times New Roman" w:cs="Times New Roman"/>
          <w:kern w:val="0"/>
          <w:lang w:val="es-ES"/>
          <w14:ligatures w14:val="none"/>
        </w:rPr>
        <w:t>octomamá</w:t>
      </w:r>
      <w:proofErr w:type="spellEnd"/>
      <w:r w:rsidRPr="009257E7">
        <w:rPr>
          <w:rFonts w:ascii="Times New Roman" w:eastAsia="Times New Roman" w:hAnsi="Times New Roman" w:cs="Times New Roman"/>
          <w:kern w:val="0"/>
          <w:lang w:val="es-ES"/>
          <w14:ligatures w14:val="none"/>
        </w:rPr>
        <w:t xml:space="preserve">”, captó la atención internacional al dar a luz a ocho bebés vivos. El sentimiento público pasó </w:t>
      </w:r>
      <w:r w:rsidRPr="009257E7">
        <w:rPr>
          <w:rFonts w:ascii="Times New Roman" w:eastAsia="Times New Roman" w:hAnsi="Times New Roman" w:cs="Times New Roman"/>
          <w:kern w:val="0"/>
          <w:lang w:val="es-ES"/>
          <w14:ligatures w14:val="none"/>
        </w:rPr>
        <w:lastRenderedPageBreak/>
        <w:t>rápidamente del asombro al desprecio cuando los medios revelaron que Suleman había recurrido a la reproducción asistida para quedar embarazada mientras estaba desempleada y recibía asistencia pública. Este espectáculo mediático a nivel nacional volvió a avivar la hostilidad hacia las mujeres pobres, lo que llevó a muchas personas a pedir una mayor regulación de sus decisiones reproductivas. Varias legislaturas estatales han considerado legislación para impedir que las mujeres accedan a tratamientos de fertilidad si su edad, salud o circunstancias económicas se consideran “inadecuadas”.</w:t>
      </w:r>
    </w:p>
    <w:p w14:paraId="05E17EF4" w14:textId="467820FB" w:rsidR="00B32566" w:rsidRPr="009257E7" w:rsidRDefault="00B32566" w:rsidP="00B32566">
      <w:pPr>
        <w:spacing w:before="100" w:beforeAutospacing="1" w:after="100" w:afterAutospacing="1" w:line="240" w:lineRule="auto"/>
        <w:ind w:left="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En el centro del debate sobre la “</w:t>
      </w:r>
      <w:proofErr w:type="spellStart"/>
      <w:r w:rsidRPr="009257E7">
        <w:rPr>
          <w:rFonts w:ascii="Times New Roman" w:eastAsia="Times New Roman" w:hAnsi="Times New Roman" w:cs="Times New Roman"/>
          <w:kern w:val="0"/>
          <w:lang w:val="es-ES"/>
          <w14:ligatures w14:val="none"/>
        </w:rPr>
        <w:t>octomamá</w:t>
      </w:r>
      <w:proofErr w:type="spellEnd"/>
      <w:r w:rsidRPr="009257E7">
        <w:rPr>
          <w:rFonts w:ascii="Times New Roman" w:eastAsia="Times New Roman" w:hAnsi="Times New Roman" w:cs="Times New Roman"/>
          <w:kern w:val="0"/>
          <w:lang w:val="es-ES"/>
          <w14:ligatures w14:val="none"/>
        </w:rPr>
        <w:t>” se encuentra una cuestión [...] de recursos públicos: reconocer que un derecho jurídico a los servicios reproductivos, sin apoyo, deja a muchas mujeres sin una elección significativa.</w:t>
      </w:r>
      <w:r w:rsidRPr="009257E7">
        <w:rPr>
          <w:rStyle w:val="FootnoteReference"/>
          <w:rFonts w:ascii="Times New Roman" w:eastAsia="Times New Roman" w:hAnsi="Times New Roman" w:cs="Times New Roman"/>
          <w:kern w:val="0"/>
          <w:lang w:val="es-ES"/>
          <w14:ligatures w14:val="none"/>
        </w:rPr>
        <w:footnoteReference w:id="216"/>
      </w:r>
    </w:p>
    <w:p w14:paraId="23092686" w14:textId="7F440408" w:rsidR="00B32566" w:rsidRPr="009257E7" w:rsidRDefault="00B32566" w:rsidP="00B32566">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Para responder a esta pregunta, muches abogades y activistas comenzaron a centrarse en la “justicia reproductiva”, desarrollada mediante la reflexión crítica por y con mujeres pobres de color y definida como “el bienestar físico, mental, espiritual, político, social y económico completo de las mujeres y las niñas, basado en el logro y la protección plenos de los derechos humanos de las mujeres”</w:t>
      </w:r>
      <w:r w:rsidRPr="009257E7">
        <w:rPr>
          <w:rStyle w:val="FootnoteReference"/>
          <w:rFonts w:ascii="Times New Roman" w:eastAsia="Times New Roman" w:hAnsi="Times New Roman" w:cs="Times New Roman"/>
          <w:kern w:val="0"/>
          <w:lang w:val="es-ES"/>
          <w14:ligatures w14:val="none"/>
        </w:rPr>
        <w:footnoteReference w:id="217"/>
      </w:r>
      <w:r w:rsidRPr="009257E7">
        <w:rPr>
          <w:rFonts w:ascii="Times New Roman" w:eastAsia="Times New Roman" w:hAnsi="Times New Roman" w:cs="Times New Roman"/>
          <w:kern w:val="0"/>
          <w:lang w:val="es-ES"/>
          <w14:ligatures w14:val="none"/>
        </w:rPr>
        <w:t>. La justicia reproductiva genera cambios en el enfoque:</w:t>
      </w:r>
    </w:p>
    <w:p w14:paraId="3117B3E7" w14:textId="13EF4F54" w:rsidR="00B32566" w:rsidRPr="009257E7" w:rsidRDefault="00B32566" w:rsidP="00B32566">
      <w:pPr>
        <w:spacing w:before="100" w:beforeAutospacing="1" w:after="100" w:afterAutospacing="1" w:line="240" w:lineRule="auto"/>
        <w:ind w:left="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La justicia reproductiva tiene sus raíces en una trayectoria sólida de organización entre mujeres de color dentro de movimientos por la justicia social y la salud de las mujeres. Además, la justicia reproductiva consiste en redistribuir recursos —además de ampliar derechos—a quienes carecen de la información y de los medios para alcanzar la autodeterminación en la reproducción. Les activistas por la justicia reproductiva reconocen que la “elección reproductiva” no ocurre en el vacío, sino en el contexto de todas las demás dimensiones de la vida de una mujer, incluidas las barreras derivadas de la pobreza, el racismo, el estatus migratorio, la orientación sexual y la discapacidad. Para alcanzar la justicia reproductiva, según les líderes del movimiento, las comunidades oprimidas deben construir poder mediante la organización, la educación y la movilización política.</w:t>
      </w:r>
      <w:r w:rsidRPr="009257E7">
        <w:rPr>
          <w:rStyle w:val="FootnoteReference"/>
          <w:rFonts w:ascii="Times New Roman" w:eastAsia="Times New Roman" w:hAnsi="Times New Roman" w:cs="Times New Roman"/>
          <w:kern w:val="0"/>
          <w:lang w:val="es-ES"/>
          <w14:ligatures w14:val="none"/>
        </w:rPr>
        <w:footnoteReference w:id="218"/>
      </w:r>
    </w:p>
    <w:p w14:paraId="755D7ADC" w14:textId="77777777" w:rsidR="00B32566" w:rsidRPr="009257E7" w:rsidRDefault="00B32566" w:rsidP="00B32566">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 xml:space="preserve">Comprender el contexto como una intersección compleja de fuerzas es un punto de partida para planificar proyectos de abogacía sistémica. El contexto de la abogacía sistémica define </w:t>
      </w:r>
      <w:proofErr w:type="spellStart"/>
      <w:r w:rsidRPr="009257E7">
        <w:rPr>
          <w:rFonts w:ascii="Times New Roman" w:eastAsia="Times New Roman" w:hAnsi="Times New Roman" w:cs="Times New Roman"/>
          <w:kern w:val="0"/>
          <w:lang w:val="es-ES"/>
          <w14:ligatures w14:val="none"/>
        </w:rPr>
        <w:t>cómo</w:t>
      </w:r>
      <w:proofErr w:type="spellEnd"/>
      <w:r w:rsidRPr="009257E7">
        <w:rPr>
          <w:rFonts w:ascii="Times New Roman" w:eastAsia="Times New Roman" w:hAnsi="Times New Roman" w:cs="Times New Roman"/>
          <w:kern w:val="0"/>
          <w:lang w:val="es-ES"/>
          <w14:ligatures w14:val="none"/>
        </w:rPr>
        <w:t xml:space="preserve"> un problema social afecta a personas específicas de maneras materiales específicas, en un lugar y momento específicos, y como resultado de historias específicas. El contexto define dónde se </w:t>
      </w:r>
      <w:proofErr w:type="spellStart"/>
      <w:r w:rsidRPr="009257E7">
        <w:rPr>
          <w:rFonts w:ascii="Times New Roman" w:eastAsia="Times New Roman" w:hAnsi="Times New Roman" w:cs="Times New Roman"/>
          <w:kern w:val="0"/>
          <w:lang w:val="es-ES"/>
          <w14:ligatures w14:val="none"/>
        </w:rPr>
        <w:t>intersectan</w:t>
      </w:r>
      <w:proofErr w:type="spellEnd"/>
      <w:r w:rsidRPr="009257E7">
        <w:rPr>
          <w:rFonts w:ascii="Times New Roman" w:eastAsia="Times New Roman" w:hAnsi="Times New Roman" w:cs="Times New Roman"/>
          <w:kern w:val="0"/>
          <w:lang w:val="es-ES"/>
          <w14:ligatures w14:val="none"/>
        </w:rPr>
        <w:t xml:space="preserve"> estas identidades, historias, estructuras y leyes. El académico jurídico John Calmore ofrece una descripción de las comunidades urbanas del centro de la ciudad como un contexto sistémico: “la intersección de raza, espacio y pobreza”:</w:t>
      </w:r>
    </w:p>
    <w:p w14:paraId="1B5470FC" w14:textId="77777777" w:rsidR="00690BAF" w:rsidRPr="009257E7" w:rsidRDefault="00B32566" w:rsidP="00690BAF">
      <w:pPr>
        <w:spacing w:before="100" w:beforeAutospacing="1" w:after="100" w:afterAutospacing="1" w:line="240" w:lineRule="auto"/>
        <w:ind w:left="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 xml:space="preserve">La abogacía en favor de las personas [empobrecidas y subordinadas] </w:t>
      </w:r>
      <w:r w:rsidR="00690BAF" w:rsidRPr="009257E7">
        <w:rPr>
          <w:rFonts w:ascii="Times New Roman" w:eastAsia="Times New Roman" w:hAnsi="Times New Roman" w:cs="Times New Roman"/>
          <w:kern w:val="0"/>
          <w:lang w:val="es-ES"/>
          <w14:ligatures w14:val="none"/>
        </w:rPr>
        <w:t xml:space="preserve">y de sus comunidades debe ser activista, audaz, innovadora y radicalmente progresista. También </w:t>
      </w:r>
      <w:r w:rsidR="00690BAF" w:rsidRPr="009257E7">
        <w:rPr>
          <w:rFonts w:ascii="Times New Roman" w:eastAsia="Times New Roman" w:hAnsi="Times New Roman" w:cs="Times New Roman"/>
          <w:kern w:val="0"/>
          <w:lang w:val="es-ES"/>
          <w14:ligatures w14:val="none"/>
        </w:rPr>
        <w:lastRenderedPageBreak/>
        <w:t xml:space="preserve">debe adaptarse a cada contexto específico y estar enfocada en responder a las necesidades y aspiraciones de la población pobre de los barrios marginales, como grupo social diferenciado. En este sentido, debe desarrollarse, literalmente, de manera orgánica. </w:t>
      </w:r>
      <w:r w:rsidRPr="009257E7">
        <w:rPr>
          <w:rFonts w:ascii="Times New Roman" w:eastAsia="Times New Roman" w:hAnsi="Times New Roman" w:cs="Times New Roman"/>
          <w:kern w:val="0"/>
          <w:lang w:val="es-ES"/>
          <w14:ligatures w14:val="none"/>
        </w:rPr>
        <w:t xml:space="preserve">Debe transgredir fronteras, incluidas aquellas que delimitan el </w:t>
      </w:r>
      <w:r w:rsidR="00690BAF" w:rsidRPr="009257E7">
        <w:rPr>
          <w:rFonts w:ascii="Times New Roman" w:eastAsia="Times New Roman" w:hAnsi="Times New Roman" w:cs="Times New Roman"/>
          <w:kern w:val="0"/>
          <w:lang w:val="es-ES"/>
          <w14:ligatures w14:val="none"/>
        </w:rPr>
        <w:t>papel</w:t>
      </w:r>
      <w:r w:rsidRPr="009257E7">
        <w:rPr>
          <w:rFonts w:ascii="Times New Roman" w:eastAsia="Times New Roman" w:hAnsi="Times New Roman" w:cs="Times New Roman"/>
          <w:kern w:val="0"/>
          <w:lang w:val="es-ES"/>
          <w14:ligatures w14:val="none"/>
        </w:rPr>
        <w:t xml:space="preserve"> profesional, la socialización y la responsabilidad de les abogades. Al representar a personas pobres de los centros urbanos, las perspectivas y </w:t>
      </w:r>
      <w:r w:rsidR="00690BAF" w:rsidRPr="009257E7">
        <w:rPr>
          <w:rFonts w:ascii="Times New Roman" w:eastAsia="Times New Roman" w:hAnsi="Times New Roman" w:cs="Times New Roman"/>
          <w:kern w:val="0"/>
          <w:lang w:val="es-ES"/>
          <w14:ligatures w14:val="none"/>
        </w:rPr>
        <w:t xml:space="preserve">las </w:t>
      </w:r>
      <w:r w:rsidRPr="009257E7">
        <w:rPr>
          <w:rFonts w:ascii="Times New Roman" w:eastAsia="Times New Roman" w:hAnsi="Times New Roman" w:cs="Times New Roman"/>
          <w:kern w:val="0"/>
          <w:lang w:val="es-ES"/>
          <w14:ligatures w14:val="none"/>
        </w:rPr>
        <w:t xml:space="preserve">orientaciones universalistas probablemente resulten ineficaces. En muchos casos, ni las personas pobres ni sus problemas pueden considerarse intercambiables. </w:t>
      </w:r>
      <w:r w:rsidR="00690BAF" w:rsidRPr="009257E7">
        <w:rPr>
          <w:rFonts w:ascii="Times New Roman" w:eastAsia="Times New Roman" w:hAnsi="Times New Roman" w:cs="Times New Roman"/>
          <w:kern w:val="0"/>
          <w:lang w:val="es-ES"/>
          <w14:ligatures w14:val="none"/>
        </w:rPr>
        <w:t>Al responder a las necesidades de nuestras comunidades de clientes y al trabajar con ellas, debemos identificar a qué personas en situación de pobreza y en qué contextos concretos nos referimos, antes de poder trazar estrategias de defensa.</w:t>
      </w:r>
    </w:p>
    <w:p w14:paraId="2231A94B" w14:textId="39F811ED" w:rsidR="00B32566" w:rsidRPr="009257E7" w:rsidRDefault="00690BAF" w:rsidP="00690BAF">
      <w:pPr>
        <w:spacing w:before="100" w:beforeAutospacing="1" w:after="100" w:afterAutospacing="1" w:line="240" w:lineRule="auto"/>
        <w:ind w:left="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Cuando la raza y el espacio se entrelazan sinérgicamente con la pobreza, las prácticas de lucha contra la pobreza que ignoran la raza o que no distinguen el color de la piel son ingenuamente erróneas. Reflejan un enfoque que carece tanto de perspectiva histórica como de contexto. Subestiman gravemente los elementos interrelacionados de la opresión. En cuanto a la reparación que se busca, nos deja muy cortos…</w:t>
      </w:r>
      <w:r w:rsidRPr="009257E7">
        <w:rPr>
          <w:rStyle w:val="FootnoteReference"/>
          <w:rFonts w:ascii="Times New Roman" w:eastAsia="Times New Roman" w:hAnsi="Times New Roman" w:cs="Times New Roman"/>
          <w:kern w:val="0"/>
          <w:lang w:val="es-ES"/>
          <w14:ligatures w14:val="none"/>
        </w:rPr>
        <w:footnoteReference w:id="219"/>
      </w:r>
    </w:p>
    <w:p w14:paraId="66386947" w14:textId="5DE378D7" w:rsidR="00B32566" w:rsidRPr="009257E7" w:rsidRDefault="00B32566" w:rsidP="00690BAF">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 xml:space="preserve">Comprender los contextos de manera crítica permite enfocar “el aspecto estructurado de la pobreza” y otras condiciones </w:t>
      </w:r>
      <w:r w:rsidRPr="009257E7">
        <w:rPr>
          <w:rFonts w:ascii="Times New Roman" w:eastAsia="Times New Roman" w:hAnsi="Times New Roman" w:cs="Times New Roman"/>
          <w:i/>
          <w:iCs/>
          <w:kern w:val="0"/>
          <w:lang w:val="es-ES"/>
          <w14:ligatures w14:val="none"/>
        </w:rPr>
        <w:t>sistémicas</w:t>
      </w:r>
      <w:r w:rsidRPr="009257E7">
        <w:rPr>
          <w:rFonts w:ascii="Times New Roman" w:eastAsia="Times New Roman" w:hAnsi="Times New Roman" w:cs="Times New Roman"/>
          <w:kern w:val="0"/>
          <w:lang w:val="es-ES"/>
          <w14:ligatures w14:val="none"/>
        </w:rPr>
        <w:t xml:space="preserve">. </w:t>
      </w:r>
      <w:proofErr w:type="spellStart"/>
      <w:r w:rsidRPr="009257E7">
        <w:rPr>
          <w:rFonts w:ascii="Times New Roman" w:eastAsia="Times New Roman" w:hAnsi="Times New Roman" w:cs="Times New Roman"/>
          <w:kern w:val="0"/>
          <w:lang w:val="es-ES"/>
          <w14:ligatures w14:val="none"/>
        </w:rPr>
        <w:t>Calmore</w:t>
      </w:r>
      <w:proofErr w:type="spellEnd"/>
      <w:r w:rsidRPr="009257E7">
        <w:rPr>
          <w:rFonts w:ascii="Times New Roman" w:eastAsia="Times New Roman" w:hAnsi="Times New Roman" w:cs="Times New Roman"/>
          <w:kern w:val="0"/>
          <w:lang w:val="es-ES"/>
          <w14:ligatures w14:val="none"/>
        </w:rPr>
        <w:t xml:space="preserve"> enfatiza una forma de profesionalismo colaborativo</w:t>
      </w:r>
      <w:r w:rsidR="00690BAF" w:rsidRPr="009257E7">
        <w:rPr>
          <w:rFonts w:ascii="Times New Roman" w:eastAsia="Times New Roman" w:hAnsi="Times New Roman" w:cs="Times New Roman"/>
          <w:kern w:val="0"/>
          <w:lang w:val="es-ES"/>
          <w14:ligatures w14:val="none"/>
        </w:rPr>
        <w:t>,</w:t>
      </w:r>
      <w:r w:rsidRPr="009257E7">
        <w:rPr>
          <w:rFonts w:ascii="Times New Roman" w:eastAsia="Times New Roman" w:hAnsi="Times New Roman" w:cs="Times New Roman"/>
          <w:kern w:val="0"/>
          <w:lang w:val="es-ES"/>
          <w14:ligatures w14:val="none"/>
        </w:rPr>
        <w:t xml:space="preserve"> </w:t>
      </w:r>
      <w:r w:rsidR="00690BAF" w:rsidRPr="009257E7">
        <w:rPr>
          <w:rFonts w:ascii="Times New Roman" w:eastAsia="Times New Roman" w:hAnsi="Times New Roman" w:cs="Times New Roman"/>
          <w:kern w:val="0"/>
          <w:lang w:val="es-ES"/>
          <w14:ligatures w14:val="none"/>
        </w:rPr>
        <w:t>explícitamente</w:t>
      </w:r>
      <w:r w:rsidRPr="009257E7">
        <w:rPr>
          <w:rFonts w:ascii="Times New Roman" w:eastAsia="Times New Roman" w:hAnsi="Times New Roman" w:cs="Times New Roman"/>
          <w:kern w:val="0"/>
          <w:lang w:val="es-ES"/>
          <w14:ligatures w14:val="none"/>
        </w:rPr>
        <w:t xml:space="preserve"> </w:t>
      </w:r>
      <w:r w:rsidR="00690BAF" w:rsidRPr="009257E7">
        <w:rPr>
          <w:rFonts w:ascii="Times New Roman" w:eastAsia="Times New Roman" w:hAnsi="Times New Roman" w:cs="Times New Roman"/>
          <w:kern w:val="0"/>
          <w:lang w:val="es-ES"/>
          <w14:ligatures w14:val="none"/>
        </w:rPr>
        <w:t>arraigada</w:t>
      </w:r>
      <w:r w:rsidRPr="009257E7">
        <w:rPr>
          <w:rFonts w:ascii="Times New Roman" w:eastAsia="Times New Roman" w:hAnsi="Times New Roman" w:cs="Times New Roman"/>
          <w:kern w:val="0"/>
          <w:lang w:val="es-ES"/>
          <w14:ligatures w14:val="none"/>
        </w:rPr>
        <w:t xml:space="preserve"> en valores </w:t>
      </w:r>
      <w:proofErr w:type="spellStart"/>
      <w:r w:rsidRPr="009257E7">
        <w:rPr>
          <w:rFonts w:ascii="Times New Roman" w:eastAsia="Times New Roman" w:hAnsi="Times New Roman" w:cs="Times New Roman"/>
          <w:kern w:val="0"/>
          <w:lang w:val="es-ES"/>
          <w14:ligatures w14:val="none"/>
        </w:rPr>
        <w:t>antisubordinación</w:t>
      </w:r>
      <w:proofErr w:type="spellEnd"/>
      <w:r w:rsidRPr="009257E7">
        <w:rPr>
          <w:rFonts w:ascii="Times New Roman" w:eastAsia="Times New Roman" w:hAnsi="Times New Roman" w:cs="Times New Roman"/>
          <w:kern w:val="0"/>
          <w:lang w:val="es-ES"/>
          <w14:ligatures w14:val="none"/>
        </w:rPr>
        <w:t xml:space="preserve">. Este enfoque doble en el contexto y la </w:t>
      </w:r>
      <w:proofErr w:type="spellStart"/>
      <w:r w:rsidRPr="009257E7">
        <w:rPr>
          <w:rFonts w:ascii="Times New Roman" w:eastAsia="Times New Roman" w:hAnsi="Times New Roman" w:cs="Times New Roman"/>
          <w:kern w:val="0"/>
          <w:lang w:val="es-ES"/>
          <w14:ligatures w14:val="none"/>
        </w:rPr>
        <w:t>antisubordinación</w:t>
      </w:r>
      <w:proofErr w:type="spellEnd"/>
      <w:r w:rsidRPr="009257E7">
        <w:rPr>
          <w:rFonts w:ascii="Times New Roman" w:eastAsia="Times New Roman" w:hAnsi="Times New Roman" w:cs="Times New Roman"/>
          <w:kern w:val="0"/>
          <w:lang w:val="es-ES"/>
          <w14:ligatures w14:val="none"/>
        </w:rPr>
        <w:t xml:space="preserve"> desafía las nociones dominantes de </w:t>
      </w:r>
      <w:r w:rsidR="00690BAF" w:rsidRPr="009257E7">
        <w:rPr>
          <w:rFonts w:ascii="Times New Roman" w:eastAsia="Times New Roman" w:hAnsi="Times New Roman" w:cs="Times New Roman"/>
          <w:kern w:val="0"/>
          <w:lang w:val="es-ES"/>
          <w14:ligatures w14:val="none"/>
        </w:rPr>
        <w:t>la abogacía, en las que los problemas se abordan de forma atomizada, descontextualizada y, en gran medida, ahistórica.</w:t>
      </w:r>
      <w:r w:rsidRPr="009257E7">
        <w:rPr>
          <w:rFonts w:ascii="Times New Roman" w:eastAsia="Times New Roman" w:hAnsi="Times New Roman" w:cs="Times New Roman"/>
          <w:kern w:val="0"/>
          <w:lang w:val="es-ES"/>
          <w14:ligatures w14:val="none"/>
        </w:rPr>
        <w:t xml:space="preserve"> Frente a este trasfondo, la abogacía sistémica procura generar cambios a lo largo de los tres niveles para contrarrestar la persistencia arraigada de problemas sociales en contextos complejos que, como enfatiza </w:t>
      </w:r>
      <w:proofErr w:type="spellStart"/>
      <w:r w:rsidRPr="009257E7">
        <w:rPr>
          <w:rFonts w:ascii="Times New Roman" w:eastAsia="Times New Roman" w:hAnsi="Times New Roman" w:cs="Times New Roman"/>
          <w:kern w:val="0"/>
          <w:lang w:val="es-ES"/>
          <w14:ligatures w14:val="none"/>
        </w:rPr>
        <w:t>Calmore</w:t>
      </w:r>
      <w:proofErr w:type="spellEnd"/>
      <w:r w:rsidRPr="009257E7">
        <w:rPr>
          <w:rFonts w:ascii="Times New Roman" w:eastAsia="Times New Roman" w:hAnsi="Times New Roman" w:cs="Times New Roman"/>
          <w:kern w:val="0"/>
          <w:lang w:val="es-ES"/>
          <w14:ligatures w14:val="none"/>
        </w:rPr>
        <w:t>, deben comprenderse críticamente como confluencias cambiantes de identidades, grupos, intereses y poder interseccionales. Definir un contexto sistémico —y un proyecto de abogacía contextual— de estas maneras permite a les abogades delimitar un punto de partida manejable para la acción, al tiempo que reconocen la inevitabilidad de la complejidad. Pensar y actuar de manera contextual ayuda a les abogades a apoyar a grupos organizados</w:t>
      </w:r>
      <w:r w:rsidR="00690BAF" w:rsidRPr="009257E7">
        <w:rPr>
          <w:rFonts w:ascii="Times New Roman" w:eastAsia="Times New Roman" w:hAnsi="Times New Roman" w:cs="Times New Roman"/>
          <w:kern w:val="0"/>
          <w:lang w:val="es-ES"/>
          <w14:ligatures w14:val="none"/>
        </w:rPr>
        <w:t>,</w:t>
      </w:r>
      <w:r w:rsidRPr="009257E7">
        <w:rPr>
          <w:rFonts w:ascii="Times New Roman" w:eastAsia="Times New Roman" w:hAnsi="Times New Roman" w:cs="Times New Roman"/>
          <w:kern w:val="0"/>
          <w:lang w:val="es-ES"/>
          <w14:ligatures w14:val="none"/>
        </w:rPr>
        <w:t xml:space="preserve"> como jugadores repetidos, </w:t>
      </w:r>
      <w:r w:rsidR="00690BAF" w:rsidRPr="009257E7">
        <w:rPr>
          <w:rFonts w:ascii="Times New Roman" w:eastAsia="Times New Roman" w:hAnsi="Times New Roman" w:cs="Times New Roman"/>
          <w:kern w:val="0"/>
          <w:lang w:val="es-ES"/>
          <w14:ligatures w14:val="none"/>
        </w:rPr>
        <w:t>que disputan</w:t>
      </w:r>
      <w:r w:rsidRPr="009257E7">
        <w:rPr>
          <w:rFonts w:ascii="Times New Roman" w:eastAsia="Times New Roman" w:hAnsi="Times New Roman" w:cs="Times New Roman"/>
          <w:kern w:val="0"/>
          <w:lang w:val="es-ES"/>
          <w14:ligatures w14:val="none"/>
        </w:rPr>
        <w:t xml:space="preserve"> reglas básicas y logran progreso medible contra la injusticia en lugares específicos.</w:t>
      </w:r>
    </w:p>
    <w:p w14:paraId="793C016E" w14:textId="22988C23" w:rsidR="00690BAF" w:rsidRPr="009257E7" w:rsidRDefault="00690BAF" w:rsidP="00690BAF">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 xml:space="preserve">A partir de su experiencia en la abogacía de causa, </w:t>
      </w:r>
      <w:proofErr w:type="spellStart"/>
      <w:r w:rsidRPr="009257E7">
        <w:rPr>
          <w:rFonts w:ascii="Times New Roman" w:eastAsia="Times New Roman" w:hAnsi="Times New Roman" w:cs="Times New Roman"/>
          <w:kern w:val="0"/>
          <w:lang w:val="es-ES"/>
          <w14:ligatures w14:val="none"/>
        </w:rPr>
        <w:t>Calmore</w:t>
      </w:r>
      <w:proofErr w:type="spellEnd"/>
      <w:r w:rsidRPr="009257E7">
        <w:rPr>
          <w:rFonts w:ascii="Times New Roman" w:eastAsia="Times New Roman" w:hAnsi="Times New Roman" w:cs="Times New Roman"/>
          <w:kern w:val="0"/>
          <w:lang w:val="es-ES"/>
          <w14:ligatures w14:val="none"/>
        </w:rPr>
        <w:t xml:space="preserve"> ilustra cómo cada contexto es más que un simple tiempo y lugar. Más bien, en términos sistémicos, cada contexto es una convergencia volátil de identidades, grupos, intereses y poder en un tiempo y lugar determinados, a la luz de historias y legados relevantes. Estas convergencias generan necesidades, no solo de mejora, sino también de transformación. Los contextos ofrecen puntos de entrada prácticos y manejables para una abogacía sistémica, adaptada para impulsar y defender el progreso hacia los objetivos de tres niveles. </w:t>
      </w:r>
    </w:p>
    <w:p w14:paraId="0E0FC144" w14:textId="5A032060" w:rsidR="00690BAF" w:rsidRPr="009257E7" w:rsidRDefault="00690BAF" w:rsidP="00690BAF">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 xml:space="preserve">De manera concreta, </w:t>
      </w:r>
      <w:proofErr w:type="spellStart"/>
      <w:r w:rsidRPr="009257E7">
        <w:rPr>
          <w:rFonts w:ascii="Times New Roman" w:eastAsia="Times New Roman" w:hAnsi="Times New Roman" w:cs="Times New Roman"/>
          <w:kern w:val="0"/>
          <w:lang w:val="es-ES"/>
          <w14:ligatures w14:val="none"/>
        </w:rPr>
        <w:t>Calmore</w:t>
      </w:r>
      <w:proofErr w:type="spellEnd"/>
      <w:r w:rsidRPr="009257E7">
        <w:rPr>
          <w:rFonts w:ascii="Times New Roman" w:eastAsia="Times New Roman" w:hAnsi="Times New Roman" w:cs="Times New Roman"/>
          <w:kern w:val="0"/>
          <w:lang w:val="es-ES"/>
          <w14:ligatures w14:val="none"/>
        </w:rPr>
        <w:t xml:space="preserve"> señala varias contribuciones específicas que les abogades pueden hacer a los grupos de clientes en sus luchas por la justicia: “Podemos brindar asistencia </w:t>
      </w:r>
      <w:r w:rsidRPr="009257E7">
        <w:rPr>
          <w:rFonts w:ascii="Times New Roman" w:eastAsia="Times New Roman" w:hAnsi="Times New Roman" w:cs="Times New Roman"/>
          <w:kern w:val="0"/>
          <w:lang w:val="es-ES"/>
          <w14:ligatures w14:val="none"/>
        </w:rPr>
        <w:lastRenderedPageBreak/>
        <w:t>técnica y una perspectiva de abogacía; podemos fortalecer sus relatos; y podemos ayudarles a aprovechar mejor sus posiciones”</w:t>
      </w:r>
      <w:r w:rsidRPr="009257E7">
        <w:rPr>
          <w:rStyle w:val="FootnoteReference"/>
          <w:rFonts w:ascii="Times New Roman" w:eastAsia="Times New Roman" w:hAnsi="Times New Roman" w:cs="Times New Roman"/>
          <w:kern w:val="0"/>
          <w:lang w:val="es-ES"/>
          <w14:ligatures w14:val="none"/>
        </w:rPr>
        <w:footnoteReference w:id="220"/>
      </w:r>
      <w:r w:rsidRPr="009257E7">
        <w:rPr>
          <w:rFonts w:ascii="Times New Roman" w:eastAsia="Times New Roman" w:hAnsi="Times New Roman" w:cs="Times New Roman"/>
          <w:kern w:val="0"/>
          <w:lang w:val="es-ES"/>
          <w14:ligatures w14:val="none"/>
        </w:rPr>
        <w:t>.</w:t>
      </w:r>
    </w:p>
    <w:p w14:paraId="0D75FB30" w14:textId="580F0A02" w:rsidR="00690BAF" w:rsidRPr="009257E7" w:rsidRDefault="00690BAF" w:rsidP="00690BAF">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 xml:space="preserve">A </w:t>
      </w:r>
      <w:proofErr w:type="gramStart"/>
      <w:r w:rsidRPr="009257E7">
        <w:rPr>
          <w:rFonts w:ascii="Times New Roman" w:eastAsia="Times New Roman" w:hAnsi="Times New Roman" w:cs="Times New Roman"/>
          <w:kern w:val="0"/>
          <w:lang w:val="es-ES"/>
          <w14:ligatures w14:val="none"/>
        </w:rPr>
        <w:t>continuación</w:t>
      </w:r>
      <w:proofErr w:type="gramEnd"/>
      <w:r w:rsidRPr="009257E7">
        <w:rPr>
          <w:rFonts w:ascii="Times New Roman" w:eastAsia="Times New Roman" w:hAnsi="Times New Roman" w:cs="Times New Roman"/>
          <w:kern w:val="0"/>
          <w:lang w:val="es-ES"/>
          <w14:ligatures w14:val="none"/>
        </w:rPr>
        <w:t xml:space="preserve"> se presenta un extracto de un informe que describe la presencia generalizada de violencia y acoso por razón de género —GBVH, por sus siglas en inglés (</w:t>
      </w:r>
      <w:proofErr w:type="spellStart"/>
      <w:r w:rsidRPr="009257E7">
        <w:rPr>
          <w:rFonts w:ascii="Times New Roman" w:eastAsia="Times New Roman" w:hAnsi="Times New Roman" w:cs="Times New Roman"/>
          <w:kern w:val="0"/>
          <w:lang w:val="es-ES"/>
          <w14:ligatures w14:val="none"/>
        </w:rPr>
        <w:t>gender-based</w:t>
      </w:r>
      <w:proofErr w:type="spellEnd"/>
      <w:r w:rsidRPr="009257E7">
        <w:rPr>
          <w:rFonts w:ascii="Times New Roman" w:eastAsia="Times New Roman" w:hAnsi="Times New Roman" w:cs="Times New Roman"/>
          <w:kern w:val="0"/>
          <w:lang w:val="es-ES"/>
          <w14:ligatures w14:val="none"/>
        </w:rPr>
        <w:t xml:space="preserve"> </w:t>
      </w:r>
      <w:proofErr w:type="spellStart"/>
      <w:r w:rsidRPr="009257E7">
        <w:rPr>
          <w:rFonts w:ascii="Times New Roman" w:eastAsia="Times New Roman" w:hAnsi="Times New Roman" w:cs="Times New Roman"/>
          <w:kern w:val="0"/>
          <w:lang w:val="es-ES"/>
          <w14:ligatures w14:val="none"/>
        </w:rPr>
        <w:t>violence</w:t>
      </w:r>
      <w:proofErr w:type="spellEnd"/>
      <w:r w:rsidRPr="009257E7">
        <w:rPr>
          <w:rFonts w:ascii="Times New Roman" w:eastAsia="Times New Roman" w:hAnsi="Times New Roman" w:cs="Times New Roman"/>
          <w:kern w:val="0"/>
          <w:lang w:val="es-ES"/>
          <w14:ligatures w14:val="none"/>
        </w:rPr>
        <w:t xml:space="preserve"> and </w:t>
      </w:r>
      <w:proofErr w:type="spellStart"/>
      <w:r w:rsidRPr="009257E7">
        <w:rPr>
          <w:rFonts w:ascii="Times New Roman" w:eastAsia="Times New Roman" w:hAnsi="Times New Roman" w:cs="Times New Roman"/>
          <w:kern w:val="0"/>
          <w:lang w:val="es-ES"/>
          <w14:ligatures w14:val="none"/>
        </w:rPr>
        <w:t>harassment</w:t>
      </w:r>
      <w:proofErr w:type="spellEnd"/>
      <w:r w:rsidRPr="009257E7">
        <w:rPr>
          <w:rFonts w:ascii="Times New Roman" w:eastAsia="Times New Roman" w:hAnsi="Times New Roman" w:cs="Times New Roman"/>
          <w:kern w:val="0"/>
          <w:lang w:val="es-ES"/>
          <w14:ligatures w14:val="none"/>
        </w:rPr>
        <w:t xml:space="preserve">)— en las cadenas de suministro de productores multinacionales de prendas de vestir. El informe se publicó en vísperas de negociaciones tripartitas entre representantes de trabajadores, corporaciones y gobiernos en la Organización Internacional del Trabajo, con el propósito de elaborar un nuevo convenio dirigido a prevenir la violencia y el acoso por razón de género. Obsérvese la atención que se presta a los problemas dentro de ese contexto: el espacio, el lugar y el momento particulares en que ocurren la violencia y el acoso por razón de género en las redes mundiales de producción de prendas de vestir, </w:t>
      </w:r>
      <w:r w:rsidRPr="009257E7">
        <w:rPr>
          <w:rFonts w:ascii="Times New Roman" w:eastAsia="Times New Roman" w:hAnsi="Times New Roman" w:cs="Times New Roman"/>
          <w:i/>
          <w:iCs/>
          <w:kern w:val="0"/>
          <w:lang w:val="es-ES"/>
          <w14:ligatures w14:val="none"/>
        </w:rPr>
        <w:t>y</w:t>
      </w:r>
      <w:r w:rsidRPr="009257E7">
        <w:rPr>
          <w:rFonts w:ascii="Times New Roman" w:eastAsia="Times New Roman" w:hAnsi="Times New Roman" w:cs="Times New Roman"/>
          <w:kern w:val="0"/>
          <w:lang w:val="es-ES"/>
          <w14:ligatures w14:val="none"/>
        </w:rPr>
        <w:t xml:space="preserve"> su relación con esta constelación específica de identidades, grupos, intereses y poder, así como con las leyes:</w:t>
      </w:r>
    </w:p>
    <w:p w14:paraId="02321DBC" w14:textId="21EC4C01" w:rsidR="00690BAF" w:rsidRPr="009257E7" w:rsidRDefault="00690BAF" w:rsidP="00690BAF">
      <w:pPr>
        <w:spacing w:before="100" w:beforeAutospacing="1" w:after="100" w:afterAutospacing="1" w:line="240" w:lineRule="auto"/>
        <w:ind w:left="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[Este informe] tiene como objetivo situar los nuevos hallazgos empíricos sobre la violencia por razón de género en las fábricas de Walmart en Bangladesh, Camboya e Indonesia dentro del contexto más amplio de las redes globales de producción en general y, en particular, de la red global de producción de prendas de vestir</w:t>
      </w:r>
      <w:r w:rsidR="002F02D7" w:rsidRPr="009257E7">
        <w:rPr>
          <w:rFonts w:ascii="Times New Roman" w:eastAsia="Times New Roman" w:hAnsi="Times New Roman" w:cs="Times New Roman"/>
          <w:kern w:val="0"/>
          <w:lang w:val="es-ES"/>
          <w14:ligatures w14:val="none"/>
        </w:rPr>
        <w:t>…</w:t>
      </w:r>
      <w:r w:rsidRPr="009257E7">
        <w:rPr>
          <w:rFonts w:ascii="Times New Roman" w:eastAsia="Times New Roman" w:hAnsi="Times New Roman" w:cs="Times New Roman"/>
          <w:kern w:val="0"/>
          <w:lang w:val="es-ES"/>
          <w14:ligatures w14:val="none"/>
        </w:rPr>
        <w:t xml:space="preserve"> Marcas como Walmart, con sede en países de ingresos altos, subcontratan la producción a empresas proveedoras ubicadas en países en desarrollo</w:t>
      </w:r>
      <w:r w:rsidR="002F02D7" w:rsidRPr="009257E7">
        <w:rPr>
          <w:rFonts w:ascii="Times New Roman" w:eastAsia="Times New Roman" w:hAnsi="Times New Roman" w:cs="Times New Roman"/>
          <w:kern w:val="0"/>
          <w:lang w:val="es-ES"/>
          <w14:ligatures w14:val="none"/>
        </w:rPr>
        <w:t>…</w:t>
      </w:r>
    </w:p>
    <w:p w14:paraId="69A3379F" w14:textId="3B7C89F6" w:rsidR="002F02D7" w:rsidRPr="009257E7" w:rsidRDefault="002F02D7" w:rsidP="002F02D7">
      <w:pPr>
        <w:spacing w:before="100" w:beforeAutospacing="1" w:after="100" w:afterAutospacing="1" w:line="240" w:lineRule="auto"/>
        <w:ind w:left="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 Aunque las marcas y los minoristas no llevan a cabo la producción, impulsan los patrones de abastecimiento y de producción en el extranjero…</w:t>
      </w:r>
    </w:p>
    <w:p w14:paraId="3599B21E" w14:textId="4D205B72" w:rsidR="002F02D7" w:rsidRPr="009257E7" w:rsidRDefault="002F02D7" w:rsidP="002F02D7">
      <w:pPr>
        <w:spacing w:before="100" w:beforeAutospacing="1" w:after="100" w:afterAutospacing="1" w:line="240" w:lineRule="auto"/>
        <w:ind w:left="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Las trabajadoras empleadas en las cadenas de suministro de prendas de vestir se concentran abrumadoramente en formas de empleo no estándar y precarias, caracterizadas por el trabajo informal, la remuneración baja y la protección escasa… De formas variadas y específicas a cada contexto local, el capital internacional depende de ideologías y de relaciones sociales basadas en el género, para reclutar y disciplinar a les trabajadores, produciendo fuerzas laborales segmentadas dentro de los países y entre ellos…</w:t>
      </w:r>
    </w:p>
    <w:p w14:paraId="6452FD31" w14:textId="404E4686" w:rsidR="002F02D7" w:rsidRPr="009257E7" w:rsidRDefault="002F02D7" w:rsidP="002F02D7">
      <w:pPr>
        <w:spacing w:before="100" w:beforeAutospacing="1" w:after="100" w:afterAutospacing="1" w:line="240" w:lineRule="auto"/>
        <w:ind w:left="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Las trabajadoras informaron haber sido blanco de violencia explícitamente basada en el género, incluida el abuso verbal relacionado con el género y la sexualidad, el acoso sexual y las amenazas de represalia por rechazar avances sexuales…</w:t>
      </w:r>
    </w:p>
    <w:p w14:paraId="5EC827E7" w14:textId="5CC75261" w:rsidR="002F02D7" w:rsidRPr="009257E7" w:rsidRDefault="002F02D7" w:rsidP="002F02D7">
      <w:pPr>
        <w:spacing w:before="100" w:beforeAutospacing="1" w:after="100" w:afterAutospacing="1" w:line="240" w:lineRule="auto"/>
        <w:ind w:left="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Las mujeres se ven afectadas de manera desproporcionada por los patrones de violencia dentro de la cadena de suministro de prendas de vestir porque constituyen la gran mayoría de les trabajadores del sector…</w:t>
      </w:r>
    </w:p>
    <w:p w14:paraId="3FAFA05C" w14:textId="3E0F2BBE" w:rsidR="002F02D7" w:rsidRPr="009257E7" w:rsidRDefault="002F02D7" w:rsidP="002F02D7">
      <w:pPr>
        <w:spacing w:before="100" w:beforeAutospacing="1" w:after="100" w:afterAutospacing="1" w:line="240" w:lineRule="auto"/>
        <w:ind w:left="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lastRenderedPageBreak/>
        <w:t>A pesar de su mayoría numérica en el sector de prendas de vestir, las trabajadoras permanecen en empleos de bajo nivel de cualificación y rara vez alcanzan puestos de liderazgo en sus fábricas y sindicatos. [...]</w:t>
      </w:r>
    </w:p>
    <w:p w14:paraId="4FA7C249" w14:textId="1181DD30" w:rsidR="002F02D7" w:rsidRPr="009257E7" w:rsidRDefault="002F02D7" w:rsidP="002F02D7">
      <w:pPr>
        <w:spacing w:before="100" w:beforeAutospacing="1" w:after="100" w:afterAutospacing="1" w:line="240" w:lineRule="auto"/>
        <w:ind w:left="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Las formas de acoso sexual documentadas en este estudio incluyen comentarios y avances sexuales, tocamientos inapropiados, pellizcos y contacto corporal, iniciados tanto por gerentes como por compañeros de trabajo masculinos. [...]</w:t>
      </w:r>
    </w:p>
    <w:p w14:paraId="71D554B1" w14:textId="72530918" w:rsidR="002F02D7" w:rsidRPr="009257E7" w:rsidRDefault="002F02D7" w:rsidP="002F02D7">
      <w:pPr>
        <w:spacing w:before="100" w:beforeAutospacing="1" w:after="100" w:afterAutospacing="1" w:line="240" w:lineRule="auto"/>
        <w:ind w:left="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Las trabajadoras informaron sobre abuso verbal continuo, amenazas frecuentes y violencia física…</w:t>
      </w:r>
      <w:r w:rsidRPr="009257E7">
        <w:rPr>
          <w:rStyle w:val="FootnoteReference"/>
          <w:rFonts w:ascii="Times New Roman" w:eastAsia="Times New Roman" w:hAnsi="Times New Roman" w:cs="Times New Roman"/>
          <w:kern w:val="0"/>
          <w:lang w:val="es-ES"/>
          <w14:ligatures w14:val="none"/>
        </w:rPr>
        <w:footnoteReference w:id="221"/>
      </w:r>
    </w:p>
    <w:p w14:paraId="201EF2E7" w14:textId="36DFFA59" w:rsidR="002F02D7" w:rsidRPr="009257E7" w:rsidRDefault="002F02D7" w:rsidP="002F02D7">
      <w:pPr>
        <w:spacing w:before="100" w:beforeAutospacing="1" w:after="100" w:afterAutospacing="1" w:line="240" w:lineRule="auto"/>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Les abogades se centran en los contextos y en cómo estos se constituyen y se sostienen para comprender los problemas y, sobre esa base, ayudar a los grupos a diseñar estrategias y acciones orientadas al progreso hacia los objetivos de tres niveles. Todo problema, análisis o solución se sitúa en contextos. Cada abogade debe trabajar con este conocimiento para avanzar hacia objetivos de tres niveles en escenarios recurrentes.</w:t>
      </w:r>
    </w:p>
    <w:p w14:paraId="1B01BFD2" w14:textId="77777777" w:rsidR="002F02D7" w:rsidRPr="009257E7" w:rsidRDefault="00041F56" w:rsidP="00041F56">
      <w:pPr>
        <w:pStyle w:val="NormalWeb"/>
        <w:rPr>
          <w:lang w:val="es-ES"/>
        </w:rPr>
      </w:pPr>
      <w:r w:rsidRPr="009257E7">
        <w:rPr>
          <w:b/>
          <w:bCs/>
          <w:lang w:val="es-ES"/>
        </w:rPr>
        <w:t>6.2</w:t>
      </w:r>
      <w:r w:rsidRPr="009257E7">
        <w:rPr>
          <w:lang w:val="es-ES"/>
        </w:rPr>
        <w:t xml:space="preserve"> Los objetivos de tres niveles se orientan hacia tres escenarios recurrentes de abogacía</w:t>
      </w:r>
    </w:p>
    <w:p w14:paraId="590EFC87" w14:textId="25587307" w:rsidR="002F02D7" w:rsidRPr="009257E7" w:rsidRDefault="002F02D7" w:rsidP="002F02D7">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La injusticia sistémica y las luchas contra ella no conocen fronteras. Por ello, pasamos a otro ejemplo, presentado por la académica jurídica Lucie White, tomado de la abogacía en un contexto sistémico “diferente”: Sudáfrica a finales del siglo XX</w:t>
      </w:r>
      <w:r w:rsidRPr="009257E7">
        <w:rPr>
          <w:rStyle w:val="FootnoteReference"/>
          <w:rFonts w:ascii="Times New Roman" w:eastAsia="Times New Roman" w:hAnsi="Times New Roman" w:cs="Times New Roman"/>
          <w:kern w:val="0"/>
          <w:lang w:val="es-ES"/>
          <w14:ligatures w14:val="none"/>
        </w:rPr>
        <w:footnoteReference w:id="222"/>
      </w:r>
      <w:r w:rsidRPr="009257E7">
        <w:rPr>
          <w:rFonts w:ascii="Times New Roman" w:eastAsia="Times New Roman" w:hAnsi="Times New Roman" w:cs="Times New Roman"/>
          <w:kern w:val="0"/>
          <w:lang w:val="es-ES"/>
          <w14:ligatures w14:val="none"/>
        </w:rPr>
        <w:t xml:space="preserve">. En este contexto, ni siquiera existía la igualdad formal, pero los valores de </w:t>
      </w:r>
      <w:proofErr w:type="spellStart"/>
      <w:r w:rsidRPr="009257E7">
        <w:rPr>
          <w:rFonts w:ascii="Times New Roman" w:eastAsia="Times New Roman" w:hAnsi="Times New Roman" w:cs="Times New Roman"/>
          <w:kern w:val="0"/>
          <w:lang w:val="es-ES"/>
          <w14:ligatures w14:val="none"/>
        </w:rPr>
        <w:t>antisubordinación</w:t>
      </w:r>
      <w:proofErr w:type="spellEnd"/>
      <w:r w:rsidRPr="009257E7">
        <w:rPr>
          <w:rFonts w:ascii="Times New Roman" w:eastAsia="Times New Roman" w:hAnsi="Times New Roman" w:cs="Times New Roman"/>
          <w:kern w:val="0"/>
          <w:lang w:val="es-ES"/>
          <w14:ligatures w14:val="none"/>
        </w:rPr>
        <w:t>, no obstante, impulsaban la lucha. White deconstruye tres escenarios de la abogacía para delinear la relación entre los contextos, la abogacía y los objetivos. Los tres escenarios de práctica de White corresponden, de manera aproximada, a los tres niveles de objetivos de la abogacía sistémica de este libro. Estos tres tipos probables de escenarios son: (1) un individuo —o una serie de individuos— que busca una mejora; (2) un grupo ya organizado que necesita apoyo para responder a problemas colectivos; e (3) integrantes de un grupo o comunidad que necesitan ayuda para formar o fortalecer su conciencia colectiva y su comprensión estratégica de los problemas sociales y sus soluciones. La pregunta central que permanece constante en todos los escenarios es: ¿cuál es la mejor manera de avanzar en los tres niveles de objetivos que, en conjunto, conducen a la transformación social?</w:t>
      </w:r>
    </w:p>
    <w:p w14:paraId="2EFA999E" w14:textId="10EB9F2A" w:rsidR="002F02D7" w:rsidRPr="009257E7" w:rsidRDefault="002F02D7" w:rsidP="002F02D7">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 xml:space="preserve">En la primera de las dimensiones de White, la imagen o visión de la práctica jurídica se centra en la búsqueda de asistencia jurídica de mejora para clientes individuales. Puede tratarse de remedios individuales centrados en los tribunales o de soluciones transaccionales, como la asistencia en la constitución de entidades individuales o en contratos. En esta primera dimensión, les abogades por lo general no abordan de manera más amplia los males sociales sistémicos de las castas; esto refleja tanto las limitaciones de la educación jurídica tradicional como las prioridades centradas en responder a problemas inmediatos que predominan en la mayoría de los </w:t>
      </w:r>
      <w:r w:rsidRPr="009257E7">
        <w:rPr>
          <w:rFonts w:ascii="Times New Roman" w:eastAsia="Times New Roman" w:hAnsi="Times New Roman" w:cs="Times New Roman"/>
          <w:kern w:val="0"/>
          <w:lang w:val="es-ES"/>
          <w14:ligatures w14:val="none"/>
        </w:rPr>
        <w:lastRenderedPageBreak/>
        <w:t>espacios de práctica. En este primer escenario recurrente —quizás el más común—, la práctica jurídica ofrece servicios esenciales inmediatos a poblaciones vulnerables. La abogacía sistémica no rechaza este trabajo de mejora, sino que busca reforzar y ampliar sus logros.</w:t>
      </w:r>
    </w:p>
    <w:p w14:paraId="5EE3FC51" w14:textId="0C3C6CDC" w:rsidR="002F02D7" w:rsidRPr="009257E7" w:rsidRDefault="002F02D7" w:rsidP="002F02D7">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En la segunda dimensión de la abogacía, la imagen o la visión de la práctica jurídica se amplía para incluir un análisis sistémico de la dominación grupal y soluciones sistémicas basadas en las capacidades colectivas existentes y potenciales. El trabajo de abogacía en este contexto combina estrategias jurisdiccionales con estrategias democráticas que permiten a los grupos y a las personas intervenir en la toma de decisiones, ejercer presión sobre los responsables de la toma de decisiones a quienes se dirige la acción y, en última instancia, influir en las decisiones mediante el ejercicio del poder colectivo.</w:t>
      </w:r>
    </w:p>
    <w:p w14:paraId="718724F2" w14:textId="0C196B7C" w:rsidR="00CE31D9" w:rsidRPr="009257E7" w:rsidRDefault="00CE31D9" w:rsidP="00CE31D9">
      <w:pPr>
        <w:pStyle w:val="NormalWeb"/>
        <w:ind w:firstLine="720"/>
        <w:rPr>
          <w:lang w:val="es-ES"/>
        </w:rPr>
      </w:pPr>
      <w:r w:rsidRPr="009257E7">
        <w:rPr>
          <w:lang w:val="es-ES"/>
        </w:rPr>
        <w:t>En el tercer escenario recurrente de la abogacía, la imagen o la visión de la práctica jurídica se amplía aún más para “estimular” nuevas fuentes de conciencia grupal orientadas a la lucha colectiva a largo plazo: les abogades trabajan con individuos no solo en soluciones frente a problemas existentes y con grupos en el fortalecimiento de sus capacidades, para actuar tanto en espacios jurisdiccionales como democráticos, sino también con individuos y grupos para catalizar una conciencia crítica colectiva de sí mismos. Esa identidad y ese análisis colectivos pueden ayudar a esos individuos y grupos a movilizarse para sostener grupos y coaliciones durante largos períodos. Los grupos de clientes, formados o fortalecidos mediante este proceso de concienciación y análisis colectivos, pueden redefinir por sí mismos los problemas y las soluciones. Luego pueden introducir esas redefiniciones y esos recursos culturales en la sociedad más amplia mediante acciones jurídicas y extrajurídicas.</w:t>
      </w:r>
    </w:p>
    <w:p w14:paraId="68A15DBC" w14:textId="061F9424" w:rsidR="00CE31D9" w:rsidRPr="009257E7" w:rsidRDefault="00CE31D9" w:rsidP="00CE31D9">
      <w:pPr>
        <w:pStyle w:val="NormalWeb"/>
        <w:ind w:firstLine="720"/>
        <w:rPr>
          <w:lang w:val="es-ES"/>
        </w:rPr>
      </w:pPr>
      <w:r w:rsidRPr="009257E7">
        <w:rPr>
          <w:lang w:val="es-ES"/>
        </w:rPr>
        <w:t>Las tres “dimensiones” de White presentan, en la práctica, tres tipos de escenarios recurrentes que pueden darse en cualquier contexto. Este marco de tres escenarios recurrentes de práctica se basa en una pregunta inicial y concreta sobre el terreno: ¿existe ya algún esfuerzo organizado en ese contexto para resolver el problema sistémico al que se enfrenta?</w:t>
      </w:r>
    </w:p>
    <w:p w14:paraId="1195DEE0" w14:textId="3E1059CC" w:rsidR="00CE31D9" w:rsidRPr="009257E7" w:rsidRDefault="00CE31D9" w:rsidP="00CE31D9">
      <w:pPr>
        <w:pStyle w:val="NormalWeb"/>
        <w:ind w:firstLine="720"/>
        <w:rPr>
          <w:lang w:val="es-ES"/>
        </w:rPr>
      </w:pPr>
      <w:r w:rsidRPr="009257E7">
        <w:rPr>
          <w:lang w:val="es-ES"/>
        </w:rPr>
        <w:t>La conciencia del propio escenario de práctica es crucial para una abogacía sólida. El diseño y la ejecución de un proyecto de abogacía requieren conocer a las personas e instituciones relevantes en el contexto para resolver el problema. Determinar si ya existen grupos organizados es siempre una pregunta inicial, porque puede ayudar a definir la estructura de la abogacía. Esta pregunta constituye una consideración preliminar en cada contexto precisamente porque todo lo demás depende de su respuesta.</w:t>
      </w:r>
    </w:p>
    <w:p w14:paraId="3D93E83B" w14:textId="58D12CA7" w:rsidR="00CE31D9" w:rsidRPr="009257E7" w:rsidRDefault="00CE31D9" w:rsidP="00CE31D9">
      <w:pPr>
        <w:pStyle w:val="NormalWeb"/>
        <w:ind w:firstLine="720"/>
        <w:rPr>
          <w:lang w:val="es-ES"/>
        </w:rPr>
      </w:pPr>
      <w:r w:rsidRPr="009257E7">
        <w:rPr>
          <w:lang w:val="es-ES"/>
        </w:rPr>
        <w:t xml:space="preserve">En el primer escenario —o dimensión—, la solución involucra únicamente remedios verdaderamente individuales que no requieren movilización colectiva y, por tanto, tienden a centrarse en la abogacía y los objetivos del primer nivel. En el segundo escenario —o dimensión—, quizás el ideal para la abogacía sistémica, ya existen conciencia colectiva y acciones organizadas, lo que permite que les abogades se concentren en apoyar el trabajo de construcción de poder y transformación cultural. En el tercer escenario de práctica —o dimensión—, quizás el más desafiante para la abogacía sistémica, todavía no existen conciencia colectiva ni acciones organizadas para remediar problemas grupales persistentes, por lo que les abogades deben concentrarse, al menos inicialmente, en despertar y difundir conciencia y acción. En la práctica —es decir, dentro del contexto— estos escenarios recurrentes pueden </w:t>
      </w:r>
      <w:r w:rsidRPr="009257E7">
        <w:rPr>
          <w:lang w:val="es-ES"/>
        </w:rPr>
        <w:lastRenderedPageBreak/>
        <w:t>superponerse o transformarse con el tiempo. Lo más importante es que les abogades evalúen cada contexto para trabajar eficazmente en sus distintos escenarios de práctica —o dimensiones— y entre ellos de manera simultánea, así como con una perspectiva a largo plazo.</w:t>
      </w:r>
    </w:p>
    <w:p w14:paraId="6E40E364" w14:textId="0F2A16E6" w:rsidR="00CE31D9" w:rsidRPr="009257E7" w:rsidRDefault="00CE31D9" w:rsidP="00CE31D9">
      <w:pPr>
        <w:pStyle w:val="NormalWeb"/>
        <w:ind w:firstLine="720"/>
        <w:rPr>
          <w:lang w:val="es-ES"/>
        </w:rPr>
      </w:pPr>
      <w:r w:rsidRPr="009257E7">
        <w:rPr>
          <w:lang w:val="es-ES"/>
        </w:rPr>
        <w:t>Estos niveles —y escenarios de práctica— claramente se superponen y, según el contexto, pueden ser más o menos viables o útiles para determinados grupos y abogades. Los objetivos del segundo y del tercer nivel pueden concebirse de manera diferenciada, pero en la práctica están interrelacionados: construir poder permite transformar la cultura, y transformar la cultura construye poder. Como modelo, estas dimensiones —o escenarios— ofrecen una lista práctica de referencia para aplicar en contextos diversos, basada tanto en la experiencia histórica como en la experiencia actual.</w:t>
      </w:r>
    </w:p>
    <w:p w14:paraId="10D5FD53" w14:textId="1CF1195F" w:rsidR="00CE31D9" w:rsidRPr="009257E7" w:rsidRDefault="00CE31D9" w:rsidP="00CE31D9">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 xml:space="preserve">Lucie White presenta una visión convincente de la abogacía orientada a fomentar y apoyar la oposición comunitaria frente a las prácticas severas de desposesión, justificadas jurídicamente, en Sudáfrica bajo el régimen del apartheid. White relata la historia de una abogacía basada en la comunidad en un contexto particular: un trabajo realizado entre 1982 y 1985 en un pequeño pueblo agrícola sudafricano, en respuesta a un desalojo masivo y al desplazamiento de un grupo. El trabajo incluyó recopilar y analizar información de fondo sobre las personas, el problema, la historia y las leyes. Integrantes de la comunidad, une organizadore y abogades trabajaron conjuntamente para enfrentar un problema social intimidante: </w:t>
      </w:r>
    </w:p>
    <w:p w14:paraId="7C640B93" w14:textId="77777777" w:rsidR="00CE31D9" w:rsidRPr="009257E7" w:rsidRDefault="00CE31D9" w:rsidP="00CE31D9">
      <w:pPr>
        <w:spacing w:before="100" w:beforeAutospacing="1" w:after="100" w:afterAutospacing="1" w:line="240" w:lineRule="auto"/>
        <w:ind w:left="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[L]a historia de [la resistencia del pueblo agrícola al desplazamiento forzado] [...] imagina una práctica de abogacía en la que les participantes —clientes y abogades, integrantes del grupo y personas externas— se examinan a sí mismes, sus relaciones, su adversario, su cultura y sus instituciones, con miras a un proceso multidimensional de emancipación.</w:t>
      </w:r>
    </w:p>
    <w:p w14:paraId="251D0FF9" w14:textId="60375C35" w:rsidR="00CE31D9" w:rsidRPr="009257E7" w:rsidRDefault="00CE31D9" w:rsidP="00CE31D9">
      <w:pPr>
        <w:spacing w:before="100" w:beforeAutospacing="1" w:after="100" w:afterAutospacing="1" w:line="240" w:lineRule="auto"/>
        <w:ind w:left="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Esta práctica se centra en una crítica incesante de los intereses, los valores y las formas de ser que les participantes —tanto clientes como abogades— afirman defender. Cada momento de conflicto con el adversario se convierte en una ocasión para comprender los procesos persistentes de dominación y las fuentes esquivas del poder. Una práctica de este tipo debe buscar orientación en las propias conversaciones de les participantes —sus deliberaciones compartidas sobre lo que han vivido y sobre cómo podrían actuar ahora en conjunto—, en lugar de hacerlo en códigos o reglas. Estas conversaciones inevitablemente estarán arraigadas en conocimientos heredados, en las normas que estructuran el propio lenguaje en el que hablamos. Sin embargo, al mismo tiempo, y quizás de manera paradójica, la visión del grupo no debe quedar limitada por esa historia.</w:t>
      </w:r>
    </w:p>
    <w:p w14:paraId="66FA89D0" w14:textId="77777777" w:rsidR="00CE31D9" w:rsidRPr="009257E7" w:rsidRDefault="00CE31D9" w:rsidP="00CE31D9">
      <w:pPr>
        <w:spacing w:before="100" w:beforeAutospacing="1" w:after="100" w:afterAutospacing="1" w:line="240" w:lineRule="auto"/>
        <w:ind w:left="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 xml:space="preserve">Una práctica de este tipo impone exigencias enormes a quienes participan en ella. Tanto le abogade como le cliente deben aceptar, e incluso invitar, cuestionamientos repetidos por parte del otre; ya no corresponde deferencia automática ni a las supuestas destrezas de le abogade ni a los deseos expresados por </w:t>
      </w:r>
      <w:proofErr w:type="spellStart"/>
      <w:r w:rsidRPr="009257E7">
        <w:rPr>
          <w:rFonts w:ascii="Times New Roman" w:eastAsia="Times New Roman" w:hAnsi="Times New Roman" w:cs="Times New Roman"/>
          <w:kern w:val="0"/>
          <w:lang w:val="es-ES"/>
          <w14:ligatures w14:val="none"/>
        </w:rPr>
        <w:t>le</w:t>
      </w:r>
      <w:proofErr w:type="spellEnd"/>
      <w:r w:rsidRPr="009257E7">
        <w:rPr>
          <w:rFonts w:ascii="Times New Roman" w:eastAsia="Times New Roman" w:hAnsi="Times New Roman" w:cs="Times New Roman"/>
          <w:kern w:val="0"/>
          <w:lang w:val="es-ES"/>
          <w14:ligatures w14:val="none"/>
        </w:rPr>
        <w:t xml:space="preserve"> cliente. Aún más problemático, sin embargo, es el riesgo moral que acompaña esta práctica. El proceso exige simultáneamente una acción comprometida e insiste en que no puede existir una base externa y segura para las decisiones que, como consecuencia, deben tomarse.</w:t>
      </w:r>
    </w:p>
    <w:p w14:paraId="3485DFE8" w14:textId="04449ADD" w:rsidR="00CE31D9" w:rsidRPr="009257E7" w:rsidRDefault="00CE31D9" w:rsidP="00CE31D9">
      <w:pPr>
        <w:spacing w:before="100" w:beforeAutospacing="1" w:after="100" w:afterAutospacing="1" w:line="240" w:lineRule="auto"/>
        <w:ind w:left="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lastRenderedPageBreak/>
        <w:t>… Quizás el mayor desafío, dadas las mitologías particulares de nuestra cultura, sea aceptar que nuestras decisiones están inevitablemente situadas y ambiguas, y que nuestra teoría más poderosa, al final, puede ser nuestra práctica de deliberar conjuntamente sobre nuestra experiencia y nuestra acción</w:t>
      </w:r>
      <w:r w:rsidRPr="009257E7">
        <w:rPr>
          <w:rStyle w:val="FootnoteReference"/>
          <w:rFonts w:ascii="Times New Roman" w:eastAsia="Times New Roman" w:hAnsi="Times New Roman" w:cs="Times New Roman"/>
          <w:kern w:val="0"/>
          <w:lang w:val="es-ES"/>
          <w14:ligatures w14:val="none"/>
        </w:rPr>
        <w:footnoteReference w:id="223"/>
      </w:r>
      <w:r w:rsidRPr="009257E7">
        <w:rPr>
          <w:rFonts w:ascii="Times New Roman" w:eastAsia="Times New Roman" w:hAnsi="Times New Roman" w:cs="Times New Roman"/>
          <w:kern w:val="0"/>
          <w:lang w:val="es-ES"/>
          <w14:ligatures w14:val="none"/>
        </w:rPr>
        <w:t>.</w:t>
      </w:r>
    </w:p>
    <w:p w14:paraId="2322BF20" w14:textId="79A20B65" w:rsidR="00912FA9" w:rsidRPr="009257E7" w:rsidRDefault="00912FA9" w:rsidP="00912FA9">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 xml:space="preserve">White demuestra cómo organizadores, abogades y activistas actúan en cada una de las tres dimensiones de la lucha, o a través de los tres escenarios de práctica que ella define. Al igual que </w:t>
      </w:r>
      <w:proofErr w:type="spellStart"/>
      <w:r w:rsidRPr="009257E7">
        <w:rPr>
          <w:rFonts w:ascii="Times New Roman" w:eastAsia="Times New Roman" w:hAnsi="Times New Roman" w:cs="Times New Roman"/>
          <w:kern w:val="0"/>
          <w:lang w:val="es-ES"/>
          <w14:ligatures w14:val="none"/>
        </w:rPr>
        <w:t>Calmore</w:t>
      </w:r>
      <w:proofErr w:type="spellEnd"/>
      <w:r w:rsidRPr="009257E7">
        <w:rPr>
          <w:rFonts w:ascii="Times New Roman" w:eastAsia="Times New Roman" w:hAnsi="Times New Roman" w:cs="Times New Roman"/>
          <w:kern w:val="0"/>
          <w:lang w:val="es-ES"/>
          <w14:ligatures w14:val="none"/>
        </w:rPr>
        <w:t xml:space="preserve">, White explica el contexto sistémico de manera compleja, siguiendo las identidades, los grupos, los intereses y el poder en lugares específicos. Muestra cómo las comprensiones críticas desde abajo de los problemas, la abogacía y las soluciones pueden ofrecer un punto de entrada para proyectos de abogacía dentro de un contexto preexistente y, al menos, de un escenario. Obsérvese cómo les abogades y les organizadores trabajan de manera colaborativa con comunidades organizadas a lo largo de los tres niveles del progreso transformador. Esta atención a los contextos, los escenarios y los niveles subraya la importancia de tácticas y estrategias que dependen tanto de la conciencia colectiva como de la capacidad organizativa. Tanto </w:t>
      </w:r>
      <w:proofErr w:type="spellStart"/>
      <w:r w:rsidRPr="009257E7">
        <w:rPr>
          <w:rFonts w:ascii="Times New Roman" w:eastAsia="Times New Roman" w:hAnsi="Times New Roman" w:cs="Times New Roman"/>
          <w:kern w:val="0"/>
          <w:lang w:val="es-ES"/>
          <w14:ligatures w14:val="none"/>
        </w:rPr>
        <w:t>Calmore</w:t>
      </w:r>
      <w:proofErr w:type="spellEnd"/>
      <w:r w:rsidRPr="009257E7">
        <w:rPr>
          <w:rFonts w:ascii="Times New Roman" w:eastAsia="Times New Roman" w:hAnsi="Times New Roman" w:cs="Times New Roman"/>
          <w:kern w:val="0"/>
          <w:lang w:val="es-ES"/>
          <w14:ligatures w14:val="none"/>
        </w:rPr>
        <w:t xml:space="preserve"> como White concluyen que les abogades deben vincularse y colaborar con personas y grupos locales: para adelantarse a las fallas por diseño del sistema, les abogades construyen acciones y soluciones efectivas de tres niveles para un contexto y un escenario determinados.</w:t>
      </w:r>
    </w:p>
    <w:p w14:paraId="070AF0A4" w14:textId="6FE1E310" w:rsidR="00912FA9" w:rsidRPr="009257E7" w:rsidRDefault="00912FA9" w:rsidP="00912FA9">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Para ello, les abogades deben reconocer además que los contextos y los escenarios son dinámicos: están siempre en transformación, idealmente en respuesta a una abogacía colectiva y organizada. Esto también es cierto respecto del trabajo sobre el que escribió White. Aunque el apartheid jurídico formal en Sudáfrica fue abolido en la década de 1990, nunca se alcanzó la igualdad económica y, en particular, la equidad en salud. Más bien, como describió una persona negra residente al referirse a la ausencia de avances materiales desde la época del apartheid hasta el presente: “He pasado de vivir en una choza a vivir en otra choza”</w:t>
      </w:r>
      <w:r w:rsidRPr="009257E7">
        <w:rPr>
          <w:rStyle w:val="FootnoteReference"/>
          <w:rFonts w:ascii="Times New Roman" w:eastAsia="Times New Roman" w:hAnsi="Times New Roman" w:cs="Times New Roman"/>
          <w:kern w:val="0"/>
          <w:lang w:val="es-ES"/>
          <w14:ligatures w14:val="none"/>
        </w:rPr>
        <w:footnoteReference w:id="224"/>
      </w:r>
      <w:r w:rsidRPr="009257E7">
        <w:rPr>
          <w:rFonts w:ascii="Times New Roman" w:eastAsia="Times New Roman" w:hAnsi="Times New Roman" w:cs="Times New Roman"/>
          <w:kern w:val="0"/>
          <w:lang w:val="es-ES"/>
          <w14:ligatures w14:val="none"/>
        </w:rPr>
        <w:t>.</w:t>
      </w:r>
    </w:p>
    <w:p w14:paraId="3329878A" w14:textId="64DD6150" w:rsidR="00912FA9" w:rsidRPr="009257E7" w:rsidRDefault="00912FA9" w:rsidP="00912FA9">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Sudáfrica sufre “la epidemia de SIDA más grande del mundo: el 20 por ciento de todas las personas que viven con VIH se encuentran en Sudáfrica, y el 20 por ciento de las nuevas infecciones por VIH también ocurren allí”</w:t>
      </w:r>
      <w:r w:rsidRPr="009257E7">
        <w:rPr>
          <w:rStyle w:val="FootnoteReference"/>
          <w:rFonts w:ascii="Times New Roman" w:eastAsia="Times New Roman" w:hAnsi="Times New Roman" w:cs="Times New Roman"/>
          <w:kern w:val="0"/>
          <w:lang w:val="es-ES"/>
          <w14:ligatures w14:val="none"/>
        </w:rPr>
        <w:footnoteReference w:id="225"/>
      </w:r>
      <w:r w:rsidRPr="009257E7">
        <w:rPr>
          <w:rFonts w:ascii="Times New Roman" w:eastAsia="Times New Roman" w:hAnsi="Times New Roman" w:cs="Times New Roman"/>
          <w:kern w:val="0"/>
          <w:lang w:val="es-ES"/>
          <w14:ligatures w14:val="none"/>
        </w:rPr>
        <w:t>. Este es un legado tanto del sistema de castas raciales afianzado mediante el apartheid como de la imposición, después del apartheid, de “reformas” neoliberales por parte de las organizaciones internacionales, como el Fondo Monetario Internacional, que han limitado la redistribución de recursos y las reformas sistémicas</w:t>
      </w:r>
      <w:r w:rsidRPr="009257E7">
        <w:rPr>
          <w:rStyle w:val="FootnoteReference"/>
          <w:rFonts w:ascii="Times New Roman" w:eastAsia="Times New Roman" w:hAnsi="Times New Roman" w:cs="Times New Roman"/>
          <w:kern w:val="0"/>
          <w:lang w:val="es-ES"/>
          <w14:ligatures w14:val="none"/>
        </w:rPr>
        <w:footnoteReference w:id="226"/>
      </w:r>
      <w:r w:rsidRPr="009257E7">
        <w:rPr>
          <w:rFonts w:ascii="Times New Roman" w:eastAsia="Times New Roman" w:hAnsi="Times New Roman" w:cs="Times New Roman"/>
          <w:kern w:val="0"/>
          <w:lang w:val="es-ES"/>
          <w14:ligatures w14:val="none"/>
        </w:rPr>
        <w:t>. Este legado plantea interrogantes sobre la preservación y la transformación señaladas en el capítulo 1.7.</w:t>
      </w:r>
    </w:p>
    <w:p w14:paraId="5B417812" w14:textId="3788D11F" w:rsidR="00912FA9" w:rsidRPr="009257E7" w:rsidRDefault="00912FA9" w:rsidP="00912FA9">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 xml:space="preserve">Sin embargo, la lucha en tres dimensiones también ha continuado, cambiado y crecido. Hassan Ahmad, abogado en ejercicio </w:t>
      </w:r>
      <w:r w:rsidR="009511B4" w:rsidRPr="009257E7">
        <w:rPr>
          <w:rFonts w:ascii="Times New Roman" w:eastAsia="Times New Roman" w:hAnsi="Times New Roman" w:cs="Times New Roman"/>
          <w:kern w:val="0"/>
          <w:lang w:val="es-ES"/>
          <w14:ligatures w14:val="none"/>
        </w:rPr>
        <w:t>en</w:t>
      </w:r>
      <w:r w:rsidRPr="009257E7">
        <w:rPr>
          <w:rFonts w:ascii="Times New Roman" w:eastAsia="Times New Roman" w:hAnsi="Times New Roman" w:cs="Times New Roman"/>
          <w:kern w:val="0"/>
          <w:lang w:val="es-ES"/>
          <w14:ligatures w14:val="none"/>
        </w:rPr>
        <w:t xml:space="preserve"> Canadá, pasó un verano en el municipio de </w:t>
      </w:r>
      <w:proofErr w:type="spellStart"/>
      <w:r w:rsidRPr="009257E7">
        <w:rPr>
          <w:rFonts w:ascii="Times New Roman" w:eastAsia="Times New Roman" w:hAnsi="Times New Roman" w:cs="Times New Roman"/>
          <w:kern w:val="0"/>
          <w:lang w:val="es-ES"/>
          <w14:ligatures w14:val="none"/>
        </w:rPr>
        <w:t>Khayelitsha</w:t>
      </w:r>
      <w:proofErr w:type="spellEnd"/>
      <w:r w:rsidRPr="009257E7">
        <w:rPr>
          <w:rFonts w:ascii="Times New Roman" w:eastAsia="Times New Roman" w:hAnsi="Times New Roman" w:cs="Times New Roman"/>
          <w:kern w:val="0"/>
          <w:lang w:val="es-ES"/>
          <w14:ligatures w14:val="none"/>
        </w:rPr>
        <w:t xml:space="preserve">, en Ciudad del Cabo, Sudáfrica, asistiendo a personas discriminadas por su condición relacionada </w:t>
      </w:r>
      <w:r w:rsidRPr="009257E7">
        <w:rPr>
          <w:rFonts w:ascii="Times New Roman" w:eastAsia="Times New Roman" w:hAnsi="Times New Roman" w:cs="Times New Roman"/>
          <w:kern w:val="0"/>
          <w:lang w:val="es-ES"/>
          <w14:ligatures w14:val="none"/>
        </w:rPr>
        <w:lastRenderedPageBreak/>
        <w:t xml:space="preserve">con el VIH/SIDA. Trabajó con la </w:t>
      </w:r>
      <w:proofErr w:type="spellStart"/>
      <w:r w:rsidRPr="009257E7">
        <w:rPr>
          <w:rFonts w:ascii="Times New Roman" w:eastAsia="Times New Roman" w:hAnsi="Times New Roman" w:cs="Times New Roman"/>
          <w:kern w:val="0"/>
          <w:lang w:val="es-ES"/>
          <w14:ligatures w14:val="none"/>
        </w:rPr>
        <w:t>Treatment</w:t>
      </w:r>
      <w:proofErr w:type="spellEnd"/>
      <w:r w:rsidRPr="009257E7">
        <w:rPr>
          <w:rFonts w:ascii="Times New Roman" w:eastAsia="Times New Roman" w:hAnsi="Times New Roman" w:cs="Times New Roman"/>
          <w:kern w:val="0"/>
          <w:lang w:val="es-ES"/>
          <w14:ligatures w14:val="none"/>
        </w:rPr>
        <w:t xml:space="preserve"> </w:t>
      </w:r>
      <w:proofErr w:type="spellStart"/>
      <w:r w:rsidRPr="009257E7">
        <w:rPr>
          <w:rFonts w:ascii="Times New Roman" w:eastAsia="Times New Roman" w:hAnsi="Times New Roman" w:cs="Times New Roman"/>
          <w:kern w:val="0"/>
          <w:lang w:val="es-ES"/>
          <w14:ligatures w14:val="none"/>
        </w:rPr>
        <w:t>Action</w:t>
      </w:r>
      <w:proofErr w:type="spellEnd"/>
      <w:r w:rsidRPr="009257E7">
        <w:rPr>
          <w:rFonts w:ascii="Times New Roman" w:eastAsia="Times New Roman" w:hAnsi="Times New Roman" w:cs="Times New Roman"/>
          <w:kern w:val="0"/>
          <w:lang w:val="es-ES"/>
          <w14:ligatures w14:val="none"/>
        </w:rPr>
        <w:t xml:space="preserve"> </w:t>
      </w:r>
      <w:proofErr w:type="spellStart"/>
      <w:r w:rsidRPr="009257E7">
        <w:rPr>
          <w:rFonts w:ascii="Times New Roman" w:eastAsia="Times New Roman" w:hAnsi="Times New Roman" w:cs="Times New Roman"/>
          <w:kern w:val="0"/>
          <w:lang w:val="es-ES"/>
          <w14:ligatures w14:val="none"/>
        </w:rPr>
        <w:t>Campaign</w:t>
      </w:r>
      <w:proofErr w:type="spellEnd"/>
      <w:r w:rsidRPr="009257E7">
        <w:rPr>
          <w:rFonts w:ascii="Times New Roman" w:eastAsia="Times New Roman" w:hAnsi="Times New Roman" w:cs="Times New Roman"/>
          <w:kern w:val="0"/>
          <w:lang w:val="es-ES"/>
          <w14:ligatures w14:val="none"/>
        </w:rPr>
        <w:t xml:space="preserve"> (TAC), una organización sin fines de lucro que busca ampliar el acceso equitativo a atención médica de calidad y a estabilidad económica para las personas que viven con VIH/SIDA.</w:t>
      </w:r>
    </w:p>
    <w:p w14:paraId="79A83A8E" w14:textId="133BA76D" w:rsidR="00912FA9" w:rsidRPr="009257E7" w:rsidRDefault="00912FA9" w:rsidP="009511B4">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 xml:space="preserve">TAC ha presentado reclamaciones jurídicas para ayudar a grupos marginados: ha ayudado a mujeres a </w:t>
      </w:r>
      <w:r w:rsidR="009511B4" w:rsidRPr="009257E7">
        <w:rPr>
          <w:rFonts w:ascii="Times New Roman" w:eastAsia="Times New Roman" w:hAnsi="Times New Roman" w:cs="Times New Roman"/>
          <w:kern w:val="0"/>
          <w:lang w:val="es-ES"/>
          <w14:ligatures w14:val="none"/>
        </w:rPr>
        <w:t>acceder</w:t>
      </w:r>
      <w:r w:rsidRPr="009257E7">
        <w:rPr>
          <w:rFonts w:ascii="Times New Roman" w:eastAsia="Times New Roman" w:hAnsi="Times New Roman" w:cs="Times New Roman"/>
          <w:kern w:val="0"/>
          <w:lang w:val="es-ES"/>
          <w14:ligatures w14:val="none"/>
        </w:rPr>
        <w:t xml:space="preserve"> a medicamentos en hospitales para evitar que sus recién nacidos se infecten y ha presionado para que las personas encarceladas con VIH reciban tratamiento. Estas reclamaciones utilizaron procedimientos jurídicos existentes, es decir, “vías establecidas para intentar corregir una injusticia”.</w:t>
      </w:r>
    </w:p>
    <w:p w14:paraId="45DB48A1" w14:textId="019456CD" w:rsidR="00912FA9" w:rsidRPr="009257E7" w:rsidRDefault="00912FA9" w:rsidP="009511B4">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TAC también ayudó a grupos marginados a organizarse para impugnar barreras sistémicas a la participación política y a la posibilidad de disputar decisiones, como “exclusiones jurídicas explícitas, amenazas de represalia, restricciones institucionales”</w:t>
      </w:r>
      <w:r w:rsidR="009511B4" w:rsidRPr="009257E7">
        <w:rPr>
          <w:rFonts w:ascii="Times New Roman" w:eastAsia="Times New Roman" w:hAnsi="Times New Roman" w:cs="Times New Roman"/>
          <w:kern w:val="0"/>
          <w:lang w:val="es-ES"/>
          <w14:ligatures w14:val="none"/>
        </w:rPr>
        <w:t>,</w:t>
      </w:r>
      <w:r w:rsidRPr="009257E7">
        <w:rPr>
          <w:rFonts w:ascii="Times New Roman" w:eastAsia="Times New Roman" w:hAnsi="Times New Roman" w:cs="Times New Roman"/>
          <w:kern w:val="0"/>
          <w:lang w:val="es-ES"/>
          <w14:ligatures w14:val="none"/>
        </w:rPr>
        <w:t xml:space="preserve"> </w:t>
      </w:r>
      <w:r w:rsidR="009511B4" w:rsidRPr="009257E7">
        <w:rPr>
          <w:rFonts w:ascii="Times New Roman" w:eastAsia="Times New Roman" w:hAnsi="Times New Roman" w:cs="Times New Roman"/>
          <w:kern w:val="0"/>
          <w:lang w:val="es-ES"/>
          <w14:ligatures w14:val="none"/>
        </w:rPr>
        <w:t>entre</w:t>
      </w:r>
      <w:r w:rsidRPr="009257E7">
        <w:rPr>
          <w:rFonts w:ascii="Times New Roman" w:eastAsia="Times New Roman" w:hAnsi="Times New Roman" w:cs="Times New Roman"/>
          <w:kern w:val="0"/>
          <w:lang w:val="es-ES"/>
          <w14:ligatures w14:val="none"/>
        </w:rPr>
        <w:t xml:space="preserve"> otras. Por ejemplo, TAC organizó la </w:t>
      </w:r>
      <w:proofErr w:type="spellStart"/>
      <w:r w:rsidRPr="009257E7">
        <w:rPr>
          <w:rFonts w:ascii="Times New Roman" w:eastAsia="Times New Roman" w:hAnsi="Times New Roman" w:cs="Times New Roman"/>
          <w:kern w:val="0"/>
          <w:lang w:val="es-ES"/>
          <w14:ligatures w14:val="none"/>
        </w:rPr>
        <w:t>Defiance</w:t>
      </w:r>
      <w:proofErr w:type="spellEnd"/>
      <w:r w:rsidRPr="009257E7">
        <w:rPr>
          <w:rFonts w:ascii="Times New Roman" w:eastAsia="Times New Roman" w:hAnsi="Times New Roman" w:cs="Times New Roman"/>
          <w:kern w:val="0"/>
          <w:lang w:val="es-ES"/>
          <w14:ligatures w14:val="none"/>
        </w:rPr>
        <w:t xml:space="preserve"> </w:t>
      </w:r>
      <w:proofErr w:type="spellStart"/>
      <w:r w:rsidRPr="009257E7">
        <w:rPr>
          <w:rFonts w:ascii="Times New Roman" w:eastAsia="Times New Roman" w:hAnsi="Times New Roman" w:cs="Times New Roman"/>
          <w:kern w:val="0"/>
          <w:lang w:val="es-ES"/>
          <w14:ligatures w14:val="none"/>
        </w:rPr>
        <w:t>Campaign</w:t>
      </w:r>
      <w:proofErr w:type="spellEnd"/>
      <w:r w:rsidRPr="009257E7">
        <w:rPr>
          <w:rFonts w:ascii="Times New Roman" w:eastAsia="Times New Roman" w:hAnsi="Times New Roman" w:cs="Times New Roman"/>
          <w:kern w:val="0"/>
          <w:lang w:val="es-ES"/>
          <w14:ligatures w14:val="none"/>
        </w:rPr>
        <w:t xml:space="preserve"> para ejercer presión sobre los responsables de la toma de decisiones y poner fin a “la superioridad de la atención médica privada en Sudáfrica, que atrae a más médicos y más fondos públicos para sostener instalaciones avanzadas que atienden a personas adineradas” y que contribuye a “la perpetuación de desigualdades raciales y étnicas que per</w:t>
      </w:r>
      <w:r w:rsidR="009511B4" w:rsidRPr="009257E7">
        <w:rPr>
          <w:rFonts w:ascii="Times New Roman" w:eastAsia="Times New Roman" w:hAnsi="Times New Roman" w:cs="Times New Roman"/>
          <w:kern w:val="0"/>
          <w:lang w:val="es-ES"/>
          <w14:ligatures w14:val="none"/>
        </w:rPr>
        <w:t>dura</w:t>
      </w:r>
      <w:r w:rsidRPr="009257E7">
        <w:rPr>
          <w:rFonts w:ascii="Times New Roman" w:eastAsia="Times New Roman" w:hAnsi="Times New Roman" w:cs="Times New Roman"/>
          <w:kern w:val="0"/>
          <w:lang w:val="es-ES"/>
          <w14:ligatures w14:val="none"/>
        </w:rPr>
        <w:t>n desde la era del apartheid”.</w:t>
      </w:r>
    </w:p>
    <w:p w14:paraId="087E29AD" w14:textId="77777777" w:rsidR="00912FA9" w:rsidRPr="009257E7" w:rsidRDefault="00912FA9" w:rsidP="009511B4">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La tercera dimensión de la práctica jurídica surgió porque, según Ahmad, la epidemia de VIH, inmediatamente después del fin del apartheid, “dejó psicológicamente derrotada y apática a la mayoría pobre que depende del sistema público [de atención médica] respecto de su posición frente al sistema privado, utilizado principalmente por la minoría blanca durante y después del apartheid”.</w:t>
      </w:r>
    </w:p>
    <w:p w14:paraId="6B117583" w14:textId="020469EF" w:rsidR="00912FA9" w:rsidRPr="009257E7" w:rsidRDefault="00912FA9" w:rsidP="009511B4">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 xml:space="preserve">TAC creó espacios de discusión y programas educativos “a nivel de base sobre los derechos jurídicos de la ciudadanía y sobre métodos de movilización para producir cambio social, [lo que] ha generado un proceso de reflexión, especialmente dentro de los municipios rurales”. Además, TAC creó un equipo de personas voluntarias del </w:t>
      </w:r>
      <w:proofErr w:type="spellStart"/>
      <w:r w:rsidRPr="009257E7">
        <w:rPr>
          <w:rFonts w:ascii="Times New Roman" w:eastAsia="Times New Roman" w:hAnsi="Times New Roman" w:cs="Times New Roman"/>
          <w:kern w:val="0"/>
          <w:lang w:val="es-ES"/>
          <w14:ligatures w14:val="none"/>
        </w:rPr>
        <w:t>Literacy</w:t>
      </w:r>
      <w:proofErr w:type="spellEnd"/>
      <w:r w:rsidRPr="009257E7">
        <w:rPr>
          <w:rFonts w:ascii="Times New Roman" w:eastAsia="Times New Roman" w:hAnsi="Times New Roman" w:cs="Times New Roman"/>
          <w:kern w:val="0"/>
          <w:lang w:val="es-ES"/>
          <w14:ligatures w14:val="none"/>
        </w:rPr>
        <w:t xml:space="preserve"> and </w:t>
      </w:r>
      <w:proofErr w:type="spellStart"/>
      <w:r w:rsidRPr="009257E7">
        <w:rPr>
          <w:rFonts w:ascii="Times New Roman" w:eastAsia="Times New Roman" w:hAnsi="Times New Roman" w:cs="Times New Roman"/>
          <w:kern w:val="0"/>
          <w:lang w:val="es-ES"/>
          <w14:ligatures w14:val="none"/>
        </w:rPr>
        <w:t>Treatment</w:t>
      </w:r>
      <w:proofErr w:type="spellEnd"/>
      <w:r w:rsidRPr="009257E7">
        <w:rPr>
          <w:rFonts w:ascii="Times New Roman" w:eastAsia="Times New Roman" w:hAnsi="Times New Roman" w:cs="Times New Roman"/>
          <w:kern w:val="0"/>
          <w:lang w:val="es-ES"/>
          <w14:ligatures w14:val="none"/>
        </w:rPr>
        <w:t xml:space="preserve"> </w:t>
      </w:r>
      <w:proofErr w:type="spellStart"/>
      <w:r w:rsidRPr="009257E7">
        <w:rPr>
          <w:rFonts w:ascii="Times New Roman" w:eastAsia="Times New Roman" w:hAnsi="Times New Roman" w:cs="Times New Roman"/>
          <w:kern w:val="0"/>
          <w:lang w:val="es-ES"/>
          <w14:ligatures w14:val="none"/>
        </w:rPr>
        <w:t>Program</w:t>
      </w:r>
      <w:proofErr w:type="spellEnd"/>
      <w:r w:rsidRPr="009257E7">
        <w:rPr>
          <w:rFonts w:ascii="Times New Roman" w:eastAsia="Times New Roman" w:hAnsi="Times New Roman" w:cs="Times New Roman"/>
          <w:kern w:val="0"/>
          <w:lang w:val="es-ES"/>
          <w14:ligatures w14:val="none"/>
        </w:rPr>
        <w:t xml:space="preserve">, todas residentes locales de </w:t>
      </w:r>
      <w:proofErr w:type="spellStart"/>
      <w:r w:rsidRPr="009257E7">
        <w:rPr>
          <w:rFonts w:ascii="Times New Roman" w:eastAsia="Times New Roman" w:hAnsi="Times New Roman" w:cs="Times New Roman"/>
          <w:kern w:val="0"/>
          <w:lang w:val="es-ES"/>
          <w14:ligatures w14:val="none"/>
        </w:rPr>
        <w:t>Khayelitsha</w:t>
      </w:r>
      <w:proofErr w:type="spellEnd"/>
      <w:r w:rsidRPr="009257E7">
        <w:rPr>
          <w:rFonts w:ascii="Times New Roman" w:eastAsia="Times New Roman" w:hAnsi="Times New Roman" w:cs="Times New Roman"/>
          <w:kern w:val="0"/>
          <w:lang w:val="es-ES"/>
          <w14:ligatures w14:val="none"/>
        </w:rPr>
        <w:t xml:space="preserve">, que dirigen conversaciones y talleres sobre prácticas sexuales seguras y otros temas: “La estrategia de base de TAC ha empoderado a sus personas voluntarias para asumir su trabajo con un sentido de responsabilidad y pertenencia. [...] El enfoque de TAC, que permite que las comunidades elaboren soluciones por sí mismas [...], </w:t>
      </w:r>
      <w:r w:rsidR="009511B4" w:rsidRPr="009257E7">
        <w:rPr>
          <w:rFonts w:ascii="Times New Roman" w:eastAsia="Times New Roman" w:hAnsi="Times New Roman" w:cs="Times New Roman"/>
          <w:kern w:val="0"/>
          <w:lang w:val="es-ES"/>
          <w14:ligatures w14:val="none"/>
        </w:rPr>
        <w:t>promueve</w:t>
      </w:r>
      <w:r w:rsidRPr="009257E7">
        <w:rPr>
          <w:rFonts w:ascii="Times New Roman" w:eastAsia="Times New Roman" w:hAnsi="Times New Roman" w:cs="Times New Roman"/>
          <w:kern w:val="0"/>
          <w:lang w:val="es-ES"/>
          <w14:ligatures w14:val="none"/>
        </w:rPr>
        <w:t xml:space="preserve"> un progreso social sostenible que ya se manifiesta en una mayor movilización, confianza, iniciativa empresarial y niveles de vida más altos”.</w:t>
      </w:r>
    </w:p>
    <w:p w14:paraId="09E83B31" w14:textId="1ABD7DF2" w:rsidR="00912FA9" w:rsidRPr="009257E7" w:rsidRDefault="00912FA9" w:rsidP="009511B4">
      <w:pPr>
        <w:spacing w:before="100" w:beforeAutospacing="1" w:after="100" w:afterAutospacing="1" w:line="240" w:lineRule="auto"/>
        <w:ind w:firstLine="720"/>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t xml:space="preserve">Más recientemente, TAC ha ampliado este trabajo mediante la creación de “Ritshidze, un sistema de monitoreo dirigido por la comunidad y desarrollado por organizaciones que representan a personas que viven con VIH”, entre ellas TAC, Positive </w:t>
      </w:r>
      <w:proofErr w:type="spellStart"/>
      <w:r w:rsidRPr="009257E7">
        <w:rPr>
          <w:rFonts w:ascii="Times New Roman" w:eastAsia="Times New Roman" w:hAnsi="Times New Roman" w:cs="Times New Roman"/>
          <w:kern w:val="0"/>
          <w:lang w:val="es-ES"/>
          <w14:ligatures w14:val="none"/>
        </w:rPr>
        <w:t>Women’s</w:t>
      </w:r>
      <w:proofErr w:type="spellEnd"/>
      <w:r w:rsidRPr="009257E7">
        <w:rPr>
          <w:rFonts w:ascii="Times New Roman" w:eastAsia="Times New Roman" w:hAnsi="Times New Roman" w:cs="Times New Roman"/>
          <w:kern w:val="0"/>
          <w:lang w:val="es-ES"/>
          <w14:ligatures w14:val="none"/>
        </w:rPr>
        <w:t xml:space="preserve"> Network y otras</w:t>
      </w:r>
      <w:r w:rsidR="009511B4" w:rsidRPr="009257E7">
        <w:rPr>
          <w:rStyle w:val="FootnoteReference"/>
          <w:rFonts w:ascii="Times New Roman" w:eastAsia="Times New Roman" w:hAnsi="Times New Roman" w:cs="Times New Roman"/>
          <w:kern w:val="0"/>
          <w:lang w:val="es-ES"/>
          <w14:ligatures w14:val="none"/>
        </w:rPr>
        <w:footnoteReference w:id="227"/>
      </w:r>
      <w:r w:rsidRPr="009257E7">
        <w:rPr>
          <w:rFonts w:ascii="Times New Roman" w:eastAsia="Times New Roman" w:hAnsi="Times New Roman" w:cs="Times New Roman"/>
          <w:kern w:val="0"/>
          <w:lang w:val="es-ES"/>
          <w14:ligatures w14:val="none"/>
        </w:rPr>
        <w:t>.</w:t>
      </w:r>
      <w:r w:rsidR="009511B4" w:rsidRPr="009257E7">
        <w:rPr>
          <w:rFonts w:ascii="Times New Roman" w:eastAsia="Times New Roman" w:hAnsi="Times New Roman" w:cs="Times New Roman"/>
          <w:kern w:val="0"/>
          <w:lang w:val="es-ES"/>
          <w14:ligatures w14:val="none"/>
        </w:rPr>
        <w:t xml:space="preserve"> </w:t>
      </w:r>
      <w:r w:rsidRPr="009257E7">
        <w:rPr>
          <w:rFonts w:ascii="Times New Roman" w:eastAsia="Times New Roman" w:hAnsi="Times New Roman" w:cs="Times New Roman"/>
          <w:kern w:val="0"/>
          <w:lang w:val="es-ES"/>
          <w14:ligatures w14:val="none"/>
        </w:rPr>
        <w:t>Este tipo de trabajo, a la vez cotidiano y audaz, continúa, como siempre lo ha hecho, de generación en generación. Es el pan de cada día de la abogacía organizada desde abajo. La abogacía sistémica incorpora este primer nivel y construye sobre él.</w:t>
      </w:r>
    </w:p>
    <w:p w14:paraId="6856D232" w14:textId="2154D197" w:rsidR="009511B4" w:rsidRPr="009257E7" w:rsidRDefault="00041F56" w:rsidP="00041F56">
      <w:pPr>
        <w:pStyle w:val="NormalWeb"/>
        <w:rPr>
          <w:b/>
          <w:bCs/>
          <w:lang w:val="es-ES"/>
        </w:rPr>
      </w:pPr>
      <w:r w:rsidRPr="009257E7">
        <w:rPr>
          <w:b/>
          <w:bCs/>
          <w:lang w:val="es-ES"/>
        </w:rPr>
        <w:lastRenderedPageBreak/>
        <w:t>6.3</w:t>
      </w:r>
      <w:r w:rsidRPr="009257E7">
        <w:rPr>
          <w:lang w:val="es-ES"/>
        </w:rPr>
        <w:t xml:space="preserve"> Los objetivos de segundo nivel combinan la persuasión y la presión para generar y ejercer poder</w:t>
      </w:r>
    </w:p>
    <w:p w14:paraId="54381028" w14:textId="6AA41CEE" w:rsidR="009511B4" w:rsidRPr="009257E7" w:rsidRDefault="009511B4" w:rsidP="009511B4">
      <w:pPr>
        <w:pStyle w:val="NormalWeb"/>
        <w:ind w:firstLine="720"/>
        <w:rPr>
          <w:lang w:val="es-ES"/>
        </w:rPr>
      </w:pPr>
      <w:r w:rsidRPr="009257E7">
        <w:rPr>
          <w:lang w:val="es-ES"/>
        </w:rPr>
        <w:t>Hemos definido el poder, para los propósitos de este libro, sencillamente como la capacidad de obtener los resultados deseados. Los grupos organizados buscan construir ese tipo de poder: el poder de persuadir o presionar a quienes toman decisiones para que adopten las decisiones deseadas. El poder grupal se construye mediante el desarrollo de capacidades y cualidades internas, medido en términos de crecimiento interno a través del número de integrantes, los recursos financieros y de otro tipo, y otros avances; y también en términos de capacidades, tanto individuales como colectivas, medidas mediante destrezas para realizar labores de alcance comunitario, hablar con la prensa, gestionar bancos telefónicos o llevar a cabo acciones directas a nivel individual. El poder o la fortaleza grupal también puede medirse de manera más general en términos de las capacidades del grupo para organizar, investigar, trabajar en asuntos jurídicos o de política pública, educar, comunicar, recaudar fondos y movilizar. Las medidas de crecimiento y desarrollo de capacidades ayudan a les abogades a evaluar las fortalezas organizativas que pueden desplegarse para influir en responsables externos de la toma de decisiones en contextos específicos.</w:t>
      </w:r>
    </w:p>
    <w:p w14:paraId="05D0A347" w14:textId="7F106F70" w:rsidR="009511B4" w:rsidRPr="009257E7" w:rsidRDefault="009511B4" w:rsidP="009511B4">
      <w:pPr>
        <w:pStyle w:val="NormalWeb"/>
        <w:ind w:firstLine="720"/>
        <w:rPr>
          <w:lang w:val="es-ES"/>
        </w:rPr>
      </w:pPr>
      <w:r w:rsidRPr="009257E7">
        <w:rPr>
          <w:lang w:val="es-ES"/>
        </w:rPr>
        <w:t xml:space="preserve">Los tipos de crecimiento y de capacidades que fortalecen a una organización variarán según el tipo de poder que busque el grupo en un momento y lugar determinados, es decir, según el contexto y el escenario. Les abogades y les activistas analizan qué tendrían que hacer realmente les integrantes del grupo o de la coalición para presionar a los responsables de la toma de decisiones pertenecientes a las élites y lograr el cambio deseado, sin depender únicamente de persuadir a instituciones de élite para que estén de acuerdo. Este poder fundamental —o poder social— es el que el grupo necesita construir y ejercer. </w:t>
      </w:r>
    </w:p>
    <w:p w14:paraId="30149EFB" w14:textId="4A499AE7" w:rsidR="009511B4" w:rsidRPr="009257E7" w:rsidRDefault="009511B4" w:rsidP="009511B4">
      <w:pPr>
        <w:pStyle w:val="NormalWeb"/>
        <w:ind w:firstLine="720"/>
        <w:rPr>
          <w:lang w:val="es-ES"/>
        </w:rPr>
      </w:pPr>
      <w:r w:rsidRPr="009257E7">
        <w:rPr>
          <w:lang w:val="es-ES"/>
        </w:rPr>
        <w:t xml:space="preserve">Por ejemplo, una organización de inquilinos puede contar con </w:t>
      </w:r>
      <w:proofErr w:type="spellStart"/>
      <w:r w:rsidRPr="009257E7">
        <w:rPr>
          <w:lang w:val="es-ES"/>
        </w:rPr>
        <w:t>une</w:t>
      </w:r>
      <w:proofErr w:type="spellEnd"/>
      <w:r w:rsidRPr="009257E7">
        <w:rPr>
          <w:lang w:val="es-ES"/>
        </w:rPr>
        <w:t xml:space="preserve"> excelente abogade que, en ocasiones, logre convencer a un juez de obligar a un arrendador a mejorar las condiciones. La capacidad de identificar integrantes dispuestos y capaces de presentar reclamaciones, y de desplegar capacidad jurídica para ganarlas al menos algunas veces, demuestra cierta fortaleza organizativa relevante para un grupo de inquilinos que busca modificar la distribución del poder dentro de la relación entre arrendador e inquilino. Pero ese tipo de victoria depende de persuadir a une responsable de la toma de decisiones perteneciente a la élite: un juez. En cambio, les inquilines organizades que retienen el pago de la renta mediante una acción colectiva ejercen una forma de poder más directa, potencialmente más contundente y más inmediatamente controlada por elles mismes. Este es un poder que presiona o coacciona a quienes toman decisiones sin necesidad del apoyo de ninguna institución de élite, como un tribunal o un funcionario electo. Esta acción colectiva constituye un poder basado en la presión, ejercido directamente por les integrantes. Los grupos organizados siempre buscan desarrollar este tipo de poder autónomo.</w:t>
      </w:r>
    </w:p>
    <w:p w14:paraId="4EBF2DEA" w14:textId="77777777" w:rsidR="009511B4" w:rsidRPr="009257E7" w:rsidRDefault="009511B4" w:rsidP="009511B4">
      <w:pPr>
        <w:pStyle w:val="NormalWeb"/>
        <w:ind w:firstLine="720"/>
      </w:pPr>
      <w:r w:rsidRPr="009257E7">
        <w:t xml:space="preserve">Por supuesto, ni el objetivo final ni el camino para alcanzarlo dependen únicamente del poder de persuadir ni únicamente del poder de ejercer presión directa. Y muchos grupos nunca alcanzarán el tamaño o las capacidades necesarias para ejercer un poder de presión significativo —una de las razones por las que las coaliciones también son tan importantes—. En gran medida, esto es resultado de las “reglas del juego”, que dificultan que la “gente promedio” construya y ejerza un poder organizado sólido. Para construir, por ejemplo, una organización de inquilinos </w:t>
      </w:r>
      <w:r w:rsidRPr="009257E7">
        <w:lastRenderedPageBreak/>
        <w:t>capaz de ganar una huelga de alquileres, un grupo tendría que superar barreras importantes para formar un sindicato de inquilinos, financiarlo para llevar a cabo acciones que podrían incluir acciones actualmente ilegales, protegerlo frente a represalias dirigidas tanto contra sus integrantes de manera individual como contra la organización de manera colectiva, lograr una membresía y un alcance suficientes para influir en un área significativa, y así sucesivamente. Por ello, en el trabajo orientado a los objetivos del segundo nivel, les abogades deben mantener un análisis claro y realista de lo que significa el poder dentro del contexto, y deben avanzar de manera incremental para fortalecer la organización y desarrollar las capacidades necesarias.</w:t>
      </w:r>
    </w:p>
    <w:p w14:paraId="17515A2E" w14:textId="65A67CB1" w:rsidR="009511B4" w:rsidRPr="009257E7" w:rsidRDefault="009511B4" w:rsidP="009511B4">
      <w:pPr>
        <w:pStyle w:val="NormalWeb"/>
        <w:ind w:firstLine="720"/>
      </w:pPr>
      <w:r w:rsidRPr="009257E7">
        <w:t xml:space="preserve">Al mismo tiempo, les abogades deben resistir la tentación de equiparar la actividad con el poder. Todo poder organizativo se basa en contar con la capacidad necesaria para actuar, pero no toda actividad construye poder, y algunas actividades incluso distraen o debilitan a las organizaciones. </w:t>
      </w:r>
      <w:r w:rsidR="00A91AA6" w:rsidRPr="009257E7">
        <w:t>Les abogades miden su trabajo, desarrollan estrategias colectivas y construyen sus funciones con el propósito de acercar a los grupos de clientes a los tipos de poder impulsados por sus integrantes que resultan necesarios en el contexto</w:t>
      </w:r>
      <w:r w:rsidRPr="009257E7">
        <w:t xml:space="preserve"> para cambiar las condiciones materiales, incluso cuando alcanzar ese poder parezca imposible. </w:t>
      </w:r>
    </w:p>
    <w:p w14:paraId="26FD46F7" w14:textId="77777777" w:rsidR="009511B4" w:rsidRPr="009257E7" w:rsidRDefault="009511B4" w:rsidP="00A91AA6">
      <w:pPr>
        <w:pStyle w:val="NormalWeb"/>
        <w:ind w:firstLine="720"/>
      </w:pPr>
      <w:r w:rsidRPr="009257E7">
        <w:t>Steve Jenkins, profesional de la abogacía por los derechos de les trabajadores con experiencia tanto en grupos comunitarios como en sindicatos, identifica dos formas clave de poder social: el poder de presión, basado en la capacidad de ejercer influencia para modificar decisiones y acciones, y el poder de abogacía, basado en la capacidad de persuadir a instituciones de élite, como los tribunales o los organismos gubernamentales. Jenkins señala que el análisis del poder debe abordar los asuntos que importan dentro del contexto, es decir, aquellos relacionados con la naturaleza de les integrantes del grupo, los problemas que enfrentan, los tipos de soluciones que podrían desear y los responsables de la toma de decisiones a quienes buscan convencer o presionar mediante el trabajo del grupo:</w:t>
      </w:r>
    </w:p>
    <w:p w14:paraId="466E855F" w14:textId="2648789B" w:rsidR="00A91AA6" w:rsidRPr="009257E7" w:rsidRDefault="00A91AA6" w:rsidP="00A91AA6">
      <w:pPr>
        <w:spacing w:before="100" w:beforeAutospacing="1" w:after="100" w:afterAutospacing="1" w:line="240" w:lineRule="auto"/>
        <w:ind w:left="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[L]as luchas sociales están determinadas por las condiciones sociales en las que se desarrollan…</w:t>
      </w:r>
    </w:p>
    <w:p w14:paraId="18FF6136" w14:textId="303A2CBA" w:rsidR="00A91AA6" w:rsidRPr="009257E7" w:rsidRDefault="00A91AA6" w:rsidP="00A91AA6">
      <w:pPr>
        <w:spacing w:before="100" w:beforeAutospacing="1" w:after="100" w:afterAutospacing="1" w:line="240" w:lineRule="auto"/>
        <w:ind w:left="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Las personas oprimidas solo pueden superar las limitaciones impuestas por quienes toman decisiones desde posiciones de élite cuando cuentan con el poder necesario para obligar a las instituciones que las enfrentan a aceptar sus demandas. Me referiré a este tipo de poder como “poder social”. A diferencia de la abogacía, que se basa en la capacidad de un grupo para persuadir a las instituciones de élite a actuar, el poder social debe basarse en alguna capacidad del propio grupo para coaccionar a quien toma las decisiones y lograr los cambios que busca. Por ejemplo, les trabajadores tienen el poder de interrumpir la producción de bienes y/o servicios y afectar las ganancias. El poder social de las personas oprimidas puede [incluir]… el poder de les inquilines para retener el pago de la renta; el poder electoral; y el poder de disrupción mediante disturbios, manifestaciones masivas o desobediencia civil…</w:t>
      </w:r>
    </w:p>
    <w:p w14:paraId="184103FA" w14:textId="2F62141E" w:rsidR="00A91AA6" w:rsidRPr="009257E7" w:rsidRDefault="00A91AA6" w:rsidP="00A91AA6">
      <w:pPr>
        <w:spacing w:before="100" w:beforeAutospacing="1" w:after="100" w:afterAutospacing="1" w:line="240" w:lineRule="auto"/>
        <w:ind w:firstLine="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El poder social no es una cualidad inmutable; es un proceso en desarrollo…</w:t>
      </w:r>
    </w:p>
    <w:p w14:paraId="11423982" w14:textId="2FD9878A" w:rsidR="00A91AA6" w:rsidRPr="009257E7" w:rsidRDefault="00A91AA6" w:rsidP="00A91AA6">
      <w:pPr>
        <w:spacing w:before="100" w:beforeAutospacing="1" w:after="100" w:afterAutospacing="1" w:line="240" w:lineRule="auto"/>
        <w:ind w:left="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 xml:space="preserve">Para crear poder social, deben formularse preguntas como estas: si este grupo de personas estuviera organizado, ¿qué poder tendría frente a las fuerzas que están moldeando sus </w:t>
      </w:r>
      <w:r w:rsidRPr="009257E7">
        <w:rPr>
          <w:rFonts w:ascii="Times New Roman" w:eastAsia="Times New Roman" w:hAnsi="Times New Roman" w:cs="Times New Roman"/>
          <w:kern w:val="0"/>
          <w14:ligatures w14:val="none"/>
        </w:rPr>
        <w:lastRenderedPageBreak/>
        <w:t>vidas? ¿De dónde proviene su poder? ¿Cómo se desarrolla?... Responder estas preguntas exige una comprensión detallada de las condiciones objetivas que operan en un lugar y momento determinados…</w:t>
      </w:r>
    </w:p>
    <w:p w14:paraId="34A4DFBB" w14:textId="7AEEF400" w:rsidR="00A91AA6" w:rsidRPr="009257E7" w:rsidRDefault="00A91AA6" w:rsidP="00A91AA6">
      <w:pPr>
        <w:spacing w:before="100" w:beforeAutospacing="1" w:after="100" w:afterAutospacing="1" w:line="240" w:lineRule="auto"/>
        <w:ind w:left="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Comprender la interacción compleja entre las condiciones objetivas y nuestros propios esfuerzos por transformarlas es clave para transformar tanto nuestras organizaciones como la sociedad en su conjunto.</w:t>
      </w:r>
      <w:r w:rsidRPr="009257E7">
        <w:rPr>
          <w:rStyle w:val="FootnoteReference"/>
          <w:rFonts w:ascii="Times New Roman" w:eastAsia="Times New Roman" w:hAnsi="Times New Roman" w:cs="Times New Roman"/>
          <w:kern w:val="0"/>
          <w14:ligatures w14:val="none"/>
        </w:rPr>
        <w:footnoteReference w:id="228"/>
      </w:r>
    </w:p>
    <w:p w14:paraId="3427E8EB" w14:textId="585B72F7" w:rsidR="00A91AA6" w:rsidRPr="009257E7" w:rsidRDefault="00A91AA6" w:rsidP="00A91AA6">
      <w:pPr>
        <w:spacing w:before="100" w:beforeAutospacing="1" w:after="100" w:afterAutospacing="1" w:line="240" w:lineRule="auto"/>
        <w:ind w:firstLine="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Desde esta perspectiva, la construcción de poder grupal es un proceso en el que organizadores, trabajadores sociales, abogades y otros profesionales actúan de manera sinérgica según el contexto y los escenarios de práctica que este presenta; es decir, como profesionales, en cierta medida intercambiables, que utilizan las herramientas propias de sus oficios tanto para promover el crecimiento interno y desarrollar capacidades como para lograr victorias externas. Planifican y miden sus acciones mediante indicadores de crecimiento y de capacidades que pueden incluir, por ejemplo, aumentar la cantidad de integrantes y líderes, así como sus destrezas; fortalecer la gobernanza y la toma de decisiones sujetas a rendición de cuentas ante los grupos desde abajo; desarrollar capacidades estratégicas para la acción directa, la acción jurídica o la investigación; aumentar o diversificar recursos; y adoptar otras medidas relevantes dentro del contexto. Les abogades, organizadores y activistas deben utilizar de manera colaborativa todas las herramientas de sus respectivos repertorios para construir, monitorear y ejercer el poder grupal desde abajo.</w:t>
      </w:r>
    </w:p>
    <w:p w14:paraId="1FF55C01" w14:textId="6E4DF366" w:rsidR="00A91AA6" w:rsidRPr="009257E7" w:rsidRDefault="00A91AA6" w:rsidP="00A91AA6">
      <w:pPr>
        <w:pStyle w:val="NormalWeb"/>
        <w:ind w:firstLine="720"/>
      </w:pPr>
      <w:r w:rsidRPr="009257E7">
        <w:t>Jenkins describe así el desarrollo del poder social como un “proceso en desarrollo”. También señala que los esfuerzos de abogacía que implican acciones jurídicas complejas, como una acción de clase federal, no estarán dirigidos por completo por les integrantes debido a la experiencia jurídica y las credenciales que requieren. Por tanto, desde una perspectiva estratégica, es probable que estas acciones tengan efectos limitados en algunos objetivos internos de desarrollo de capacidades, como el desarrollo de liderazgo. Sin embargo, como sostiene Jenkins, en determinadas circunstancias —contextos y escenarios— las demandas judiciales pueden ser muy útiles para promover tanto objetivos internos de crecimiento y desarrollo de capacidades como objetivos externos de transformación cultural, ya que pueden generar cobertura mediática que aumente la membresía del grupo, aunque este beneficio debe sopesarse frente a efectos negativos, como reproducir deferencia hacia les abogades y hacia los foros judiciales como vías para el cambio social. ¿Cómo deben evaluar les abogades la utilidad de las acciones jurídicas? Jenkins sugiere que el “criterio fundamental” es el mismo que el de las acciones extrajurídicas: ¿ayudará esta acción a construir poder grupal? Desde este enfoque, por supuesto, deben evaluarse las probabilidades de ganar o perder; pero la probabilidad de ganar nunca es el factor decisivo para une abogade o un grupo de clientes al decidir dónde invertir su tiempo y sus recursos. De hecho, como explica Jenkins, a veces perder el caso puede movilizar y fortalecer más a la membresía del grupo que una victoria que agote los recursos de la organización.</w:t>
      </w:r>
    </w:p>
    <w:p w14:paraId="22D7665C" w14:textId="77777777" w:rsidR="00A91AA6" w:rsidRPr="009257E7" w:rsidRDefault="00A91AA6" w:rsidP="00A91AA6">
      <w:pPr>
        <w:pStyle w:val="NormalWeb"/>
        <w:ind w:firstLine="720"/>
      </w:pPr>
      <w:r w:rsidRPr="009257E7">
        <w:t xml:space="preserve">Jenkins, Calmore y White muestran, al describir contextos y escenarios diferentes, cómo les abogades deben combinar con flexibilidad la persuasión y la presión. Estos ejemplos ponen de manifiesto la diferencia entre las prácticas convencionales de la industria jurídica y una </w:t>
      </w:r>
      <w:r w:rsidRPr="009257E7">
        <w:lastRenderedPageBreak/>
        <w:t>abogacía de tres niveles orientada a contextos y escenarios particulares. Dentro de este cálculo más amplio, el valor de una acción jurídica se evalúa en términos distintos de simplemente determinar si el caso o el contrato concluirá con éxito: ¿crecerá el grupo, desarrollará nuevas capacidades o se fortalecerá de alguna otra manera para asumir y ganar luchas más difíciles? ¿Estarán les integrantes en mejores condiciones para ejercer presión directamente y lograr los resultados deseados? Si no es así, es posible que la acción jurídica no sea seleccionada, por muy meritoria que sea para enfrentar condiciones deplorables. Desde esta perspectiva, el objetivo no es únicamente “ayudar” a víctimas individuales de la opresión —aunque eso siempre tenga valor—, sino también construir una fuerza organizada que proteja el bienestar colectivo.</w:t>
      </w:r>
    </w:p>
    <w:p w14:paraId="12BDA77B" w14:textId="28126685" w:rsidR="00A91AA6" w:rsidRPr="009257E7" w:rsidRDefault="00A91AA6" w:rsidP="00A91AA6">
      <w:pPr>
        <w:spacing w:before="100" w:beforeAutospacing="1" w:after="100" w:afterAutospacing="1" w:line="240" w:lineRule="auto"/>
        <w:ind w:firstLine="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 xml:space="preserve">Por tanto, la toma de decisiones estratégicas no se basa únicamente, ni principalmente, en determinar quién tiene mayor “necesidad”, sino también en identificar dónde pueden invertirse los recursos de la organización para lograr el mayor aumento de poder. Esta perspectiva —según la cual les abogades deben tomar en cuenta la construcción de poder del grupo de clientes— puede resultar especialmente difícil y estresante para quienes han sido formades en el modelo tradicional de ayudar a clientes vulnerables. Desde el punto de vista organizativo, este enfoque en la construcción de poder exige que les proveedores de servicios jurídicos se alejen de la práctica de priorizar la evaluación y la respuesta a las necesidades jurídicas tal como se entienden convencionalmente, por ejemplo, en los contextos tradicionales de acceso a la justicia. Solo si la “necesidad” jurídica se reformula como una “necesidad” continua de poder —para poner fin a los desequilibrios de poder entre las élites y los grupos subordinados— podrán concebirse de manera concreta los objetivos del segundo nivel y actuar sobre ellos con urgencia en cada contexto o escenario. Este es un paso crítico —y una ampliación importante del enfoque— necesario para profundizar en los proyectos de abogacía </w:t>
      </w:r>
      <w:r w:rsidRPr="009257E7">
        <w:rPr>
          <w:rFonts w:ascii="Times New Roman" w:eastAsia="Times New Roman" w:hAnsi="Times New Roman" w:cs="Times New Roman"/>
          <w:i/>
          <w:iCs/>
          <w:kern w:val="0"/>
          <w14:ligatures w14:val="none"/>
        </w:rPr>
        <w:t>sistémica</w:t>
      </w:r>
      <w:r w:rsidRPr="009257E7">
        <w:rPr>
          <w:rFonts w:ascii="Times New Roman" w:eastAsia="Times New Roman" w:hAnsi="Times New Roman" w:cs="Times New Roman"/>
          <w:kern w:val="0"/>
          <w14:ligatures w14:val="none"/>
        </w:rPr>
        <w:t>.</w:t>
      </w:r>
    </w:p>
    <w:p w14:paraId="10CEE37E" w14:textId="377F3938" w:rsidR="00A91AA6" w:rsidRPr="009257E7" w:rsidRDefault="00A91AA6" w:rsidP="00A91AA6">
      <w:pPr>
        <w:spacing w:before="100" w:beforeAutospacing="1" w:after="100" w:afterAutospacing="1" w:line="240" w:lineRule="auto"/>
        <w:ind w:firstLine="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 xml:space="preserve">El movimiento sindical ofrece otro ejemplo útil. Los sindicatos miden su fortaleza de diversas maneras: el número de integrantes que pagan cuotas; el número de representantes sindicales capacitados para realizar tareas como la movilización y la tramitación de reclamaciones; los derechos y </w:t>
      </w:r>
      <w:r w:rsidR="00AC1ADA" w:rsidRPr="009257E7">
        <w:rPr>
          <w:rFonts w:ascii="Times New Roman" w:eastAsia="Times New Roman" w:hAnsi="Times New Roman" w:cs="Times New Roman"/>
          <w:kern w:val="0"/>
          <w14:ligatures w14:val="none"/>
        </w:rPr>
        <w:t xml:space="preserve">los </w:t>
      </w:r>
      <w:r w:rsidRPr="009257E7">
        <w:rPr>
          <w:rFonts w:ascii="Times New Roman" w:eastAsia="Times New Roman" w:hAnsi="Times New Roman" w:cs="Times New Roman"/>
          <w:kern w:val="0"/>
          <w14:ligatures w14:val="none"/>
        </w:rPr>
        <w:t>beneficios obtenidos en los convenios colectivos; el éxito de nuevas iniciativas de organización; entre otros indicadores. Una de las medidas clave es la densidad sindical dentro de una industria o mercado: el porcentaje de trabajadores de una industria o mercado determinado cubierto por una unidad de negociación colectiva. La densidad sindical ha disminuido drásticamente en las últimas décadas: pasó del 20.1 por ciento, o 17.7 millones de trabajadores en empleos de los sectores público y privado de Estados Unidos en 1983, al 10.5 por ciento, o 14.7 millones de trabajadores, en 2018</w:t>
      </w:r>
      <w:r w:rsidR="00AC1ADA" w:rsidRPr="009257E7">
        <w:rPr>
          <w:rStyle w:val="FootnoteReference"/>
          <w:rFonts w:ascii="Times New Roman" w:eastAsia="Times New Roman" w:hAnsi="Times New Roman" w:cs="Times New Roman"/>
          <w:kern w:val="0"/>
          <w14:ligatures w14:val="none"/>
        </w:rPr>
        <w:footnoteReference w:id="229"/>
      </w:r>
      <w:r w:rsidRPr="009257E7">
        <w:rPr>
          <w:rFonts w:ascii="Times New Roman" w:eastAsia="Times New Roman" w:hAnsi="Times New Roman" w:cs="Times New Roman"/>
          <w:kern w:val="0"/>
          <w14:ligatures w14:val="none"/>
        </w:rPr>
        <w:t>. Con una densidad sindical alta, los sindicatos podían amenazar con realizar, o llevar a cabo, acciones laborales —ausencias colectivas por enfermedad, reducción deliberada del ritmo de trabajo, acciones mediante reclamaciones o huelgas— que afectaban de manera inmediata y significativa la producción y, por tanto, generaban presión sobre los empleadores para que atendieran las demandas de les integrantes sindicales relacionadas con soluciones técnicas específicas.</w:t>
      </w:r>
    </w:p>
    <w:p w14:paraId="6BFA0906" w14:textId="6BCBAF32" w:rsidR="00A91AA6" w:rsidRPr="009257E7" w:rsidRDefault="00A91AA6" w:rsidP="00AC1ADA">
      <w:pPr>
        <w:spacing w:before="100" w:beforeAutospacing="1" w:after="100" w:afterAutospacing="1" w:line="240" w:lineRule="auto"/>
        <w:ind w:firstLine="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 xml:space="preserve">Sin embargo, a medida que disminuyó la densidad sindical, también se redujo la capacidad de los sindicatos para obtener soluciones técnicas mediante la amenaza de interrumpir la producción. La pérdida de fortaleza ha reducido la capacidad sindical de ejercer presión, lo que ha dado lugar a diversos análisis y respuestas para enfrentar nuevas realidades. Si la amenaza </w:t>
      </w:r>
      <w:r w:rsidRPr="009257E7">
        <w:rPr>
          <w:rFonts w:ascii="Times New Roman" w:eastAsia="Times New Roman" w:hAnsi="Times New Roman" w:cs="Times New Roman"/>
          <w:kern w:val="0"/>
          <w14:ligatures w14:val="none"/>
        </w:rPr>
        <w:lastRenderedPageBreak/>
        <w:t xml:space="preserve">de una acción coordinada en el lugar de trabajo o la presentación de reclamaciones en centros de trabajo organizados no afecta </w:t>
      </w:r>
      <w:r w:rsidR="00AC1ADA" w:rsidRPr="009257E7">
        <w:rPr>
          <w:rFonts w:ascii="Times New Roman" w:eastAsia="Times New Roman" w:hAnsi="Times New Roman" w:cs="Times New Roman"/>
          <w:kern w:val="0"/>
          <w14:ligatures w14:val="none"/>
        </w:rPr>
        <w:t>de manera significativa</w:t>
      </w:r>
      <w:r w:rsidRPr="009257E7">
        <w:rPr>
          <w:rFonts w:ascii="Times New Roman" w:eastAsia="Times New Roman" w:hAnsi="Times New Roman" w:cs="Times New Roman"/>
          <w:kern w:val="0"/>
          <w14:ligatures w14:val="none"/>
        </w:rPr>
        <w:t xml:space="preserve"> a los empleadores porque el número de participantes </w:t>
      </w:r>
      <w:r w:rsidR="00AC1ADA" w:rsidRPr="009257E7">
        <w:rPr>
          <w:rFonts w:ascii="Times New Roman" w:eastAsia="Times New Roman" w:hAnsi="Times New Roman" w:cs="Times New Roman"/>
          <w:kern w:val="0"/>
          <w14:ligatures w14:val="none"/>
        </w:rPr>
        <w:t>se redujo</w:t>
      </w:r>
      <w:r w:rsidRPr="009257E7">
        <w:rPr>
          <w:rFonts w:ascii="Times New Roman" w:eastAsia="Times New Roman" w:hAnsi="Times New Roman" w:cs="Times New Roman"/>
          <w:kern w:val="0"/>
          <w14:ligatures w14:val="none"/>
        </w:rPr>
        <w:t xml:space="preserve">, </w:t>
      </w:r>
      <w:r w:rsidR="00AC1ADA" w:rsidRPr="009257E7">
        <w:rPr>
          <w:rFonts w:ascii="Times New Roman" w:eastAsia="Times New Roman" w:hAnsi="Times New Roman" w:cs="Times New Roman"/>
          <w:kern w:val="0"/>
          <w14:ligatures w14:val="none"/>
        </w:rPr>
        <w:t>esto</w:t>
      </w:r>
      <w:r w:rsidRPr="009257E7">
        <w:rPr>
          <w:rFonts w:ascii="Times New Roman" w:eastAsia="Times New Roman" w:hAnsi="Times New Roman" w:cs="Times New Roman"/>
          <w:kern w:val="0"/>
          <w14:ligatures w14:val="none"/>
        </w:rPr>
        <w:t xml:space="preserve">s pueden mantener la producción. Los mercados y las industrias </w:t>
      </w:r>
      <w:r w:rsidR="00AC1ADA" w:rsidRPr="009257E7">
        <w:rPr>
          <w:rFonts w:ascii="Times New Roman" w:eastAsia="Times New Roman" w:hAnsi="Times New Roman" w:cs="Times New Roman"/>
          <w:kern w:val="0"/>
          <w14:ligatures w14:val="none"/>
        </w:rPr>
        <w:t>permanecen, en gran medida, sin alteraciones ante estas acciones laborales,</w:t>
      </w:r>
      <w:r w:rsidRPr="009257E7">
        <w:rPr>
          <w:rFonts w:ascii="Times New Roman" w:eastAsia="Times New Roman" w:hAnsi="Times New Roman" w:cs="Times New Roman"/>
          <w:kern w:val="0"/>
          <w14:ligatures w14:val="none"/>
        </w:rPr>
        <w:t xml:space="preserve"> y los sindicatos pierden poder. Para reajustarse y reconstruir </w:t>
      </w:r>
      <w:r w:rsidR="00AC1ADA" w:rsidRPr="009257E7">
        <w:rPr>
          <w:rFonts w:ascii="Times New Roman" w:eastAsia="Times New Roman" w:hAnsi="Times New Roman" w:cs="Times New Roman"/>
          <w:kern w:val="0"/>
          <w14:ligatures w14:val="none"/>
        </w:rPr>
        <w:t xml:space="preserve">su </w:t>
      </w:r>
      <w:r w:rsidRPr="009257E7">
        <w:rPr>
          <w:rFonts w:ascii="Times New Roman" w:eastAsia="Times New Roman" w:hAnsi="Times New Roman" w:cs="Times New Roman"/>
          <w:kern w:val="0"/>
          <w14:ligatures w14:val="none"/>
        </w:rPr>
        <w:t xml:space="preserve">poder frente a nuevas condiciones externas, los sindicatos deben replantearse cómo “se ve” el poder y qué capacidades necesitan desarrollar y ejercer para influir de manera suficiente en la toma de decisiones de los empleadores a quienes dirigen sus acciones </w:t>
      </w:r>
      <w:r w:rsidR="00AC1ADA" w:rsidRPr="009257E7">
        <w:rPr>
          <w:rFonts w:ascii="Times New Roman" w:eastAsia="Times New Roman" w:hAnsi="Times New Roman" w:cs="Times New Roman"/>
          <w:kern w:val="0"/>
          <w14:ligatures w14:val="none"/>
        </w:rPr>
        <w:t>en</w:t>
      </w:r>
      <w:r w:rsidRPr="009257E7">
        <w:rPr>
          <w:rFonts w:ascii="Times New Roman" w:eastAsia="Times New Roman" w:hAnsi="Times New Roman" w:cs="Times New Roman"/>
          <w:kern w:val="0"/>
          <w14:ligatures w14:val="none"/>
        </w:rPr>
        <w:t xml:space="preserve"> contextos cambiantes.</w:t>
      </w:r>
    </w:p>
    <w:p w14:paraId="72392A7B" w14:textId="77777777" w:rsidR="00A91AA6" w:rsidRPr="009257E7" w:rsidRDefault="00A91AA6" w:rsidP="00AC1ADA">
      <w:pPr>
        <w:spacing w:before="100" w:beforeAutospacing="1" w:after="100" w:afterAutospacing="1" w:line="240" w:lineRule="auto"/>
        <w:ind w:firstLine="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Como explica la historiadora laboral Lane Windham, el movimiento laboral está adaptando sus enfoques de construcción de poder porque los contextos contemporáneos exigen esa adaptación:</w:t>
      </w:r>
    </w:p>
    <w:p w14:paraId="55453628" w14:textId="40C3D852" w:rsidR="00AC1ADA" w:rsidRPr="009257E7" w:rsidRDefault="00AC1ADA" w:rsidP="00AC1ADA">
      <w:pPr>
        <w:spacing w:before="100" w:beforeAutospacing="1" w:after="100" w:afterAutospacing="1" w:line="240" w:lineRule="auto"/>
        <w:ind w:left="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Las estructuras corporativas en los lugares de trabajo de comienzos del siglo XXI —en lo que une académique denomina el “lugar de trabajo fragmentado”— están determinadas cada vez más por la desintegración de la empresa integrada verticalmente, lo que significa que les trabajadores con frecuencia no cuentan con empleadores claramente definidos con quienes negociar. En la economía de plataformas actual, los empleadores han abandonado no solo su función de bienestar social, sino también, con frecuencia, la propia relación entre empleador y empleado… El resultado es que una nueva generación de organizaciones de trabajadores —organizaciones de “trabajo alternativo” o alt-labor— lucha por reforzar la seguridad económica de les trabajadores de nuevas maneras, por ejemplo, mediante centros de trabajadores, nuevas alianzas ocupacionales y campañas públicas para aumentar los salarios.</w:t>
      </w:r>
    </w:p>
    <w:p w14:paraId="5B3B6ECD" w14:textId="644794EB" w:rsidR="00AC1ADA" w:rsidRPr="009257E7" w:rsidRDefault="00AC1ADA" w:rsidP="00AC1ADA">
      <w:pPr>
        <w:spacing w:before="100" w:beforeAutospacing="1" w:after="100" w:afterAutospacing="1" w:line="240" w:lineRule="auto"/>
        <w:ind w:left="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El movimiento futuro por los derechos de les trabajadores probablemente combinará los sindicatos tradicionales con estas nuevas formas de alt-labor, potencialmente a escala global. A medida que la versión del capitalismo industrial del siglo XX da paso a nuevas formas, las personas trabajadoras se ven obligadas a redefinir por completo la negociación colectiva. Esta institución puede convertirse menos en un mecanismo de mediación entre un empleador y sus empleados y más en una plataforma para “negociar en favor del colectivo”, que actúe como intermediaria entre centros de concentración del capital global —como las corporaciones de comercio electrónico o las instituciones financieras— y amplios sectores de personas trabajadoras que desempeñan ocupaciones similares. A medida que las personas dejan de recibir bienestar social a través de sus empleadores, el papel del Estado puede aumentar. Es posible que las personas trabajadoras tengan más probabilidades de “negociar” con el capital y con el Estado mediante la unión de su poder en campañas políticas y comunitarias; quizás ya no dependan de empleadores específicos para obtener bienestar social, pero necesitarán encontrar nuevas formas de obligar a las corporaciones a financiar medidas universales de bienestar social, como un ingreso básico, acceso a atención médica adecuada y asequible, y licencias familiares y servicios de cuidado infantil razonables.</w:t>
      </w:r>
    </w:p>
    <w:p w14:paraId="0897428F" w14:textId="1B9D6F70" w:rsidR="009511B4" w:rsidRPr="009257E7" w:rsidRDefault="00AC1ADA" w:rsidP="00AC1ADA">
      <w:pPr>
        <w:spacing w:before="100" w:beforeAutospacing="1" w:after="100" w:afterAutospacing="1" w:line="240" w:lineRule="auto"/>
        <w:ind w:left="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lastRenderedPageBreak/>
        <w:t>… [L]es integrantes de los sindicatos del futuro harán huelgas, protestarán, participarán en campañas y aprovecharán leyes nuevas para mejorar sus propias condiciones laborales y asegurar una distribución más amplia de la riqueza nacional.</w:t>
      </w:r>
      <w:r w:rsidRPr="009257E7">
        <w:rPr>
          <w:rStyle w:val="FootnoteReference"/>
          <w:rFonts w:ascii="Times New Roman" w:eastAsia="Times New Roman" w:hAnsi="Times New Roman" w:cs="Times New Roman"/>
          <w:kern w:val="0"/>
          <w14:ligatures w14:val="none"/>
        </w:rPr>
        <w:footnoteReference w:id="230"/>
      </w:r>
    </w:p>
    <w:p w14:paraId="3F0D65E7" w14:textId="77777777" w:rsidR="00AC1ADA" w:rsidRPr="009257E7" w:rsidRDefault="00AC1ADA" w:rsidP="00AC1ADA">
      <w:pPr>
        <w:spacing w:before="100" w:beforeAutospacing="1" w:after="100" w:afterAutospacing="1" w:line="240" w:lineRule="auto"/>
        <w:ind w:firstLine="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Debido a que el panorama sistémico general del activismo por los derechos de les trabajadores ha cambiado, también ha cambiado la comprensión del poder de les trabajadores y, como resultado, también cambia el trabajo de construcción de poder centrado en las formas organizativas, el crecimiento y las capacidades necesarias para alcanzar ese poder. Stephen Lerner, organizador y estratega sindical, propone tres acciones para que los sindicatos construyan —o reconstruyan— sus prioridades y capacidades con el fin de alcanzar un poder relevante en los contextos actuales:</w:t>
      </w:r>
    </w:p>
    <w:p w14:paraId="000B2B02" w14:textId="63A2D760" w:rsidR="00AC1ADA" w:rsidRPr="009257E7" w:rsidRDefault="00AC1ADA" w:rsidP="00AC1ADA">
      <w:pPr>
        <w:spacing w:before="100" w:beforeAutospacing="1" w:after="100" w:afterAutospacing="1" w:line="240" w:lineRule="auto"/>
        <w:ind w:left="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Necesitamos ampliar el alcance de la negociación colectiva y de la acción colectiva para centrarnos en las personas súper ricas y en las corporaciones cuyos nombres rara vez figuran en los cheques de pago de los trabajadores. Ellas tienen poder no solo sobre nuestros empleos y salarios, sino también sobre los costos de vivienda, la educación y los presupuestos gubernamentales. Nuestro desafío consiste en determinar quién controla nuestros empleos y nuestras comunidades, y en construir poder para obligarles a negociar salarios y a dejar de extraer riqueza de nuestras comunidades. Para lograrlo, tenemos que:</w:t>
      </w:r>
    </w:p>
    <w:p w14:paraId="477DA845" w14:textId="2E391EEC" w:rsidR="00AC1ADA" w:rsidRPr="009257E7" w:rsidRDefault="00AC1ADA" w:rsidP="00AC1ADA">
      <w:pPr>
        <w:spacing w:before="100" w:beforeAutospacing="1" w:after="100" w:afterAutospacing="1" w:line="240" w:lineRule="auto"/>
        <w:ind w:left="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 Estar dispuestos a infringir las leyes para cambiarlas. El CIO [sindicato], los movimientos por los derechos civiles, los derechos de las personas gays, los derechos de las personas inmigrantes y la legalización de la marihuana, y, más recientemente, Black Lives Matter, han violado leyes vigentes como parte de la construcción de bases profundamente comprometidas que lograron victorias y, en última instancia, mejores leyes.</w:t>
      </w:r>
    </w:p>
    <w:p w14:paraId="3AAD2FEB" w14:textId="77777777" w:rsidR="00AC1ADA" w:rsidRPr="009257E7" w:rsidRDefault="00AC1ADA" w:rsidP="00AC1ADA">
      <w:pPr>
        <w:spacing w:before="100" w:beforeAutospacing="1" w:after="100" w:afterAutospacing="1" w:line="240" w:lineRule="auto"/>
        <w:ind w:left="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 Reinventar la huelga para interrumpir las operaciones de quienes realmente toman las decisiones corporativas. Les trabajadores en huelga y sus aliades, mediante el uso creativo de la no violencia, pueden afectar de manera drástica las operaciones comerciales de las entidades que controlan sus salarios y su trabajo, incluso si no son el empleador “jurídico”.</w:t>
      </w:r>
    </w:p>
    <w:p w14:paraId="21140B1D" w14:textId="4A3247CF" w:rsidR="00AC1ADA" w:rsidRPr="009257E7" w:rsidRDefault="00AC1ADA" w:rsidP="00AC1ADA">
      <w:pPr>
        <w:spacing w:before="100" w:beforeAutospacing="1" w:after="100" w:afterAutospacing="1" w:line="240" w:lineRule="auto"/>
        <w:ind w:left="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 Volver a popularizar la acción colectiva y la negociación como medios para enfrentar el poder económico concentrado. La acción colectiva y la negociación no son solo para les trabajadores. La ciudad de Nueva York, Los Ángeles y Chicago realizan negocios con Wall Street por un valor de $600 mil millones al año; pueden utilizar ese poder económico para negociar tasas de interés más bajas y reducir las tarifas exorbitantes que cobra Wall Street, liberando así recursos para financiar servicios públicos y a les trabajadores. Les estudiantes de Corinthian Colleges ya están utilizando una huelga de deuda para forzar negociaciones sobre los $1.3 billones de deuda estudiantil.</w:t>
      </w:r>
      <w:r w:rsidRPr="009257E7">
        <w:rPr>
          <w:rStyle w:val="FootnoteReference"/>
          <w:rFonts w:ascii="Times New Roman" w:eastAsia="Times New Roman" w:hAnsi="Times New Roman" w:cs="Times New Roman"/>
          <w:kern w:val="0"/>
          <w14:ligatures w14:val="none"/>
        </w:rPr>
        <w:footnoteReference w:id="231"/>
      </w:r>
    </w:p>
    <w:p w14:paraId="344D4315" w14:textId="67CBC1A2" w:rsidR="00AC1ADA" w:rsidRPr="009257E7" w:rsidRDefault="00AC1ADA" w:rsidP="00AC1ADA">
      <w:pPr>
        <w:spacing w:before="100" w:beforeAutospacing="1" w:after="100" w:afterAutospacing="1" w:line="240" w:lineRule="auto"/>
        <w:ind w:firstLine="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lastRenderedPageBreak/>
        <w:t>Como sugieren estos comentarios, construir poder es una tarea compleja. Les abogades y les activistas desarrollan una comprensión de las dinámicas organizativas y de las capacidades técnicas necesarias para fortalecer una organización de manera medible. Este trabajo tiene lugar dentro de un proceso continuo de evaluación que cuestiona y reconceptualiza exactamente qué tipos de poder y qué formas de ejercerlo resultan necesarios en contextos sistémicos en constante cambio.</w:t>
      </w:r>
    </w:p>
    <w:p w14:paraId="13134AB5" w14:textId="3B3DFB95" w:rsidR="00AC1ADA" w:rsidRPr="009257E7" w:rsidRDefault="00AC1ADA" w:rsidP="00AC1ADA">
      <w:pPr>
        <w:spacing w:before="100" w:beforeAutospacing="1" w:after="100" w:afterAutospacing="1" w:line="240" w:lineRule="auto"/>
        <w:ind w:firstLine="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Construir poder es solo el segundo nivel. El tercer nivel de objetivos exige que les abogades y les activistas transformen la conciencia dentro de los grupos y en la cultura más amplia. Este trabajo de transformación cultural cambia la manera en que se imaginan las personas, los grupos, los problemas y las soluciones. Y este trabajo es fundamental porque la construcción de poder sin transformación cultural puede llevar a los grupos a volverse cerrados, centrados en sí mismos o estáticos. Consideremos nuevamente el movimiento sindical. En sus mejores expresiones, las luchas laborales construyeron poder y solidaridad a partir de movimientos críticos, interraciales, entre clases y transnacionales, basados en la antisubordinación como valor. En sus peores expresiones, los sindicatos funcionaron como clubes de privilegio que servían principalmente a los intereses de hombres blancos, anglosajones, cisgénero y heterosexuales, y que excluían activamente a otras personas. Y fue precisamente como clubes de privilegio que los sindicatos no solo dejaron de confrontar la discriminación interna, sino que también absorbieron parte del “ADN” del colonialismo de asentamiento que destruye la solidaridad</w:t>
      </w:r>
      <w:r w:rsidR="00065B81" w:rsidRPr="009257E7">
        <w:rPr>
          <w:rStyle w:val="FootnoteReference"/>
          <w:rFonts w:ascii="Times New Roman" w:eastAsia="Times New Roman" w:hAnsi="Times New Roman" w:cs="Times New Roman"/>
          <w:kern w:val="0"/>
          <w14:ligatures w14:val="none"/>
        </w:rPr>
        <w:footnoteReference w:id="232"/>
      </w:r>
      <w:r w:rsidRPr="009257E7">
        <w:rPr>
          <w:rFonts w:ascii="Times New Roman" w:eastAsia="Times New Roman" w:hAnsi="Times New Roman" w:cs="Times New Roman"/>
          <w:kern w:val="0"/>
          <w14:ligatures w14:val="none"/>
        </w:rPr>
        <w:t>.</w:t>
      </w:r>
      <w:r w:rsidR="00065B81" w:rsidRPr="009257E7">
        <w:rPr>
          <w:rFonts w:ascii="Times New Roman" w:eastAsia="Times New Roman" w:hAnsi="Times New Roman" w:cs="Times New Roman"/>
          <w:kern w:val="0"/>
          <w14:ligatures w14:val="none"/>
        </w:rPr>
        <w:t xml:space="preserve"> </w:t>
      </w:r>
      <w:r w:rsidRPr="009257E7">
        <w:rPr>
          <w:rFonts w:ascii="Times New Roman" w:eastAsia="Times New Roman" w:hAnsi="Times New Roman" w:cs="Times New Roman"/>
          <w:kern w:val="0"/>
          <w14:ligatures w14:val="none"/>
        </w:rPr>
        <w:t xml:space="preserve">Bill Fletcher Jr., historiador laboral y editor de </w:t>
      </w:r>
      <w:r w:rsidRPr="009257E7">
        <w:rPr>
          <w:rFonts w:ascii="Times New Roman" w:eastAsia="Times New Roman" w:hAnsi="Times New Roman" w:cs="Times New Roman"/>
          <w:i/>
          <w:iCs/>
          <w:kern w:val="0"/>
          <w14:ligatures w14:val="none"/>
        </w:rPr>
        <w:t>The Global African Worker</w:t>
      </w:r>
      <w:r w:rsidRPr="009257E7">
        <w:rPr>
          <w:rFonts w:ascii="Times New Roman" w:eastAsia="Times New Roman" w:hAnsi="Times New Roman" w:cs="Times New Roman"/>
          <w:kern w:val="0"/>
          <w14:ligatures w14:val="none"/>
        </w:rPr>
        <w:t xml:space="preserve">, señala que la conciencia de les integrantes y </w:t>
      </w:r>
      <w:r w:rsidR="00065B81" w:rsidRPr="009257E7">
        <w:rPr>
          <w:rFonts w:ascii="Times New Roman" w:eastAsia="Times New Roman" w:hAnsi="Times New Roman" w:cs="Times New Roman"/>
          <w:kern w:val="0"/>
          <w14:ligatures w14:val="none"/>
        </w:rPr>
        <w:t xml:space="preserve">les </w:t>
      </w:r>
      <w:r w:rsidRPr="009257E7">
        <w:rPr>
          <w:rFonts w:ascii="Times New Roman" w:eastAsia="Times New Roman" w:hAnsi="Times New Roman" w:cs="Times New Roman"/>
          <w:kern w:val="0"/>
          <w14:ligatures w14:val="none"/>
        </w:rPr>
        <w:t>dirigentes sindicales está en juego:</w:t>
      </w:r>
    </w:p>
    <w:p w14:paraId="6625BF91" w14:textId="77777777" w:rsidR="00AC1ADA" w:rsidRPr="009257E7" w:rsidRDefault="00AC1ADA" w:rsidP="00065B81">
      <w:pPr>
        <w:spacing w:before="100" w:beforeAutospacing="1" w:after="100" w:afterAutospacing="1" w:line="240" w:lineRule="auto"/>
        <w:ind w:left="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A medida que el movimiento sindical surgió, tanto antes como después de la Guerra Civil, la aceptación del Estado colonial de asentamiento racial formó parte de su ADN. [...]</w:t>
      </w:r>
    </w:p>
    <w:p w14:paraId="51331842" w14:textId="77777777" w:rsidR="00AC1ADA" w:rsidRPr="009257E7" w:rsidRDefault="00AC1ADA" w:rsidP="00065B81">
      <w:pPr>
        <w:spacing w:before="100" w:beforeAutospacing="1" w:after="100" w:afterAutospacing="1" w:line="240" w:lineRule="auto"/>
        <w:ind w:left="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Es posible reconocer y oponerse a actos manifiestos y encubiertos de discriminación racista y, al mismo tiempo, aceptar muchas de las premisas inherentes al colonialismo de asentamiento.</w:t>
      </w:r>
    </w:p>
    <w:p w14:paraId="30367C1C" w14:textId="1BBF4C33" w:rsidR="00AC1ADA" w:rsidRPr="009257E7" w:rsidRDefault="00AC1ADA" w:rsidP="00065B81">
      <w:pPr>
        <w:spacing w:before="100" w:beforeAutospacing="1" w:after="100" w:afterAutospacing="1" w:line="240" w:lineRule="auto"/>
        <w:ind w:left="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Considérese la lucha en torno al oleoducto Keystone XL, o a cualquier otro de</w:t>
      </w:r>
      <w:r w:rsidR="00065B81" w:rsidRPr="009257E7">
        <w:rPr>
          <w:rFonts w:ascii="Times New Roman" w:eastAsia="Times New Roman" w:hAnsi="Times New Roman" w:cs="Times New Roman"/>
          <w:kern w:val="0"/>
          <w14:ligatures w14:val="none"/>
        </w:rPr>
        <w:t xml:space="preserve"> los</w:t>
      </w:r>
      <w:r w:rsidRPr="009257E7">
        <w:rPr>
          <w:rFonts w:ascii="Times New Roman" w:eastAsia="Times New Roman" w:hAnsi="Times New Roman" w:cs="Times New Roman"/>
          <w:kern w:val="0"/>
          <w14:ligatures w14:val="none"/>
        </w:rPr>
        <w:t xml:space="preserve"> numerosos oleoductos. El hecho de que un sindicato haya demostrado un compromiso </w:t>
      </w:r>
      <w:r w:rsidR="00065B81" w:rsidRPr="009257E7">
        <w:rPr>
          <w:rFonts w:ascii="Times New Roman" w:eastAsia="Times New Roman" w:hAnsi="Times New Roman" w:cs="Times New Roman"/>
          <w:kern w:val="0"/>
          <w14:ligatures w14:val="none"/>
        </w:rPr>
        <w:t>de</w:t>
      </w:r>
      <w:r w:rsidRPr="009257E7">
        <w:rPr>
          <w:rFonts w:ascii="Times New Roman" w:eastAsia="Times New Roman" w:hAnsi="Times New Roman" w:cs="Times New Roman"/>
          <w:kern w:val="0"/>
          <w14:ligatures w14:val="none"/>
        </w:rPr>
        <w:t xml:space="preserve"> organizar a trabajadores más allá de las fronteras raciales no </w:t>
      </w:r>
      <w:r w:rsidR="00065B81" w:rsidRPr="009257E7">
        <w:rPr>
          <w:rFonts w:ascii="Times New Roman" w:eastAsia="Times New Roman" w:hAnsi="Times New Roman" w:cs="Times New Roman"/>
          <w:kern w:val="0"/>
          <w14:ligatures w14:val="none"/>
        </w:rPr>
        <w:t>impl</w:t>
      </w:r>
      <w:r w:rsidRPr="009257E7">
        <w:rPr>
          <w:rFonts w:ascii="Times New Roman" w:eastAsia="Times New Roman" w:hAnsi="Times New Roman" w:cs="Times New Roman"/>
          <w:kern w:val="0"/>
          <w14:ligatures w14:val="none"/>
        </w:rPr>
        <w:t xml:space="preserve">ica necesariamente que mantenga posturas avanzadas </w:t>
      </w:r>
      <w:r w:rsidR="00065B81" w:rsidRPr="009257E7">
        <w:rPr>
          <w:rFonts w:ascii="Times New Roman" w:eastAsia="Times New Roman" w:hAnsi="Times New Roman" w:cs="Times New Roman"/>
          <w:kern w:val="0"/>
          <w14:ligatures w14:val="none"/>
        </w:rPr>
        <w:t>en</w:t>
      </w:r>
      <w:r w:rsidRPr="009257E7">
        <w:rPr>
          <w:rFonts w:ascii="Times New Roman" w:eastAsia="Times New Roman" w:hAnsi="Times New Roman" w:cs="Times New Roman"/>
          <w:kern w:val="0"/>
          <w14:ligatures w14:val="none"/>
        </w:rPr>
        <w:t xml:space="preserve"> </w:t>
      </w:r>
      <w:r w:rsidR="00065B81" w:rsidRPr="009257E7">
        <w:rPr>
          <w:rFonts w:ascii="Times New Roman" w:eastAsia="Times New Roman" w:hAnsi="Times New Roman" w:cs="Times New Roman"/>
          <w:kern w:val="0"/>
          <w14:ligatures w14:val="none"/>
        </w:rPr>
        <w:t>materia de</w:t>
      </w:r>
      <w:r w:rsidRPr="009257E7">
        <w:rPr>
          <w:rFonts w:ascii="Times New Roman" w:eastAsia="Times New Roman" w:hAnsi="Times New Roman" w:cs="Times New Roman"/>
          <w:kern w:val="0"/>
          <w14:ligatures w14:val="none"/>
        </w:rPr>
        <w:t xml:space="preserve"> derechos de las Primeras Naciones. Así, sindicatos como el Laborers International Union of North America podían encontrarse en conflicto con una amplia coalición de ambientalistas, propietarios de tierras y pueblos indígenas, en la que los derechos tribales desempeñaban un papel central.</w:t>
      </w:r>
      <w:r w:rsidR="00065B81" w:rsidRPr="009257E7">
        <w:rPr>
          <w:rStyle w:val="FootnoteReference"/>
          <w:rFonts w:ascii="Times New Roman" w:eastAsia="Times New Roman" w:hAnsi="Times New Roman" w:cs="Times New Roman"/>
          <w:kern w:val="0"/>
          <w14:ligatures w14:val="none"/>
        </w:rPr>
        <w:footnoteReference w:id="233"/>
      </w:r>
    </w:p>
    <w:p w14:paraId="354419BC" w14:textId="5FC2DC11" w:rsidR="00AC1ADA" w:rsidRPr="009257E7" w:rsidRDefault="00AC1ADA" w:rsidP="00065B81">
      <w:pPr>
        <w:spacing w:before="100" w:beforeAutospacing="1" w:after="100" w:afterAutospacing="1" w:line="240" w:lineRule="auto"/>
        <w:ind w:firstLine="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lastRenderedPageBreak/>
        <w:t xml:space="preserve">Como demuestra la historia sindical de </w:t>
      </w:r>
      <w:r w:rsidR="00065B81" w:rsidRPr="009257E7">
        <w:rPr>
          <w:rFonts w:ascii="Times New Roman" w:eastAsia="Times New Roman" w:hAnsi="Times New Roman" w:cs="Times New Roman"/>
          <w:kern w:val="0"/>
          <w14:ligatures w14:val="none"/>
        </w:rPr>
        <w:t xml:space="preserve">los </w:t>
      </w:r>
      <w:r w:rsidRPr="009257E7">
        <w:rPr>
          <w:rFonts w:ascii="Times New Roman" w:eastAsia="Times New Roman" w:hAnsi="Times New Roman" w:cs="Times New Roman"/>
          <w:kern w:val="0"/>
          <w14:ligatures w14:val="none"/>
        </w:rPr>
        <w:t xml:space="preserve">Estados Unidos, la diferencia entre un club exclusivo para sus integrantes y una organización de movimiento social no es absoluta ni fácil de definir. Sin embargo, sí existe una diferencia entre la exclusión y la colaboración. Para avanzar hacia los objetivos del tercer nivel, los grupos de movimientos sociales deben demostrar tanto la voluntad como la capacidad de conectar el trabajo del primer y </w:t>
      </w:r>
      <w:r w:rsidR="00065B81" w:rsidRPr="009257E7">
        <w:rPr>
          <w:rFonts w:ascii="Times New Roman" w:eastAsia="Times New Roman" w:hAnsi="Times New Roman" w:cs="Times New Roman"/>
          <w:kern w:val="0"/>
          <w14:ligatures w14:val="none"/>
        </w:rPr>
        <w:t xml:space="preserve">del </w:t>
      </w:r>
      <w:r w:rsidRPr="009257E7">
        <w:rPr>
          <w:rFonts w:ascii="Times New Roman" w:eastAsia="Times New Roman" w:hAnsi="Times New Roman" w:cs="Times New Roman"/>
          <w:kern w:val="0"/>
          <w14:ligatures w14:val="none"/>
        </w:rPr>
        <w:t>segundo nivel con procesos continuos de reflexión y toma de decisiones</w:t>
      </w:r>
      <w:r w:rsidR="00065B81" w:rsidRPr="009257E7">
        <w:rPr>
          <w:rFonts w:ascii="Times New Roman" w:eastAsia="Times New Roman" w:hAnsi="Times New Roman" w:cs="Times New Roman"/>
          <w:kern w:val="0"/>
          <w14:ligatures w14:val="none"/>
        </w:rPr>
        <w:t>,</w:t>
      </w:r>
      <w:r w:rsidRPr="009257E7">
        <w:rPr>
          <w:rFonts w:ascii="Times New Roman" w:eastAsia="Times New Roman" w:hAnsi="Times New Roman" w:cs="Times New Roman"/>
          <w:kern w:val="0"/>
          <w14:ligatures w14:val="none"/>
        </w:rPr>
        <w:t xml:space="preserve"> guiados siempre por valores de antisubordinación.</w:t>
      </w:r>
    </w:p>
    <w:p w14:paraId="7C334881" w14:textId="77777777" w:rsidR="00065B81" w:rsidRPr="009257E7" w:rsidRDefault="00041F56" w:rsidP="00065B81">
      <w:pPr>
        <w:pStyle w:val="NormalWeb"/>
        <w:rPr>
          <w:b/>
          <w:bCs/>
          <w:lang w:val="es-ES"/>
        </w:rPr>
      </w:pPr>
      <w:r w:rsidRPr="009257E7">
        <w:rPr>
          <w:b/>
          <w:bCs/>
          <w:lang w:val="es-ES"/>
        </w:rPr>
        <w:t>6.4</w:t>
      </w:r>
      <w:r w:rsidRPr="009257E7">
        <w:rPr>
          <w:lang w:val="es-ES"/>
        </w:rPr>
        <w:t xml:space="preserve"> Los objetivos de tercer nivel conectan los hechos micro y macro para transformar la conciencia y las culturas</w:t>
      </w:r>
      <w:r w:rsidRPr="009257E7">
        <w:rPr>
          <w:b/>
          <w:bCs/>
          <w:lang w:val="es-ES"/>
        </w:rPr>
        <w:t xml:space="preserve"> </w:t>
      </w:r>
    </w:p>
    <w:p w14:paraId="11FCDDB1" w14:textId="62933C0A" w:rsidR="00065B81" w:rsidRPr="009257E7" w:rsidRDefault="00065B81" w:rsidP="00065B81">
      <w:pPr>
        <w:pStyle w:val="NormalWeb"/>
        <w:ind w:firstLine="720"/>
        <w:rPr>
          <w:b/>
          <w:bCs/>
          <w:lang w:val="es-ES"/>
        </w:rPr>
      </w:pPr>
      <w:r w:rsidRPr="009257E7">
        <w:t>Uno de los desafíos principales que plantean los objetivos de tres niveles para la abogacía sistémica es cómo transformar la conciencia de les integrantes de los grupos y la cultura dominante para apoyar un cambio social transformador. Para responder a este desafío micro-macro, les abogades deben comprender cómo influir en la conciencia individual y en las culturas grupales. Mediante el uso de conocimiento basado en hechos —con frecuencia ocultado—, les abogades interrumpen los vínculos impuestos desde arriba entre identidades y castas; es decir, participan intencionalmente en la creación y la transformación de cultura desde abajo, de manera similar a como las élites lo hacen desde arriba, para contrarrestar creencias o sesgos arraigados, tanto en el derecho como en la sociedad. Desaprender y reaprender este trabajo del tercer nivel exige reflexión crítica y acción coordinada.</w:t>
      </w:r>
    </w:p>
    <w:p w14:paraId="2CD1834D" w14:textId="77777777" w:rsidR="00065B81" w:rsidRPr="009257E7" w:rsidRDefault="00065B81" w:rsidP="00065B81">
      <w:pPr>
        <w:pStyle w:val="NormalWeb"/>
        <w:ind w:firstLine="720"/>
      </w:pPr>
      <w:r w:rsidRPr="009257E7">
        <w:t>Este desafío centra la abogacía directamente en la conexión entre la conciencia micro de los individuos en la vida cotidiana y las condiciones macro que moldean la conciencia, las interacciones y las acciones colectivas de esos individuos. Para utilizar conscientemente esta conexión micro-macro como un recurso, les abogades buscan comprender cómo las personas perciben y piensan de maneras que motivan la acción. Por esta razón, Jon y Kathleen Hanson, académicos jurídicos y sociales de la corriente situacionista, examinaron cómo los “marcos de culpabilización” estructuran el pensamiento en los niveles micro y macro, y ofrecieron ejemplos que han evolucionado con el tiempo:</w:t>
      </w:r>
    </w:p>
    <w:p w14:paraId="36D29D22" w14:textId="0C738233" w:rsidR="00065B81" w:rsidRPr="009257E7" w:rsidRDefault="00065B81" w:rsidP="00065B81">
      <w:pPr>
        <w:spacing w:before="100" w:beforeAutospacing="1" w:after="100" w:afterAutospacing="1" w:line="240" w:lineRule="auto"/>
        <w:ind w:left="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[Nuestro] marco básico de culpabilización [impulsado por las élites] ha adoptado diversas formas…</w:t>
      </w:r>
    </w:p>
    <w:p w14:paraId="48E2E756" w14:textId="18F2936B" w:rsidR="00065B81" w:rsidRPr="009257E7" w:rsidRDefault="00065B81" w:rsidP="00065B81">
      <w:pPr>
        <w:spacing w:before="100" w:beforeAutospacing="1" w:after="100" w:afterAutospacing="1" w:line="240" w:lineRule="auto"/>
        <w:ind w:left="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El esquema Dios/diablo (“marco de Dios”): Según este marco, los resultados no reflejan las decisiones individuales, sino la presencia o ausencia de la gracia, de la voluntad o del plan de Dios. [...] Cuando quienes tienen poder actúan para beneficiar a su grupo, pero perjudican a otros —o dejan de ayudarles—, el esquema de Dios justifica esas acciones como un aspecto determinado por las circunstancias de la voluntad o del plan de Dios, más allá incluso del control de la persona mortal más poderosa.</w:t>
      </w:r>
    </w:p>
    <w:p w14:paraId="43D19ABE" w14:textId="2292FB02" w:rsidR="00065B81" w:rsidRPr="009257E7" w:rsidRDefault="00065B81" w:rsidP="00065B81">
      <w:pPr>
        <w:spacing w:before="100" w:beforeAutospacing="1" w:after="100" w:afterAutospacing="1" w:line="240" w:lineRule="auto"/>
        <w:ind w:left="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 xml:space="preserve">El esquema evolución/naturaleza/biología (“marco de la naturaleza”): Según este marco, los resultados no están determinados únicamente por lo divino, sino también por determinados genes o cualidades heredadas. Este bagaje hereditario convierte a una persona en “apta” o “no apta”… [S]u lugar en la sociedad revela su posición en la jerarquía de la naturaleza. Y cuando quienes tienen poder actúan para beneficiar a su grupo mientras perjudican a otros, esas acciones se justifican, según las circunstancias, </w:t>
      </w:r>
      <w:r w:rsidRPr="009257E7">
        <w:rPr>
          <w:rFonts w:ascii="Times New Roman" w:eastAsia="Times New Roman" w:hAnsi="Times New Roman" w:cs="Times New Roman"/>
          <w:kern w:val="0"/>
          <w14:ligatures w14:val="none"/>
        </w:rPr>
        <w:lastRenderedPageBreak/>
        <w:t>como coherentes con las leyes de la naturaleza y con procesos evolutivos considerados deseables.</w:t>
      </w:r>
    </w:p>
    <w:p w14:paraId="5B2A5652" w14:textId="77777777" w:rsidR="00065B81" w:rsidRPr="009257E7" w:rsidRDefault="00065B81" w:rsidP="00065B81">
      <w:pPr>
        <w:spacing w:before="100" w:beforeAutospacing="1" w:after="100" w:afterAutospacing="1" w:line="240" w:lineRule="auto"/>
        <w:ind w:left="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El esquema de elección basado en los mercados, las preferencias, la personalidad o el carácter (“marco de la elección”): Según esta narrativa, los resultados reflejan las decisiones de los individuos, que a su vez reflejan las preferencias individualizadas —o quizás el carácter— de cada persona o grupo. La conducta de las personas, su riqueza, sus condiciones de vida y su posición en la sociedad revelan sus preferencias, gustos, identidades y capacidad para tomar buenas decisiones. Cuando quienes tienen poder actúan para beneficiar a su propio grupo, pero perjudican a otros, el marco de la elección justifica esas acciones como determinadas por las fuerzas del mercado o por los votos o decisiones de individuos autónomos: cualquier otro resultado impediría o ignoraría las preferencias de personas con derecho a decidir por sí mismas.</w:t>
      </w:r>
    </w:p>
    <w:p w14:paraId="023E65D4" w14:textId="23639872" w:rsidR="00065B81" w:rsidRPr="009257E7" w:rsidRDefault="00065B81" w:rsidP="00065B81">
      <w:pPr>
        <w:spacing w:before="100" w:beforeAutospacing="1" w:after="100" w:afterAutospacing="1" w:line="240" w:lineRule="auto"/>
        <w:ind w:left="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 El esquema de la elección se ha vuelto dominante en la sociedad actual. La elección, entonces, es la nueva raza. Y el “eleccionismo” es el nuevo racismo…</w:t>
      </w:r>
      <w:r w:rsidRPr="009257E7">
        <w:rPr>
          <w:rStyle w:val="FootnoteReference"/>
          <w:rFonts w:ascii="Times New Roman" w:eastAsia="Times New Roman" w:hAnsi="Times New Roman" w:cs="Times New Roman"/>
          <w:kern w:val="0"/>
          <w14:ligatures w14:val="none"/>
        </w:rPr>
        <w:footnoteReference w:id="234"/>
      </w:r>
    </w:p>
    <w:p w14:paraId="2F771BB7" w14:textId="2D4B78C9" w:rsidR="00065B81" w:rsidRPr="009257E7" w:rsidRDefault="00065B81" w:rsidP="00065B81">
      <w:pPr>
        <w:pStyle w:val="NormalWeb"/>
        <w:ind w:firstLine="720"/>
      </w:pPr>
      <w:r w:rsidRPr="009257E7">
        <w:t>Estos marcos de culpabilización condensan sesgos, a veces ocultos, que distorsionan la conciencia individual y las percepciones públicas de las realidades sociales. Estos marcos responsabilizan a las “víctimas” de la injusticia sistémica por su propia subordinación. Deconstruir y transformar los marcos de culpabilización es esencial para la transformación cultural en la abogacía del tercer nivel. Al analizar conjuntamente estos “marcos de culpabilización”, los grupos y les abogades pueden transformar la conciencia y fortalecer el poder colectivo organizado.</w:t>
      </w:r>
    </w:p>
    <w:p w14:paraId="076F0F07" w14:textId="6F4F38FA" w:rsidR="00065B81" w:rsidRPr="009257E7" w:rsidRDefault="00065B81" w:rsidP="00065B81">
      <w:pPr>
        <w:pStyle w:val="NormalWeb"/>
        <w:ind w:firstLine="720"/>
      </w:pPr>
      <w:r w:rsidRPr="009257E7">
        <w:t>Estos marcos responsabilizan a las “víctimas” de la injusticia sistémica por su subordinación. Quienes están abajo supuestamente padecen su situación porque “esa” fue su elección. Por diseño, los individuos socializados en los marcos dominantes de culpabilización suelen tener dificultades para imaginar un camino hacia una justicia igualitaria. Les abogades ayudan a facilitar conversaciones a nivel micro que ponen de relieve los supuestos de fondo o de nivel macro para superar esta limitación. A modo de ejemplo, los académicos jurídico-asiático-estadounidenses Bob Chang y Keith Aoki cuestionaron las premisas dadas por sentadas en los enfoques dominantes del derecho y la política migratoria:</w:t>
      </w:r>
    </w:p>
    <w:p w14:paraId="52133F27" w14:textId="2E36204A" w:rsidR="00065B81" w:rsidRPr="009257E7" w:rsidRDefault="00065B81" w:rsidP="00FC1779">
      <w:pPr>
        <w:spacing w:before="100" w:beforeAutospacing="1" w:after="100" w:afterAutospacing="1" w:line="240" w:lineRule="auto"/>
        <w:ind w:left="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Un desafío</w:t>
      </w:r>
      <w:r w:rsidR="00FC1779" w:rsidRPr="009257E7">
        <w:rPr>
          <w:rFonts w:ascii="Times New Roman" w:eastAsia="Times New Roman" w:hAnsi="Times New Roman" w:cs="Times New Roman"/>
          <w:kern w:val="0"/>
          <w14:ligatures w14:val="none"/>
        </w:rPr>
        <w:t>…</w:t>
      </w:r>
      <w:r w:rsidRPr="009257E7">
        <w:rPr>
          <w:rFonts w:ascii="Times New Roman" w:eastAsia="Times New Roman" w:hAnsi="Times New Roman" w:cs="Times New Roman"/>
          <w:kern w:val="0"/>
          <w14:ligatures w14:val="none"/>
        </w:rPr>
        <w:t xml:space="preserve"> consiste en desactivar la construcción regresiva de las fronteras que hace posible el racismo nativista. Para hacerlo, debemos abordar este trabajo con “una conciencia crítica de cómo las fronteras han sido —y continúan siendo— vigiladas sistemáticamente, y en beneficio ideológico y material de quiénes”.</w:t>
      </w:r>
    </w:p>
    <w:p w14:paraId="476A9A7A" w14:textId="1AC583B9" w:rsidR="00065B81" w:rsidRPr="009257E7" w:rsidRDefault="00065B81" w:rsidP="00FC1779">
      <w:pPr>
        <w:spacing w:before="100" w:beforeAutospacing="1" w:after="100" w:afterAutospacing="1" w:line="240" w:lineRule="auto"/>
        <w:ind w:left="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 xml:space="preserve">El año pasado, [funcionarios federales de inmigración] llevaron a cabo una redada en cuatro estados del sur para detener y deportar a trabajadores agrícolas indocumentados. La llamaron Operation SouthPAW; “PAW” significaba “Protecting American Workers” [“Protegiendo a los trabajadores estadounidenses”]. La redada se realizó principalmente antes y después de la cosecha [pero no durante la cosecha]. No cabe duda de que </w:t>
      </w:r>
      <w:r w:rsidRPr="009257E7">
        <w:rPr>
          <w:rFonts w:ascii="Times New Roman" w:eastAsia="Times New Roman" w:hAnsi="Times New Roman" w:cs="Times New Roman"/>
          <w:kern w:val="0"/>
          <w14:ligatures w14:val="none"/>
        </w:rPr>
        <w:lastRenderedPageBreak/>
        <w:t xml:space="preserve">Operation SouthPAW sirvió para vigilar nuestras fronteras, pero ¿en beneficio ideológico de quiénes y </w:t>
      </w:r>
      <w:r w:rsidR="00FC1779" w:rsidRPr="009257E7">
        <w:rPr>
          <w:rFonts w:ascii="Times New Roman" w:eastAsia="Times New Roman" w:hAnsi="Times New Roman" w:cs="Times New Roman"/>
          <w:kern w:val="0"/>
          <w14:ligatures w14:val="none"/>
        </w:rPr>
        <w:t>en</w:t>
      </w:r>
      <w:r w:rsidRPr="009257E7">
        <w:rPr>
          <w:rFonts w:ascii="Times New Roman" w:eastAsia="Times New Roman" w:hAnsi="Times New Roman" w:cs="Times New Roman"/>
          <w:kern w:val="0"/>
          <w14:ligatures w14:val="none"/>
        </w:rPr>
        <w:t xml:space="preserve"> beneficio material de quiénes? Y aquí el beneficio material no se limita a </w:t>
      </w:r>
      <w:r w:rsidR="00FC1779" w:rsidRPr="009257E7">
        <w:rPr>
          <w:rFonts w:ascii="Times New Roman" w:eastAsia="Times New Roman" w:hAnsi="Times New Roman" w:cs="Times New Roman"/>
          <w:kern w:val="0"/>
          <w14:ligatures w14:val="none"/>
        </w:rPr>
        <w:t xml:space="preserve">los </w:t>
      </w:r>
      <w:r w:rsidRPr="009257E7">
        <w:rPr>
          <w:rFonts w:ascii="Times New Roman" w:eastAsia="Times New Roman" w:hAnsi="Times New Roman" w:cs="Times New Roman"/>
          <w:kern w:val="0"/>
          <w14:ligatures w14:val="none"/>
        </w:rPr>
        <w:t>agricultores y</w:t>
      </w:r>
      <w:r w:rsidR="00FC1779" w:rsidRPr="009257E7">
        <w:rPr>
          <w:rFonts w:ascii="Times New Roman" w:eastAsia="Times New Roman" w:hAnsi="Times New Roman" w:cs="Times New Roman"/>
          <w:kern w:val="0"/>
          <w14:ligatures w14:val="none"/>
        </w:rPr>
        <w:t xml:space="preserve"> las</w:t>
      </w:r>
      <w:r w:rsidRPr="009257E7">
        <w:rPr>
          <w:rFonts w:ascii="Times New Roman" w:eastAsia="Times New Roman" w:hAnsi="Times New Roman" w:cs="Times New Roman"/>
          <w:kern w:val="0"/>
          <w14:ligatures w14:val="none"/>
        </w:rPr>
        <w:t xml:space="preserve"> empresas agroindustriales: todas las personas “estadounidenses” se benefician y, por tanto, son cómplices en la medida en que los precios de los alimentos se mantienen bajos. La producción académica jurídic</w:t>
      </w:r>
      <w:r w:rsidR="00FC1779" w:rsidRPr="009257E7">
        <w:rPr>
          <w:rFonts w:ascii="Times New Roman" w:eastAsia="Times New Roman" w:hAnsi="Times New Roman" w:cs="Times New Roman"/>
          <w:kern w:val="0"/>
          <w14:ligatures w14:val="none"/>
        </w:rPr>
        <w:t>o-asiático-</w:t>
      </w:r>
      <w:r w:rsidRPr="009257E7">
        <w:rPr>
          <w:rFonts w:ascii="Times New Roman" w:eastAsia="Times New Roman" w:hAnsi="Times New Roman" w:cs="Times New Roman"/>
          <w:kern w:val="0"/>
          <w14:ligatures w14:val="none"/>
        </w:rPr>
        <w:t xml:space="preserve">estadounidense y el discurso LatCrit nos permiten </w:t>
      </w:r>
      <w:r w:rsidR="00FC1779" w:rsidRPr="009257E7">
        <w:rPr>
          <w:rFonts w:ascii="Times New Roman" w:eastAsia="Times New Roman" w:hAnsi="Times New Roman" w:cs="Times New Roman"/>
          <w:kern w:val="0"/>
          <w14:ligatures w14:val="none"/>
        </w:rPr>
        <w:t>poner</w:t>
      </w:r>
      <w:r w:rsidRPr="009257E7">
        <w:rPr>
          <w:rFonts w:ascii="Times New Roman" w:eastAsia="Times New Roman" w:hAnsi="Times New Roman" w:cs="Times New Roman"/>
          <w:kern w:val="0"/>
          <w14:ligatures w14:val="none"/>
        </w:rPr>
        <w:t xml:space="preserve"> </w:t>
      </w:r>
      <w:r w:rsidR="00FC1779" w:rsidRPr="009257E7">
        <w:rPr>
          <w:rFonts w:ascii="Times New Roman" w:eastAsia="Times New Roman" w:hAnsi="Times New Roman" w:cs="Times New Roman"/>
          <w:kern w:val="0"/>
          <w14:ligatures w14:val="none"/>
        </w:rPr>
        <w:t>de</w:t>
      </w:r>
      <w:r w:rsidRPr="009257E7">
        <w:rPr>
          <w:rFonts w:ascii="Times New Roman" w:eastAsia="Times New Roman" w:hAnsi="Times New Roman" w:cs="Times New Roman"/>
          <w:kern w:val="0"/>
          <w14:ligatures w14:val="none"/>
        </w:rPr>
        <w:t xml:space="preserve"> </w:t>
      </w:r>
      <w:r w:rsidR="00FC1779" w:rsidRPr="009257E7">
        <w:rPr>
          <w:rFonts w:ascii="Times New Roman" w:eastAsia="Times New Roman" w:hAnsi="Times New Roman" w:cs="Times New Roman"/>
          <w:kern w:val="0"/>
          <w14:ligatures w14:val="none"/>
        </w:rPr>
        <w:t>relieve</w:t>
      </w:r>
      <w:r w:rsidRPr="009257E7">
        <w:rPr>
          <w:rFonts w:ascii="Times New Roman" w:eastAsia="Times New Roman" w:hAnsi="Times New Roman" w:cs="Times New Roman"/>
          <w:kern w:val="0"/>
          <w14:ligatures w14:val="none"/>
        </w:rPr>
        <w:t xml:space="preserve"> incidentes como SouthPAW y </w:t>
      </w:r>
      <w:r w:rsidR="00FC1779" w:rsidRPr="009257E7">
        <w:rPr>
          <w:rFonts w:ascii="Times New Roman" w:eastAsia="Times New Roman" w:hAnsi="Times New Roman" w:cs="Times New Roman"/>
          <w:kern w:val="0"/>
          <w14:ligatures w14:val="none"/>
        </w:rPr>
        <w:t xml:space="preserve">nos </w:t>
      </w:r>
      <w:r w:rsidRPr="009257E7">
        <w:rPr>
          <w:rFonts w:ascii="Times New Roman" w:eastAsia="Times New Roman" w:hAnsi="Times New Roman" w:cs="Times New Roman"/>
          <w:kern w:val="0"/>
          <w14:ligatures w14:val="none"/>
        </w:rPr>
        <w:t xml:space="preserve">ofrecen un marco para comprender los orígenes más profundos de </w:t>
      </w:r>
      <w:r w:rsidR="00FC1779" w:rsidRPr="009257E7">
        <w:rPr>
          <w:rFonts w:ascii="Times New Roman" w:eastAsia="Times New Roman" w:hAnsi="Times New Roman" w:cs="Times New Roman"/>
          <w:kern w:val="0"/>
          <w14:ligatures w14:val="none"/>
        </w:rPr>
        <w:t>dich</w:t>
      </w:r>
      <w:r w:rsidRPr="009257E7">
        <w:rPr>
          <w:rFonts w:ascii="Times New Roman" w:eastAsia="Times New Roman" w:hAnsi="Times New Roman" w:cs="Times New Roman"/>
          <w:kern w:val="0"/>
          <w14:ligatures w14:val="none"/>
        </w:rPr>
        <w:t>as prácticas.</w:t>
      </w:r>
    </w:p>
    <w:p w14:paraId="5FB515F5" w14:textId="6B581FE6" w:rsidR="00065B81" w:rsidRPr="009257E7" w:rsidRDefault="00FC1779" w:rsidP="00FC1779">
      <w:pPr>
        <w:spacing w:before="100" w:beforeAutospacing="1" w:after="100" w:afterAutospacing="1" w:line="240" w:lineRule="auto"/>
        <w:ind w:left="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 xml:space="preserve">… </w:t>
      </w:r>
      <w:r w:rsidR="00065B81" w:rsidRPr="009257E7">
        <w:rPr>
          <w:rFonts w:ascii="Times New Roman" w:eastAsia="Times New Roman" w:hAnsi="Times New Roman" w:cs="Times New Roman"/>
          <w:kern w:val="0"/>
          <w14:ligatures w14:val="none"/>
        </w:rPr>
        <w:t>En resumen, las personas asi</w:t>
      </w:r>
      <w:r w:rsidRPr="009257E7">
        <w:rPr>
          <w:rFonts w:ascii="Times New Roman" w:eastAsia="Times New Roman" w:hAnsi="Times New Roman" w:cs="Times New Roman"/>
          <w:kern w:val="0"/>
          <w14:ligatures w14:val="none"/>
        </w:rPr>
        <w:t>ático-</w:t>
      </w:r>
      <w:r w:rsidR="00065B81" w:rsidRPr="009257E7">
        <w:rPr>
          <w:rFonts w:ascii="Times New Roman" w:eastAsia="Times New Roman" w:hAnsi="Times New Roman" w:cs="Times New Roman"/>
          <w:kern w:val="0"/>
          <w14:ligatures w14:val="none"/>
        </w:rPr>
        <w:t xml:space="preserve">estadounidenses y latinas no son ni negras ni blancas. No vamos a acomodarnos </w:t>
      </w:r>
      <w:r w:rsidRPr="009257E7">
        <w:rPr>
          <w:rFonts w:ascii="Times New Roman" w:eastAsia="Times New Roman" w:hAnsi="Times New Roman" w:cs="Times New Roman"/>
          <w:kern w:val="0"/>
          <w14:ligatures w14:val="none"/>
        </w:rPr>
        <w:t>en</w:t>
      </w:r>
      <w:r w:rsidR="00065B81" w:rsidRPr="009257E7">
        <w:rPr>
          <w:rFonts w:ascii="Times New Roman" w:eastAsia="Times New Roman" w:hAnsi="Times New Roman" w:cs="Times New Roman"/>
          <w:kern w:val="0"/>
          <w14:ligatures w14:val="none"/>
        </w:rPr>
        <w:t xml:space="preserve"> el binario negro/blanco. Y, lo más importante, estamos aquí y no nos vamos a ir.</w:t>
      </w:r>
    </w:p>
    <w:p w14:paraId="41183776" w14:textId="23BFFBA6" w:rsidR="00065B81" w:rsidRPr="009257E7" w:rsidRDefault="00065B81" w:rsidP="00FC1779">
      <w:pPr>
        <w:spacing w:before="100" w:beforeAutospacing="1" w:after="100" w:afterAutospacing="1" w:line="240" w:lineRule="auto"/>
        <w:ind w:left="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 xml:space="preserve">El proyecto de desmantelar fronteras incluye trastocar los límites que privilegian cualquier binario simple, ya sea el paradigma racial negro/blanco, hombre/mujer o heterosexual/queer. En ocasiones, esto encontrará resistencia. El desafío, entonces, consiste en [...] articular un conjunto de compromisos políticos </w:t>
      </w:r>
      <w:r w:rsidR="00FC1779" w:rsidRPr="009257E7">
        <w:rPr>
          <w:rFonts w:ascii="Times New Roman" w:eastAsia="Times New Roman" w:hAnsi="Times New Roman" w:cs="Times New Roman"/>
          <w:kern w:val="0"/>
          <w14:ligatures w14:val="none"/>
        </w:rPr>
        <w:t>en</w:t>
      </w:r>
      <w:r w:rsidRPr="009257E7">
        <w:rPr>
          <w:rFonts w:ascii="Times New Roman" w:eastAsia="Times New Roman" w:hAnsi="Times New Roman" w:cs="Times New Roman"/>
          <w:kern w:val="0"/>
          <w14:ligatures w14:val="none"/>
        </w:rPr>
        <w:t xml:space="preserve"> </w:t>
      </w:r>
      <w:r w:rsidR="00FC1779" w:rsidRPr="009257E7">
        <w:rPr>
          <w:rFonts w:ascii="Times New Roman" w:eastAsia="Times New Roman" w:hAnsi="Times New Roman" w:cs="Times New Roman"/>
          <w:kern w:val="0"/>
          <w14:ligatures w14:val="none"/>
        </w:rPr>
        <w:t>torno a</w:t>
      </w:r>
      <w:r w:rsidRPr="009257E7">
        <w:rPr>
          <w:rFonts w:ascii="Times New Roman" w:eastAsia="Times New Roman" w:hAnsi="Times New Roman" w:cs="Times New Roman"/>
          <w:kern w:val="0"/>
          <w14:ligatures w14:val="none"/>
        </w:rPr>
        <w:t xml:space="preserve"> los cuales puedan organizarse los pueblos subordinados y las personas de buena voluntad.</w:t>
      </w:r>
    </w:p>
    <w:p w14:paraId="65B00EE0" w14:textId="0C75E6B8" w:rsidR="00065B81" w:rsidRPr="009257E7" w:rsidRDefault="00065B81" w:rsidP="00FC1779">
      <w:pPr>
        <w:spacing w:before="100" w:beforeAutospacing="1" w:after="100" w:afterAutospacing="1" w:line="240" w:lineRule="auto"/>
        <w:ind w:left="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Este trabajo difícil se lleva a cabo en espacios</w:t>
      </w:r>
      <w:r w:rsidR="00FC1779" w:rsidRPr="009257E7">
        <w:rPr>
          <w:rFonts w:ascii="Times New Roman" w:eastAsia="Times New Roman" w:hAnsi="Times New Roman" w:cs="Times New Roman"/>
          <w:kern w:val="0"/>
          <w14:ligatures w14:val="none"/>
        </w:rPr>
        <w:t xml:space="preserve"> múltiples</w:t>
      </w:r>
      <w:r w:rsidRPr="009257E7">
        <w:rPr>
          <w:rFonts w:ascii="Times New Roman" w:eastAsia="Times New Roman" w:hAnsi="Times New Roman" w:cs="Times New Roman"/>
          <w:kern w:val="0"/>
          <w14:ligatures w14:val="none"/>
        </w:rPr>
        <w:t>. Nuestras comunidades y coaliciones están —y siempre estarán— [...] “en construcción”.</w:t>
      </w:r>
      <w:r w:rsidR="00FC1779" w:rsidRPr="009257E7">
        <w:rPr>
          <w:rStyle w:val="FootnoteReference"/>
          <w:rFonts w:ascii="Times New Roman" w:eastAsia="Times New Roman" w:hAnsi="Times New Roman" w:cs="Times New Roman"/>
          <w:kern w:val="0"/>
          <w14:ligatures w14:val="none"/>
        </w:rPr>
        <w:footnoteReference w:id="235"/>
      </w:r>
    </w:p>
    <w:p w14:paraId="53FD7C33" w14:textId="3366B904" w:rsidR="00FC1779" w:rsidRPr="009257E7" w:rsidRDefault="00FC1779" w:rsidP="00FC1779">
      <w:pPr>
        <w:spacing w:before="100" w:beforeAutospacing="1" w:after="100" w:afterAutospacing="1" w:line="240" w:lineRule="auto"/>
        <w:ind w:firstLine="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Les abogades y les activistas quizás consideren que nuestras comprensiones actuales son naturales o evidentes, como si fueran inamovibles. Sin embargo, estas comprensiones surgen en contextos particulares y, de hecho, están en constante construcción. El reciclaje de creencias y prácticas que vulneran la justicia —de los grupos a los individuos y de regreso— constituye precisamente los ciclos que la abogacía sistémica busca romper para transformar las culturas. Para desplazar las comprensiones actuales o dominantes de los problemas y las soluciones —es decir, para transformar la conciencia individual y las culturas grupales—, el trabajo micro-macro dirigido a apoyar estos objetivos del tercer nivel debe estar profundamente conectado con el trabajo del segundo nivel y con los procesos de movilización grupal y de construcción de poder. En síntesis, se necesita el poder para transformar la conciencia y la cultura.</w:t>
      </w:r>
    </w:p>
    <w:p w14:paraId="3E929695" w14:textId="09ED1424" w:rsidR="00FC1779" w:rsidRPr="009257E7" w:rsidRDefault="00FC1779" w:rsidP="00FC1779">
      <w:pPr>
        <w:spacing w:before="100" w:beforeAutospacing="1" w:after="100" w:afterAutospacing="1" w:line="240" w:lineRule="auto"/>
        <w:ind w:firstLine="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Un ejemplo contemporáneo de esta conexión entre el segundo y el tercer nivel es la abogacía orientada a transformar las concepciones culturales sobre la infancia tanto en el ámbito jurídico como en la sociedad. Históricamente, les niñes y la infancia han sido conceptualizades de distintas maneras en distintos contextos. Como respuesta, las críticas emergentes a las visiones dominantes desafían a les abogades y les activistas a reflexionar sobre cómo nociones aceptadas —incluso hegemónicas— pueden reforzar patrones de injusticia tanto cultural como jurídicamente. Cheryl Bratt, académica de la práctica jurídica clínica, invita a les abogades a cuestionar las comprensiones dominantes de la infancia mediante un proceso crítico y colaborativo de reflexión con les propios jóvenes:</w:t>
      </w:r>
    </w:p>
    <w:p w14:paraId="18A794BE" w14:textId="60E490C4" w:rsidR="00FC1779" w:rsidRPr="009257E7" w:rsidRDefault="00FC1779" w:rsidP="00FB6A3A">
      <w:pPr>
        <w:spacing w:before="100" w:beforeAutospacing="1" w:after="100" w:afterAutospacing="1" w:line="240" w:lineRule="auto"/>
        <w:ind w:left="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 xml:space="preserve">La narrativa dominante sobre la manera en que actualmente conceptualizamos el campo de les niñes y el derecho, en última instancia, [...] refleja una triangulación en la que los </w:t>
      </w:r>
      <w:r w:rsidRPr="009257E7">
        <w:rPr>
          <w:rFonts w:ascii="Times New Roman" w:eastAsia="Times New Roman" w:hAnsi="Times New Roman" w:cs="Times New Roman"/>
          <w:kern w:val="0"/>
          <w14:ligatures w14:val="none"/>
        </w:rPr>
        <w:lastRenderedPageBreak/>
        <w:t>padres y el gobierno ocupan los puntos superiores de</w:t>
      </w:r>
      <w:r w:rsidR="00FB6A3A" w:rsidRPr="009257E7">
        <w:rPr>
          <w:rFonts w:ascii="Times New Roman" w:eastAsia="Times New Roman" w:hAnsi="Times New Roman" w:cs="Times New Roman"/>
          <w:kern w:val="0"/>
          <w14:ligatures w14:val="none"/>
        </w:rPr>
        <w:t>l</w:t>
      </w:r>
      <w:r w:rsidRPr="009257E7">
        <w:rPr>
          <w:rFonts w:ascii="Times New Roman" w:eastAsia="Times New Roman" w:hAnsi="Times New Roman" w:cs="Times New Roman"/>
          <w:kern w:val="0"/>
          <w14:ligatures w14:val="none"/>
        </w:rPr>
        <w:t xml:space="preserve"> triángulo y se disputan el control sobre les niñes, quienes se encuentran situades en el punto inferior. La dependencia de les niñes justifica esta estructura dominante. En consecuencia, a medida que </w:t>
      </w:r>
      <w:r w:rsidR="00FB6A3A" w:rsidRPr="009257E7">
        <w:rPr>
          <w:rFonts w:ascii="Times New Roman" w:eastAsia="Times New Roman" w:hAnsi="Times New Roman" w:cs="Times New Roman"/>
          <w:kern w:val="0"/>
          <w14:ligatures w14:val="none"/>
        </w:rPr>
        <w:t>les niñes maduran, el triángulo comienza a desplazarse hasta que alcanzan la mayoría de edad, momento en que se activan</w:t>
      </w:r>
      <w:r w:rsidRPr="009257E7">
        <w:rPr>
          <w:rFonts w:ascii="Times New Roman" w:eastAsia="Times New Roman" w:hAnsi="Times New Roman" w:cs="Times New Roman"/>
          <w:kern w:val="0"/>
          <w14:ligatures w14:val="none"/>
        </w:rPr>
        <w:t xml:space="preserve"> </w:t>
      </w:r>
      <w:r w:rsidR="00FB6A3A" w:rsidRPr="009257E7">
        <w:rPr>
          <w:rFonts w:ascii="Times New Roman" w:eastAsia="Times New Roman" w:hAnsi="Times New Roman" w:cs="Times New Roman"/>
          <w:kern w:val="0"/>
          <w14:ligatures w14:val="none"/>
        </w:rPr>
        <w:t xml:space="preserve">los </w:t>
      </w:r>
      <w:r w:rsidRPr="009257E7">
        <w:rPr>
          <w:rFonts w:ascii="Times New Roman" w:eastAsia="Times New Roman" w:hAnsi="Times New Roman" w:cs="Times New Roman"/>
          <w:kern w:val="0"/>
          <w14:ligatures w14:val="none"/>
        </w:rPr>
        <w:t>derechos plenos de autonomía y todas las características que los acompañan.</w:t>
      </w:r>
    </w:p>
    <w:p w14:paraId="700202DB" w14:textId="0A233283" w:rsidR="00FC1779" w:rsidRPr="009257E7" w:rsidRDefault="00FB6A3A" w:rsidP="00FB6A3A">
      <w:pPr>
        <w:spacing w:before="100" w:beforeAutospacing="1" w:after="100" w:afterAutospacing="1" w:line="240" w:lineRule="auto"/>
        <w:ind w:left="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 xml:space="preserve">… </w:t>
      </w:r>
      <w:r w:rsidR="00FC1779" w:rsidRPr="009257E7">
        <w:rPr>
          <w:rFonts w:ascii="Times New Roman" w:eastAsia="Times New Roman" w:hAnsi="Times New Roman" w:cs="Times New Roman"/>
          <w:kern w:val="0"/>
          <w14:ligatures w14:val="none"/>
        </w:rPr>
        <w:t xml:space="preserve">[Esta doctrina de las “autoridades”] evolucionó a partir de la teoría de la propiedad —en la que los padres, o más exactamente los hombres padres, controlaban todos los aspectos de la vida de une niñe— hasta el surgimiento de </w:t>
      </w:r>
      <w:r w:rsidR="00FC1779" w:rsidRPr="009257E7">
        <w:rPr>
          <w:rFonts w:ascii="Times New Roman" w:eastAsia="Times New Roman" w:hAnsi="Times New Roman" w:cs="Times New Roman"/>
          <w:i/>
          <w:iCs/>
          <w:kern w:val="0"/>
          <w14:ligatures w14:val="none"/>
        </w:rPr>
        <w:t>parens patriae</w:t>
      </w:r>
      <w:r w:rsidR="00FC1779" w:rsidRPr="009257E7">
        <w:rPr>
          <w:rFonts w:ascii="Times New Roman" w:eastAsia="Times New Roman" w:hAnsi="Times New Roman" w:cs="Times New Roman"/>
          <w:kern w:val="0"/>
          <w14:ligatures w14:val="none"/>
        </w:rPr>
        <w:t xml:space="preserve"> y el deber que el Estado afirmaba tener de proteger especialmente a les niñes</w:t>
      </w:r>
      <w:r w:rsidRPr="009257E7">
        <w:rPr>
          <w:rFonts w:ascii="Times New Roman" w:eastAsia="Times New Roman" w:hAnsi="Times New Roman" w:cs="Times New Roman"/>
          <w:kern w:val="0"/>
          <w14:ligatures w14:val="none"/>
        </w:rPr>
        <w:t xml:space="preserve">… </w:t>
      </w:r>
      <w:r w:rsidR="00FC1779" w:rsidRPr="009257E7">
        <w:rPr>
          <w:rFonts w:ascii="Times New Roman" w:eastAsia="Times New Roman" w:hAnsi="Times New Roman" w:cs="Times New Roman"/>
          <w:kern w:val="0"/>
          <w14:ligatures w14:val="none"/>
        </w:rPr>
        <w:t>[E]l marco de las autoridades oscurece los intereses de les niñes en el “aquí y ahora” debido a su atención casi exclusiva a la trayectoria de les niñes desde la dependencia hasta la autonomía. Sin embargo, les niñes llevan vidas ricas y significativas como niñes: tienen relaciones, identidades, ideas, experiencias, opiniones y mucho más que el derecho debería tomar en cuenta. Pero debido a que nuestras leyes tratan a les niñes “como versiones inferiores de [les] adultes”, esos intereses quedan eclipsados. [...]</w:t>
      </w:r>
    </w:p>
    <w:p w14:paraId="1834707D" w14:textId="77777777" w:rsidR="00FC1779" w:rsidRPr="009257E7" w:rsidRDefault="00FC1779" w:rsidP="00FB6A3A">
      <w:pPr>
        <w:spacing w:before="100" w:beforeAutospacing="1" w:after="100" w:afterAutospacing="1" w:line="240" w:lineRule="auto"/>
        <w:ind w:left="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Les niñes de todo el país ya están abogando para que nuestras comunidades les respeten plenamente tal como existen ahora. [...] [Una] junta escolar de Portland, Oregón, adoptó la recomendación de les estudiantes de formar un comité integrado por estudiantes y adultes para crear un código de vestimenta neutral respecto del género y no discriminatorio. [...]</w:t>
      </w:r>
    </w:p>
    <w:p w14:paraId="2ECC38AA" w14:textId="272D7CC5" w:rsidR="00FC1779" w:rsidRPr="009257E7" w:rsidRDefault="00FB6A3A" w:rsidP="00FB6A3A">
      <w:pPr>
        <w:spacing w:before="100" w:beforeAutospacing="1" w:after="100" w:afterAutospacing="1" w:line="240" w:lineRule="auto"/>
        <w:ind w:left="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 xml:space="preserve">… </w:t>
      </w:r>
      <w:r w:rsidR="00FC1779" w:rsidRPr="009257E7">
        <w:rPr>
          <w:rFonts w:ascii="Times New Roman" w:eastAsia="Times New Roman" w:hAnsi="Times New Roman" w:cs="Times New Roman"/>
          <w:kern w:val="0"/>
          <w14:ligatures w14:val="none"/>
        </w:rPr>
        <w:t>[L]es jóvenes se han movilizado para liderar una campaña amplia y sin precedentes contra la violencia armada, denominada #NeverAgain</w:t>
      </w:r>
      <w:r w:rsidRPr="009257E7">
        <w:rPr>
          <w:rFonts w:ascii="Times New Roman" w:eastAsia="Times New Roman" w:hAnsi="Times New Roman" w:cs="Times New Roman"/>
          <w:kern w:val="0"/>
          <w14:ligatures w14:val="none"/>
        </w:rPr>
        <w:t>…</w:t>
      </w:r>
    </w:p>
    <w:p w14:paraId="6BA68FA5" w14:textId="3E734570" w:rsidR="00FC1779" w:rsidRPr="009257E7" w:rsidRDefault="00FC1779" w:rsidP="00FB6A3A">
      <w:pPr>
        <w:spacing w:before="100" w:beforeAutospacing="1" w:after="100" w:afterAutospacing="1" w:line="240" w:lineRule="auto"/>
        <w:ind w:left="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 xml:space="preserve">Este enfoque [liderado por jóvenes] ayuda así a transformar las percepciones sociales sobre la juventud de dos maneras importantes: mediante los efectos directos de los esfuerzos de reforma impulsados por jóvenes para promover sus propios intereses, que generan reformas de política pública; y mediante los efectos indirectos de un método que muestra a les jóvenes como personas plenas, con ideas, intereses e identidades importantes, capaces de impulsar sus propias agendas. Con el tiempo, también puede estimular </w:t>
      </w:r>
      <w:r w:rsidR="00FB6A3A" w:rsidRPr="009257E7">
        <w:rPr>
          <w:rFonts w:ascii="Times New Roman" w:eastAsia="Times New Roman" w:hAnsi="Times New Roman" w:cs="Times New Roman"/>
          <w:kern w:val="0"/>
          <w14:ligatures w14:val="none"/>
        </w:rPr>
        <w:t>l</w:t>
      </w:r>
      <w:r w:rsidRPr="009257E7">
        <w:rPr>
          <w:rFonts w:ascii="Times New Roman" w:eastAsia="Times New Roman" w:hAnsi="Times New Roman" w:cs="Times New Roman"/>
          <w:kern w:val="0"/>
          <w14:ligatures w14:val="none"/>
        </w:rPr>
        <w:t>a ampliación de los derechos jurídicos. Como demuestra el movimiento por la igualdad matrimonial, un cambio social profundo puede abrir el camino hacia reformas constitucionales</w:t>
      </w:r>
      <w:r w:rsidR="00FB6A3A" w:rsidRPr="009257E7">
        <w:rPr>
          <w:rFonts w:ascii="Times New Roman" w:eastAsia="Times New Roman" w:hAnsi="Times New Roman" w:cs="Times New Roman"/>
          <w:kern w:val="0"/>
          <w14:ligatures w14:val="none"/>
        </w:rPr>
        <w:t xml:space="preserve"> futuras</w:t>
      </w:r>
      <w:r w:rsidRPr="009257E7">
        <w:rPr>
          <w:rFonts w:ascii="Times New Roman" w:eastAsia="Times New Roman" w:hAnsi="Times New Roman" w:cs="Times New Roman"/>
          <w:kern w:val="0"/>
          <w14:ligatures w14:val="none"/>
        </w:rPr>
        <w:t>.</w:t>
      </w:r>
      <w:r w:rsidR="00FB6A3A" w:rsidRPr="009257E7">
        <w:rPr>
          <w:rStyle w:val="FootnoteReference"/>
          <w:rFonts w:ascii="Times New Roman" w:eastAsia="Times New Roman" w:hAnsi="Times New Roman" w:cs="Times New Roman"/>
          <w:kern w:val="0"/>
          <w14:ligatures w14:val="none"/>
        </w:rPr>
        <w:footnoteReference w:id="236"/>
      </w:r>
    </w:p>
    <w:p w14:paraId="51667D2A" w14:textId="4227CA72" w:rsidR="00FB6A3A" w:rsidRPr="009257E7" w:rsidRDefault="00FB6A3A" w:rsidP="00FB6A3A">
      <w:pPr>
        <w:spacing w:before="100" w:beforeAutospacing="1" w:after="100" w:afterAutospacing="1" w:line="240" w:lineRule="auto"/>
        <w:ind w:firstLine="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 xml:space="preserve">Como ilustra Bratt, los grupos organizados de personas marginadas deben convertir el cambio de las concepciones culturales dominantes en un objetivo explícito de la abogacía. Las concepciones culturales dominantes limitan a todo “el pueblo”: quienes votan, legislan, adjudican o, de cualquier otra manera, viven dentro de los sistemas y trabajan en ellos para hacer cumplir el statu quo. Sin transformar las mentes y los corazones de estas personas, les abogades </w:t>
      </w:r>
      <w:r w:rsidRPr="009257E7">
        <w:rPr>
          <w:rFonts w:ascii="Times New Roman" w:eastAsia="Times New Roman" w:hAnsi="Times New Roman" w:cs="Times New Roman"/>
          <w:kern w:val="0"/>
          <w14:ligatures w14:val="none"/>
        </w:rPr>
        <w:lastRenderedPageBreak/>
        <w:t xml:space="preserve">sistémiques rara vez pueden lograr un progreso transformador que abarque los niveles micro y macro de la conciencia. </w:t>
      </w:r>
    </w:p>
    <w:p w14:paraId="63DC94EA" w14:textId="1BFB4FBE" w:rsidR="00FB6A3A" w:rsidRPr="009257E7" w:rsidRDefault="00FB6A3A" w:rsidP="00FB6A3A">
      <w:pPr>
        <w:spacing w:before="100" w:beforeAutospacing="1" w:after="100" w:afterAutospacing="1" w:line="240" w:lineRule="auto"/>
        <w:ind w:firstLine="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 xml:space="preserve">Estos materiales ilustran cómo les abogades diseñan proyectos orientados al progreso en los tres niveles, independientemente del contexto y de su complejidad; dentro de ese diseño, les abogades procuran transformar de manera intencional la conciencia individual en los grupos organizados y cambiar las actitudes dominantes sobre los problemas, los grupos y las soluciones en la cultura dominante. Pero transformar creencias dominantes, inculcadas de forma sistémica en individuos y grupos, no es una tarea fácil ni rápida. Se necesita poder —incluido el poder para sostenerse en el tiempo— para transformar la conciencia y la cultura; es decir, para provocar y sostener el desplazamiento micro-macro de nociones arraigadas desde arriba mediante conocimiento desde abajo. Por esta razón, el trabajo del segundo nivel siempre acompaña el logro de los objetivos del tercer nivel, del mismo modo que el trabajo del primer nivel debe sentar siempre alguna base para los objetivos del segundo nivel. </w:t>
      </w:r>
    </w:p>
    <w:p w14:paraId="2049BAFD" w14:textId="77777777" w:rsidR="00FB6A3A" w:rsidRPr="009257E7" w:rsidRDefault="00FB6A3A" w:rsidP="00FB6A3A">
      <w:pPr>
        <w:spacing w:before="100" w:beforeAutospacing="1" w:after="100" w:afterAutospacing="1" w:line="240" w:lineRule="auto"/>
        <w:ind w:firstLine="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El académico jurídico Eric Yamamoto pone en primer plano tanto la importancia como el riesgo del trabajo dirigido a transformar las comprensiones históricas y culturales que los grupos subordinados tienen específicamente unos de otros:</w:t>
      </w:r>
    </w:p>
    <w:p w14:paraId="4797378E" w14:textId="4103A549" w:rsidR="00FB6A3A" w:rsidRPr="009257E7" w:rsidRDefault="00FB6A3A" w:rsidP="00FB6A3A">
      <w:pPr>
        <w:spacing w:before="100" w:beforeAutospacing="1" w:after="100" w:afterAutospacing="1" w:line="240" w:lineRule="auto"/>
        <w:ind w:left="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La justicia interracial, tal como la concibo, refleja un compromiso con la antisubordinación entre grupos raciales no blancos…</w:t>
      </w:r>
    </w:p>
    <w:p w14:paraId="0F3B0C8B" w14:textId="33BFCC79" w:rsidR="00FB6A3A" w:rsidRPr="009257E7" w:rsidRDefault="00FB6A3A" w:rsidP="00FB6A3A">
      <w:pPr>
        <w:spacing w:before="100" w:beforeAutospacing="1" w:after="100" w:afterAutospacing="1" w:line="240" w:lineRule="auto"/>
        <w:ind w:left="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En lugar de culpar a los grupos raciales por no asimilarse a la corriente dominante estadounidense, como suelen hacer las teorías neoconservadoras, o de culpar a las instituciones controladas por personas blancas de todos los males raciales, como hacen algunas teorías del nacionalismo/colonialismo, el concepto de justicia interracial sitúa la capacidad de acción y la responsabilidad de los grupos raciales en la tensión entre la subordinación grupal continua y el poder grupal emergente. Plantea que, en medio de cambios estructurales sociales, los grupos raciales pueden estar, de distintas maneras, simultáneamente privilegiados y oprimidos, empoderados y desempoderados, elevando a otros y subordinándolos. [...]</w:t>
      </w:r>
    </w:p>
    <w:p w14:paraId="675CEEAF" w14:textId="5230984D" w:rsidR="00FB6A3A" w:rsidRPr="009257E7" w:rsidRDefault="00FB6A3A" w:rsidP="00FB6A3A">
      <w:pPr>
        <w:spacing w:before="100" w:beforeAutospacing="1" w:after="100" w:afterAutospacing="1" w:line="240" w:lineRule="auto"/>
        <w:ind w:left="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 [Un ejemplo es] la propuesta de ciertos grupos eclesiales asiático-estadounidenses de emitir una resolución de disculpa y reparación dirigida a les hawaianes natives. Esa resolución reconocía cómo muchas personas asiáticas “se beneficiaron social y económicamente [del] derrocamiento ilegal” de la nación soberana hawaiana, mientras “ignoraban la destrucción de la cultura hawaiana nativa y las luchas” del pueblo indígena de Hawai‘i. El objetivo expresado de la resolución era la reconciliación y la justicia a la luz de “una dinámica particular [...] entre hawaianes natives y asi</w:t>
      </w:r>
      <w:r w:rsidR="00600508" w:rsidRPr="009257E7">
        <w:rPr>
          <w:rFonts w:ascii="Times New Roman" w:eastAsia="Times New Roman" w:hAnsi="Times New Roman" w:cs="Times New Roman"/>
          <w:kern w:val="0"/>
          <w14:ligatures w14:val="none"/>
        </w:rPr>
        <w:t>ático-</w:t>
      </w:r>
      <w:r w:rsidRPr="009257E7">
        <w:rPr>
          <w:rFonts w:ascii="Times New Roman" w:eastAsia="Times New Roman" w:hAnsi="Times New Roman" w:cs="Times New Roman"/>
          <w:kern w:val="0"/>
          <w14:ligatures w14:val="none"/>
        </w:rPr>
        <w:t>estadounidenses, arraigada en la incomprensión y la desconfianza mutuas”, que dio lugar al uso de “estereotipos y caricaturas para degradar y deshumanizar”.</w:t>
      </w:r>
    </w:p>
    <w:p w14:paraId="56F40475" w14:textId="7ECC1DF7" w:rsidR="00FB6A3A" w:rsidRPr="009257E7" w:rsidRDefault="00600508" w:rsidP="00600508">
      <w:pPr>
        <w:spacing w:before="100" w:beforeAutospacing="1" w:after="100" w:afterAutospacing="1" w:line="240" w:lineRule="auto"/>
        <w:ind w:left="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w:t>
      </w:r>
      <w:r w:rsidR="00FB6A3A" w:rsidRPr="009257E7">
        <w:rPr>
          <w:rFonts w:ascii="Times New Roman" w:eastAsia="Times New Roman" w:hAnsi="Times New Roman" w:cs="Times New Roman"/>
          <w:kern w:val="0"/>
          <w14:ligatures w14:val="none"/>
        </w:rPr>
        <w:t xml:space="preserve"> [E]l marco de una teoría de alianzas intergrupales basada en el concepto de “justicia interracial” [resulta útil para abordar las respuestas intensas a esta resolución]. La justicia interracial reconoce la dominación histórica blanca y la influencia retórica, institucional y económica blanca contemporánea, al tiempo que desplaza la blanquitud como referente </w:t>
      </w:r>
      <w:r w:rsidR="00FB6A3A" w:rsidRPr="009257E7">
        <w:rPr>
          <w:rFonts w:ascii="Times New Roman" w:eastAsia="Times New Roman" w:hAnsi="Times New Roman" w:cs="Times New Roman"/>
          <w:kern w:val="0"/>
          <w14:ligatures w14:val="none"/>
        </w:rPr>
        <w:lastRenderedPageBreak/>
        <w:t>único para determinar las identidades raciales y las relaciones interraciales</w:t>
      </w:r>
      <w:r w:rsidRPr="009257E7">
        <w:rPr>
          <w:rFonts w:ascii="Times New Roman" w:eastAsia="Times New Roman" w:hAnsi="Times New Roman" w:cs="Times New Roman"/>
          <w:kern w:val="0"/>
          <w14:ligatures w14:val="none"/>
        </w:rPr>
        <w:t xml:space="preserve">… </w:t>
      </w:r>
      <w:r w:rsidR="00FB6A3A" w:rsidRPr="009257E7">
        <w:rPr>
          <w:rFonts w:ascii="Times New Roman" w:eastAsia="Times New Roman" w:hAnsi="Times New Roman" w:cs="Times New Roman"/>
          <w:kern w:val="0"/>
          <w14:ligatures w14:val="none"/>
        </w:rPr>
        <w:t>[L]a justicia interracial exige un reconocimiento difícil de hasta qué punto los grupos raciales no blancos, según las circunstancias, han oprimido y continúan oprimiéndose entre sí, así como un compromiso con esfuerzos afirmativos para reparar los daños pasados y continuos.</w:t>
      </w:r>
      <w:r w:rsidRPr="009257E7">
        <w:rPr>
          <w:rStyle w:val="FootnoteReference"/>
          <w:rFonts w:ascii="Times New Roman" w:eastAsia="Times New Roman" w:hAnsi="Times New Roman" w:cs="Times New Roman"/>
          <w:kern w:val="0"/>
          <w14:ligatures w14:val="none"/>
        </w:rPr>
        <w:footnoteReference w:id="237"/>
      </w:r>
    </w:p>
    <w:p w14:paraId="710B4873" w14:textId="2E4BD2A5" w:rsidR="00600508" w:rsidRPr="009257E7" w:rsidRDefault="00600508" w:rsidP="00DA264E">
      <w:pPr>
        <w:spacing w:before="100" w:beforeAutospacing="1" w:after="100" w:afterAutospacing="1" w:line="240" w:lineRule="auto"/>
        <w:ind w:firstLine="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 xml:space="preserve">En situaciones como estas, ¿cómo podrían les abogades y </w:t>
      </w:r>
      <w:r w:rsidR="00DA264E" w:rsidRPr="009257E7">
        <w:rPr>
          <w:rFonts w:ascii="Times New Roman" w:eastAsia="Times New Roman" w:hAnsi="Times New Roman" w:cs="Times New Roman"/>
          <w:kern w:val="0"/>
          <w14:ligatures w14:val="none"/>
        </w:rPr>
        <w:t xml:space="preserve">les </w:t>
      </w:r>
      <w:r w:rsidRPr="009257E7">
        <w:rPr>
          <w:rFonts w:ascii="Times New Roman" w:eastAsia="Times New Roman" w:hAnsi="Times New Roman" w:cs="Times New Roman"/>
          <w:kern w:val="0"/>
          <w14:ligatures w14:val="none"/>
        </w:rPr>
        <w:t xml:space="preserve">activistas crear un entorno propicio para las conversaciones difíciles que se necesitan y para los cambios esperados en la conciencia individual y en las culturas organizativas dentro de los grupos de clientes o entre ellos? Tales cambios requieren, entre otras cosas, una atención cuidadosa a la participación; el valor </w:t>
      </w:r>
      <w:r w:rsidR="00DA264E" w:rsidRPr="009257E7">
        <w:rPr>
          <w:rFonts w:ascii="Times New Roman" w:eastAsia="Times New Roman" w:hAnsi="Times New Roman" w:cs="Times New Roman"/>
          <w:kern w:val="0"/>
          <w14:ligatures w14:val="none"/>
        </w:rPr>
        <w:t>de</w:t>
      </w:r>
      <w:r w:rsidRPr="009257E7">
        <w:rPr>
          <w:rFonts w:ascii="Times New Roman" w:eastAsia="Times New Roman" w:hAnsi="Times New Roman" w:cs="Times New Roman"/>
          <w:kern w:val="0"/>
          <w14:ligatures w14:val="none"/>
        </w:rPr>
        <w:t xml:space="preserve"> hablar con apertura, vulnerabilidad</w:t>
      </w:r>
      <w:r w:rsidR="00DA264E" w:rsidRPr="009257E7">
        <w:rPr>
          <w:rFonts w:ascii="Times New Roman" w:eastAsia="Times New Roman" w:hAnsi="Times New Roman" w:cs="Times New Roman"/>
          <w:kern w:val="0"/>
          <w14:ligatures w14:val="none"/>
        </w:rPr>
        <w:t xml:space="preserve"> y</w:t>
      </w:r>
      <w:r w:rsidRPr="009257E7">
        <w:rPr>
          <w:rFonts w:ascii="Times New Roman" w:eastAsia="Times New Roman" w:hAnsi="Times New Roman" w:cs="Times New Roman"/>
          <w:kern w:val="0"/>
          <w14:ligatures w14:val="none"/>
        </w:rPr>
        <w:t xml:space="preserve"> persistencia</w:t>
      </w:r>
      <w:r w:rsidR="00DA264E" w:rsidRPr="009257E7">
        <w:rPr>
          <w:rFonts w:ascii="Times New Roman" w:eastAsia="Times New Roman" w:hAnsi="Times New Roman" w:cs="Times New Roman"/>
          <w:kern w:val="0"/>
          <w14:ligatures w14:val="none"/>
        </w:rPr>
        <w:t>,</w:t>
      </w:r>
      <w:r w:rsidRPr="009257E7">
        <w:rPr>
          <w:rFonts w:ascii="Times New Roman" w:eastAsia="Times New Roman" w:hAnsi="Times New Roman" w:cs="Times New Roman"/>
          <w:kern w:val="0"/>
          <w14:ligatures w14:val="none"/>
        </w:rPr>
        <w:t xml:space="preserve"> e incluso desde el dolor o la ira; y una disposición recíproca a escuchar, respetar y responder con palabras y acciones significativas. Yamamoto describe un momento clave, varios días después de iniciada la reunión de la Conferencia de la United Church of Christ, en la que se había presentado la propuesta de disculpa y reparaciones; un momento que abrió la puerta a transformar la conciencia de les participantes y la cultura organizativa de la Conferencia:</w:t>
      </w:r>
    </w:p>
    <w:p w14:paraId="58E74F99" w14:textId="2FA36412" w:rsidR="00600508" w:rsidRPr="009257E7" w:rsidRDefault="00600508" w:rsidP="00DA264E">
      <w:pPr>
        <w:spacing w:before="100" w:beforeAutospacing="1" w:after="100" w:afterAutospacing="1" w:line="240" w:lineRule="auto"/>
        <w:ind w:left="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El reverendo Kekapa Lee, pastor hawaiano nativo y chinoestadounidense de una pequeña iglesia en Maui, se puso de pie y habló</w:t>
      </w:r>
      <w:r w:rsidR="00DA264E" w:rsidRPr="009257E7">
        <w:rPr>
          <w:rFonts w:ascii="Times New Roman" w:eastAsia="Times New Roman" w:hAnsi="Times New Roman" w:cs="Times New Roman"/>
          <w:kern w:val="0"/>
          <w14:ligatures w14:val="none"/>
        </w:rPr>
        <w:t>: …</w:t>
      </w:r>
    </w:p>
    <w:p w14:paraId="3CE5891C" w14:textId="0AE1960B" w:rsidR="00600508" w:rsidRPr="009257E7" w:rsidRDefault="00600508" w:rsidP="00DA264E">
      <w:pPr>
        <w:spacing w:before="100" w:beforeAutospacing="1" w:after="100" w:afterAutospacing="1" w:line="240" w:lineRule="auto"/>
        <w:ind w:left="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Y tengo el corazón muy, muy, muy apesadumbrado porque no entiendo por qué una disculpa es algo tan grande</w:t>
      </w:r>
      <w:r w:rsidR="00DA264E" w:rsidRPr="009257E7">
        <w:rPr>
          <w:rFonts w:ascii="Times New Roman" w:eastAsia="Times New Roman" w:hAnsi="Times New Roman" w:cs="Times New Roman"/>
          <w:kern w:val="0"/>
          <w14:ligatures w14:val="none"/>
        </w:rPr>
        <w:t>…</w:t>
      </w:r>
    </w:p>
    <w:p w14:paraId="4CC9B98F" w14:textId="0923FB78" w:rsidR="00600508" w:rsidRPr="009257E7" w:rsidRDefault="00600508" w:rsidP="00DA264E">
      <w:pPr>
        <w:spacing w:before="100" w:beforeAutospacing="1" w:after="100" w:afterAutospacing="1" w:line="240" w:lineRule="auto"/>
        <w:ind w:left="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Fue solo en ese momento, creo, después de días de discusiones tensas, que la mayoría de las personas no hawaianas presentes —incluidas muchas personas blancas y asi</w:t>
      </w:r>
      <w:r w:rsidR="00DA264E" w:rsidRPr="009257E7">
        <w:rPr>
          <w:rFonts w:ascii="Times New Roman" w:eastAsia="Times New Roman" w:hAnsi="Times New Roman" w:cs="Times New Roman"/>
          <w:kern w:val="0"/>
          <w14:ligatures w14:val="none"/>
        </w:rPr>
        <w:t>ático-</w:t>
      </w:r>
      <w:r w:rsidRPr="009257E7">
        <w:rPr>
          <w:rFonts w:ascii="Times New Roman" w:eastAsia="Times New Roman" w:hAnsi="Times New Roman" w:cs="Times New Roman"/>
          <w:kern w:val="0"/>
          <w14:ligatures w14:val="none"/>
        </w:rPr>
        <w:t>estadounidenses— comprendieron la profundidad del dolor continuo que experimentaban les hawaianes dentro de su propia Conferencia</w:t>
      </w:r>
      <w:r w:rsidR="00DA264E" w:rsidRPr="009257E7">
        <w:rPr>
          <w:rFonts w:ascii="Times New Roman" w:eastAsia="Times New Roman" w:hAnsi="Times New Roman" w:cs="Times New Roman"/>
          <w:kern w:val="0"/>
          <w14:ligatures w14:val="none"/>
        </w:rPr>
        <w:t xml:space="preserve">… </w:t>
      </w:r>
      <w:r w:rsidRPr="009257E7">
        <w:rPr>
          <w:rFonts w:ascii="Times New Roman" w:eastAsia="Times New Roman" w:hAnsi="Times New Roman" w:cs="Times New Roman"/>
          <w:kern w:val="0"/>
          <w14:ligatures w14:val="none"/>
        </w:rPr>
        <w:t>Luego, les integrantes de la estructura de gobierno de la Conferencia adoptaron por consenso una versión enmendada de la resolución más amplia, mediante la cual se ordenaba a la Conferencia disculparse con les hawaianes natives por la participación de su organización predecesora en el derrocamiento de la nación hawaiana y comenzar una discusión sobre reparaciones.</w:t>
      </w:r>
      <w:r w:rsidR="00DA264E" w:rsidRPr="009257E7">
        <w:rPr>
          <w:rStyle w:val="FootnoteReference"/>
          <w:rFonts w:ascii="Times New Roman" w:eastAsia="Times New Roman" w:hAnsi="Times New Roman" w:cs="Times New Roman"/>
          <w:kern w:val="0"/>
          <w14:ligatures w14:val="none"/>
        </w:rPr>
        <w:footnoteReference w:id="238"/>
      </w:r>
    </w:p>
    <w:p w14:paraId="5D3DA270" w14:textId="2C5EBBAC" w:rsidR="00065B81" w:rsidRPr="009257E7" w:rsidRDefault="00600508" w:rsidP="00DA264E">
      <w:pPr>
        <w:spacing w:before="100" w:beforeAutospacing="1" w:after="100" w:afterAutospacing="1" w:line="240" w:lineRule="auto"/>
        <w:ind w:firstLine="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 xml:space="preserve">Este ejemplo ilustra varios puntos importantes para una abogacía cotidiana pero compleja. Ofrece un caso concreto de grupos que crean intencionalmente una conversación difícil y la atraviesan mediante compromisos específicos de seguimiento, tanto tangibles —reparaciones— como intangibles —disculpa—. Esta elección colectiva y mutua creó una oportunidad para interrumpir los marcos de culpabilización impuestos desde arriba que vinculan </w:t>
      </w:r>
      <w:r w:rsidR="00DA264E" w:rsidRPr="009257E7">
        <w:rPr>
          <w:rFonts w:ascii="Times New Roman" w:eastAsia="Times New Roman" w:hAnsi="Times New Roman" w:cs="Times New Roman"/>
          <w:kern w:val="0"/>
          <w14:ligatures w14:val="none"/>
        </w:rPr>
        <w:t xml:space="preserve">las </w:t>
      </w:r>
      <w:r w:rsidRPr="009257E7">
        <w:rPr>
          <w:rFonts w:ascii="Times New Roman" w:eastAsia="Times New Roman" w:hAnsi="Times New Roman" w:cs="Times New Roman"/>
          <w:kern w:val="0"/>
          <w14:ligatures w14:val="none"/>
        </w:rPr>
        <w:t xml:space="preserve">identidades con </w:t>
      </w:r>
      <w:r w:rsidR="00DA264E" w:rsidRPr="009257E7">
        <w:rPr>
          <w:rFonts w:ascii="Times New Roman" w:eastAsia="Times New Roman" w:hAnsi="Times New Roman" w:cs="Times New Roman"/>
          <w:kern w:val="0"/>
          <w14:ligatures w14:val="none"/>
        </w:rPr>
        <w:t xml:space="preserve">el </w:t>
      </w:r>
      <w:r w:rsidRPr="009257E7">
        <w:rPr>
          <w:rFonts w:ascii="Times New Roman" w:eastAsia="Times New Roman" w:hAnsi="Times New Roman" w:cs="Times New Roman"/>
          <w:kern w:val="0"/>
          <w14:ligatures w14:val="none"/>
        </w:rPr>
        <w:t>privilegio y</w:t>
      </w:r>
      <w:r w:rsidR="00DA264E" w:rsidRPr="009257E7">
        <w:rPr>
          <w:rFonts w:ascii="Times New Roman" w:eastAsia="Times New Roman" w:hAnsi="Times New Roman" w:cs="Times New Roman"/>
          <w:kern w:val="0"/>
          <w14:ligatures w14:val="none"/>
        </w:rPr>
        <w:t xml:space="preserve"> la</w:t>
      </w:r>
      <w:r w:rsidRPr="009257E7">
        <w:rPr>
          <w:rFonts w:ascii="Times New Roman" w:eastAsia="Times New Roman" w:hAnsi="Times New Roman" w:cs="Times New Roman"/>
          <w:kern w:val="0"/>
          <w14:ligatures w14:val="none"/>
        </w:rPr>
        <w:t xml:space="preserve"> subordinación; para transformar la conciencia individual y la cultura organizativa en torno a problemas sistémicos y condiciones sociales; y para profundizar la solidaridad entre individuos y grupos con el fin de trabajar conjuntamente por la justicia. También ilustra cómo les abogades sistémiques combinan recursos tradicionales y críticos en su trabajo.</w:t>
      </w:r>
    </w:p>
    <w:p w14:paraId="1BA6E91F" w14:textId="48757606" w:rsidR="00041F56" w:rsidRPr="009257E7" w:rsidRDefault="00041F56" w:rsidP="00041F56">
      <w:pPr>
        <w:pStyle w:val="NormalWeb"/>
        <w:rPr>
          <w:lang w:val="es-ES"/>
        </w:rPr>
      </w:pPr>
      <w:r w:rsidRPr="009257E7">
        <w:rPr>
          <w:b/>
          <w:bCs/>
          <w:lang w:val="es-ES"/>
        </w:rPr>
        <w:lastRenderedPageBreak/>
        <w:t>6.5</w:t>
      </w:r>
      <w:r w:rsidRPr="009257E7">
        <w:rPr>
          <w:lang w:val="es-ES"/>
        </w:rPr>
        <w:t xml:space="preserve"> Les abogades sistémiques combinan herramientas tradicionales y críticas para lograr progreso de tres niveles</w:t>
      </w:r>
    </w:p>
    <w:p w14:paraId="3B6B33FF" w14:textId="1FBA04B7" w:rsidR="005061E9" w:rsidRPr="009257E7" w:rsidRDefault="005061E9" w:rsidP="005061E9">
      <w:pPr>
        <w:pStyle w:val="NormalWeb"/>
        <w:ind w:firstLine="720"/>
      </w:pPr>
      <w:r w:rsidRPr="009257E7">
        <w:t xml:space="preserve">En contraste con los enfoques tradicionales de la práctica jurídica ejemplificados por la industria jurídica, les abogades sistémiques necesitan, y han reunido, un conjunto amplio de conocimientos críticos, valores, destrezas y actitudes (CKVSAs, por sus siglas en inglés; </w:t>
      </w:r>
      <w:r w:rsidRPr="009257E7">
        <w:rPr>
          <w:i/>
          <w:iCs/>
          <w:szCs w:val="21"/>
        </w:rPr>
        <w:t>critical knowledges, values, skills, and attitudes</w:t>
      </w:r>
      <w:r w:rsidRPr="009257E7">
        <w:t>) para lograr y sostener, con el tiempo, un progreso en los tres niveles. En efecto, este conjunto amplio de herramientas para la solución de problemas está diseñado para ayudar a les abogades a contrarrestar el conjunto de herramientas desde arriba descrito, en particular, en el capítulo 2, que las élites despliegan para mantener, por encima de todo, el statu quo. Estas CKVSAs ampliadas están orientadas específicamente al trabajo con grupos y comunidades, como integrantes en igualdad de condiciones, dentro de los procesos de solución de problemas, y a mantener el enfoque tanto en la mejora como en la transformación.</w:t>
      </w:r>
    </w:p>
    <w:p w14:paraId="1AB68113" w14:textId="4BBA8984" w:rsidR="005061E9" w:rsidRPr="009257E7" w:rsidRDefault="005061E9" w:rsidP="005061E9">
      <w:pPr>
        <w:pStyle w:val="NormalWeb"/>
        <w:ind w:firstLine="720"/>
      </w:pPr>
      <w:r w:rsidRPr="009257E7">
        <w:t>El propósito de esta revisión comparativa es desarrollar conciencia sobre las diversas herramientas críticas —las CKVSAs— a las que se debe recurrir para mantener una abogacía efectiva, basada en principios y sujeta a rendición de cuentas, y ayudar a comprender cómo la combinación de herramientas críticas y tradicionales puede hacer más efectiva la abogacía de tres niveles, independientemente del contexto o escenario. Al igual que une buen carpintere, plomere o electricista, les abogades deben conocer las herramientas de su repertorio, saber cuál utilizar, cuándo y cómo utilizarla, y en qué combinaciones o secuencias, para resolver problemas no solo mediante soluciones temporales, sino de manera que sea menos probable que el problema vuelva a ocurrir.</w:t>
      </w:r>
    </w:p>
    <w:p w14:paraId="66827BA9" w14:textId="77777777" w:rsidR="005061E9" w:rsidRPr="009257E7" w:rsidRDefault="005061E9" w:rsidP="005061E9">
      <w:pPr>
        <w:pStyle w:val="NormalWeb"/>
        <w:ind w:firstLine="360"/>
      </w:pPr>
      <w:r w:rsidRPr="009257E7">
        <w:t>Como conjunto, y cuando se aplican de manera autocrítica, estas CKVSAs protegen la integridad y la eficacia de tu trabajo:</w:t>
      </w:r>
    </w:p>
    <w:p w14:paraId="36CEE05B" w14:textId="77777777" w:rsidR="005061E9" w:rsidRPr="009257E7" w:rsidRDefault="005061E9" w:rsidP="005061E9">
      <w:pPr>
        <w:pStyle w:val="NormalWeb"/>
        <w:numPr>
          <w:ilvl w:val="0"/>
          <w:numId w:val="8"/>
        </w:numPr>
        <w:rPr>
          <w:b/>
          <w:bCs/>
        </w:rPr>
      </w:pPr>
      <w:r w:rsidRPr="009257E7">
        <w:rPr>
          <w:b/>
          <w:bCs/>
        </w:rPr>
        <w:t>Valores sociales e identidad profesional en la práctica ética:</w:t>
      </w:r>
    </w:p>
    <w:p w14:paraId="3981D45B" w14:textId="5AA3822A" w:rsidR="005061E9" w:rsidRPr="009257E7" w:rsidRDefault="005061E9" w:rsidP="005061E9">
      <w:pPr>
        <w:pStyle w:val="NormalWeb"/>
        <w:ind w:firstLine="360"/>
      </w:pPr>
      <w:r w:rsidRPr="009257E7">
        <w:rPr>
          <w:rStyle w:val="Emphasis"/>
        </w:rPr>
        <w:t>Arraigar las identidades profesionales, la ética y las prácticas en compromisos con la justicia social y con valores de antisubordinación, para cultivar hábitos de trabajo basados en principios, resilientes e ingeniosos; y mantener en todo momento una postura autocrítica y proactiva para asegurar la integridad.</w:t>
      </w:r>
    </w:p>
    <w:p w14:paraId="44BC83F8" w14:textId="77777777" w:rsidR="005061E9" w:rsidRPr="009257E7" w:rsidRDefault="005061E9" w:rsidP="005061E9">
      <w:pPr>
        <w:pStyle w:val="NormalWeb"/>
        <w:numPr>
          <w:ilvl w:val="0"/>
          <w:numId w:val="9"/>
        </w:numPr>
        <w:rPr>
          <w:b/>
          <w:bCs/>
        </w:rPr>
      </w:pPr>
      <w:r w:rsidRPr="009257E7">
        <w:rPr>
          <w:b/>
          <w:bCs/>
        </w:rPr>
        <w:t>Progreso significativo y teoría crítica en la abogacía efectiva:</w:t>
      </w:r>
    </w:p>
    <w:p w14:paraId="0F1FA3ED" w14:textId="511415E3" w:rsidR="005061E9" w:rsidRPr="009257E7" w:rsidRDefault="005061E9" w:rsidP="005061E9">
      <w:pPr>
        <w:pStyle w:val="NormalWeb"/>
        <w:ind w:firstLine="360"/>
      </w:pPr>
      <w:r w:rsidRPr="009257E7">
        <w:rPr>
          <w:rStyle w:val="Emphasis"/>
        </w:rPr>
        <w:t>Comprender las dinámicas del cambio social basadas en principios y sostenibles, así como el funcionamiento de los sectores de interés público y de la justicia social dentro de las culturas jurídicas dominantes, tanto en el ámbito local como más allá de este; conocer los enfoques comparativos, las críticas y los lenguajes de la teoría crítica de personas externas y de la organización de movimientos o de la abogacía comunitaria.</w:t>
      </w:r>
    </w:p>
    <w:p w14:paraId="4BE084FA" w14:textId="77777777" w:rsidR="005061E9" w:rsidRPr="009257E7" w:rsidRDefault="005061E9" w:rsidP="005061E9">
      <w:pPr>
        <w:pStyle w:val="NormalWeb"/>
        <w:numPr>
          <w:ilvl w:val="0"/>
          <w:numId w:val="10"/>
        </w:numPr>
        <w:rPr>
          <w:b/>
          <w:bCs/>
        </w:rPr>
      </w:pPr>
      <w:r w:rsidRPr="009257E7">
        <w:rPr>
          <w:b/>
          <w:bCs/>
        </w:rPr>
        <w:t>Análisis basado en hechos y sistemas complejos en la acción colaborativa:</w:t>
      </w:r>
    </w:p>
    <w:p w14:paraId="7F5A4867" w14:textId="77777777" w:rsidR="005061E9" w:rsidRPr="009257E7" w:rsidRDefault="005061E9" w:rsidP="005061E9">
      <w:pPr>
        <w:pStyle w:val="NormalWeb"/>
        <w:ind w:firstLine="360"/>
      </w:pPr>
      <w:r w:rsidRPr="009257E7">
        <w:rPr>
          <w:rStyle w:val="Emphasis"/>
        </w:rPr>
        <w:t xml:space="preserve">Desglosar la complejidad y las asignaciones, tareas o problemas poco usuales en planes paso a paso, arraigados en la realidad social, que tomen en cuenta el papel del poder en </w:t>
      </w:r>
      <w:r w:rsidRPr="009257E7">
        <w:rPr>
          <w:rStyle w:val="Emphasis"/>
        </w:rPr>
        <w:lastRenderedPageBreak/>
        <w:t>diversos contextos colaborativos de solución de problemas; mantener el enfoque en resultados basados en principios y con un impacto social significativo en términos materiales para comunidades tradicionalmente subordinadas.</w:t>
      </w:r>
    </w:p>
    <w:p w14:paraId="4598929A" w14:textId="77777777" w:rsidR="005061E9" w:rsidRPr="009257E7" w:rsidRDefault="005061E9" w:rsidP="005061E9">
      <w:pPr>
        <w:pStyle w:val="NormalWeb"/>
        <w:numPr>
          <w:ilvl w:val="0"/>
          <w:numId w:val="11"/>
        </w:numPr>
        <w:rPr>
          <w:b/>
          <w:bCs/>
        </w:rPr>
      </w:pPr>
      <w:r w:rsidRPr="009257E7">
        <w:rPr>
          <w:b/>
          <w:bCs/>
        </w:rPr>
        <w:t>Competencias culturales y pericia técnica en múltiples contextos:</w:t>
      </w:r>
    </w:p>
    <w:p w14:paraId="093CE91A" w14:textId="77777777" w:rsidR="005061E9" w:rsidRPr="009257E7" w:rsidRDefault="005061E9" w:rsidP="005061E9">
      <w:pPr>
        <w:pStyle w:val="NormalWeb"/>
        <w:ind w:firstLine="360"/>
      </w:pPr>
      <w:r w:rsidRPr="009257E7">
        <w:rPr>
          <w:rStyle w:val="Emphasis"/>
        </w:rPr>
        <w:t>Crear y gestionar conversaciones, relaciones, situaciones y planes de acción para impulsar el trabajo, tanto cultural como técnicamente, a pesar de desafíos complicados o contradictorios en la solución de problemas; estar preparade para sostener la colaboración a través de múltiples fuentes de diferencia —profesionales, técnicas y demográficas— con el fin de producir resultados.</w:t>
      </w:r>
    </w:p>
    <w:p w14:paraId="00C7450B" w14:textId="075AC9A3" w:rsidR="005061E9" w:rsidRPr="009257E7" w:rsidRDefault="005061E9" w:rsidP="005061E9">
      <w:pPr>
        <w:pStyle w:val="NormalWeb"/>
        <w:ind w:firstLine="360"/>
      </w:pPr>
      <w:r w:rsidRPr="009257E7">
        <w:t>Aunque algunas de estas CKVSAs superpuestas pueden tener mayor relevancia en un momento o contexto determinado, todas deben ponerse plenamente en práctica de manera autocrítica y, por lo general, en entornos sistémicos complejos. Estas CKVSAs, como un conjunto ampliado de herramientas desde abajo, reconocen que las soluciones nunca son permanentes ni se ejecutan por sí solas; requieren trabajo arduo y, para perdurar, requieren aún más trabajo arduo. Todas las soluciones son necesariamente provisionales porque siempre habrá una próxima ronda de lucha, a medida que quienes tienen intereses en el statu quo vuelven a afirmar y reconstruir el privilegio y la subordinación. También son siempre incrementales porque la complejidad de los sistemas implica que ningún cambio aislado puede abordar todas las dimensiones de un problema ni anticipar todas las consecuencias de ese cambio. Por tanto, les abogades combinan las CKVSAs de manera flexible, interactiva y deliberada para enfrentar el Desafío Crítico de usar el derecho para lograr justicia igualitaria. También convierten la colaboración en una parte integral del trabajo.</w:t>
      </w:r>
    </w:p>
    <w:p w14:paraId="71E51561" w14:textId="77777777" w:rsidR="005061E9" w:rsidRPr="009257E7" w:rsidRDefault="005061E9" w:rsidP="00041F56">
      <w:pPr>
        <w:pStyle w:val="NormalWeb"/>
      </w:pPr>
    </w:p>
    <w:p w14:paraId="22225F18" w14:textId="61BC089C" w:rsidR="00CC6DC7" w:rsidRPr="009257E7" w:rsidRDefault="00CC6DC7">
      <w:pPr>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kern w:val="0"/>
          <w:lang w:val="es-ES"/>
          <w14:ligatures w14:val="none"/>
        </w:rPr>
        <w:br w:type="page"/>
      </w:r>
    </w:p>
    <w:p w14:paraId="60D131D8" w14:textId="77777777" w:rsidR="00CC6DC7" w:rsidRPr="009257E7" w:rsidRDefault="00CC6DC7" w:rsidP="00CC6DC7">
      <w:pPr>
        <w:spacing w:before="100" w:beforeAutospacing="1" w:after="100" w:afterAutospacing="1" w:line="240" w:lineRule="auto"/>
        <w:outlineLvl w:val="2"/>
        <w:rPr>
          <w:rFonts w:ascii="Times New Roman" w:eastAsia="Times New Roman" w:hAnsi="Times New Roman" w:cs="Times New Roman"/>
          <w:b/>
          <w:bCs/>
          <w:kern w:val="0"/>
          <w:lang w:val="es-ES"/>
          <w14:ligatures w14:val="none"/>
        </w:rPr>
      </w:pPr>
      <w:r w:rsidRPr="009257E7">
        <w:rPr>
          <w:rFonts w:ascii="Times New Roman" w:eastAsia="Times New Roman" w:hAnsi="Times New Roman" w:cs="Times New Roman"/>
          <w:b/>
          <w:bCs/>
          <w:kern w:val="0"/>
          <w:lang w:val="es-ES"/>
          <w14:ligatures w14:val="none"/>
        </w:rPr>
        <w:lastRenderedPageBreak/>
        <w:t>Capítulo 7: La colaboración construye mejores equipos, proyectos y coaliciones</w:t>
      </w:r>
    </w:p>
    <w:p w14:paraId="7806C0BB" w14:textId="3227D8F0" w:rsidR="00CC6DC7" w:rsidRPr="009257E7" w:rsidRDefault="00CC6DC7" w:rsidP="00CC6DC7">
      <w:pPr>
        <w:pStyle w:val="NormalWeb"/>
        <w:rPr>
          <w:b/>
          <w:bCs/>
        </w:rPr>
      </w:pPr>
      <w:r w:rsidRPr="009257E7">
        <w:rPr>
          <w:rStyle w:val="Emphasis"/>
        </w:rPr>
        <w:t>Lucha por las cosas que te importan. Pero hazlo de una manera que lleve a otras personas a unirse a ti.</w:t>
      </w:r>
      <w:r w:rsidRPr="009257E7">
        <w:br/>
      </w:r>
      <w:r w:rsidRPr="009257E7">
        <w:rPr>
          <w:rStyle w:val="Strong"/>
          <w:b w:val="0"/>
          <w:bCs w:val="0"/>
        </w:rPr>
        <w:t>—Jueza Ruth Bader Ginsburg</w:t>
      </w:r>
    </w:p>
    <w:p w14:paraId="361CCEFA" w14:textId="28905478" w:rsidR="00CC6DC7" w:rsidRPr="009257E7" w:rsidRDefault="00CC6DC7" w:rsidP="00CC6DC7">
      <w:pPr>
        <w:pStyle w:val="NormalWeb"/>
        <w:rPr>
          <w:b/>
          <w:bCs/>
        </w:rPr>
      </w:pPr>
      <w:r w:rsidRPr="009257E7">
        <w:rPr>
          <w:rStyle w:val="Emphasis"/>
          <w:b/>
          <w:bCs/>
          <w:i w:val="0"/>
          <w:iCs w:val="0"/>
        </w:rPr>
        <w:t>Introducción</w:t>
      </w:r>
    </w:p>
    <w:p w14:paraId="0A3D2F34" w14:textId="73381FCA" w:rsidR="00CC6DC7" w:rsidRPr="009257E7" w:rsidRDefault="00CC6DC7" w:rsidP="00CC6DC7">
      <w:pPr>
        <w:pStyle w:val="NormalWeb"/>
        <w:ind w:firstLine="720"/>
      </w:pPr>
      <w:r w:rsidRPr="009257E7">
        <w:t xml:space="preserve">Ha tomado más de medio milenio diseñar, establecer y normalizar el desafío crítico actual de usar el derecho para lograr una justicia igualitaria. Este legado sistémico de justicia por cuenta gotas y preservación mediante transformación es más complejo y extenso de lo que une abogade puede enfrentar eficazmente por sí sole. Partiendo de esta realidad fundamental, la abogacía sistémica es proactiva y colaborativa. Conscientes de la necesidad actual de medidas paliativas, los defensores de los derechos sistémicos protegen los logros alcanzados en el pasado </w:t>
      </w:r>
      <w:r w:rsidRPr="009257E7">
        <w:rPr>
          <w:i/>
          <w:iCs/>
        </w:rPr>
        <w:t>y</w:t>
      </w:r>
      <w:r w:rsidRPr="009257E7">
        <w:t xml:space="preserve"> los impulsan para adelantarse a la curva de la injusticia. Este enfoque transformador y con visión de futuro exige un profesionalismo, basado en principios y en la colaboración, de todos les participantes, ya sean abogades, organizadores, activistas u otras personas.</w:t>
      </w:r>
    </w:p>
    <w:p w14:paraId="5F34A51A" w14:textId="0302B118" w:rsidR="00CC6DC7" w:rsidRPr="009257E7" w:rsidRDefault="00CC6DC7" w:rsidP="00CC6DC7">
      <w:pPr>
        <w:pStyle w:val="NormalWeb"/>
        <w:ind w:firstLine="720"/>
      </w:pPr>
      <w:r w:rsidRPr="009257E7">
        <w:t>Sin embargo, para lograr un avance duradero y significativo desde la base, les abogades deben encontrar —o crear— una oportunidad, un punto de partida. Todo recorrido, incluida su propia carrera profesional y cada proyecto que pueda emprender a lo largo de ella, comienza en el punto en el que se encuentra actualmente. Por lo tanto, a menudo estas oportunidades surgen de la propia experiencia vital y de los conocimientos de le abogade, tanto profesionales como personales.</w:t>
      </w:r>
    </w:p>
    <w:p w14:paraId="45D4D41A" w14:textId="16CC9BD9" w:rsidR="00CC6DC7" w:rsidRPr="009257E7" w:rsidRDefault="00CC6DC7" w:rsidP="00CC6DC7">
      <w:pPr>
        <w:pStyle w:val="NormalWeb"/>
        <w:ind w:firstLine="720"/>
      </w:pPr>
      <w:r w:rsidRPr="009257E7">
        <w:t xml:space="preserve">La experiencia personal o próxima —aquella que afecta a quienes se encuentran inmediatamente a su alrededor— permite a les abogades anclar su conocimiento de un problema sistémico en contextos, acontecimientos y reflexiones concretos. Sin embargo, este anclaje depende de la capacidad de le abogade para conectar la experiencia con el conocimiento y la acción mediante la autorreflexión personal. En términos prácticos, les abogades pueden comenzar con frecuencia este proceso mediante narrativas analíticas. Estas narrativas atravesadas por la justicia —una forma de narración jurídica— tienen en común su propósito </w:t>
      </w:r>
      <w:r w:rsidRPr="009257E7">
        <w:rPr>
          <w:rStyle w:val="Emphasis"/>
        </w:rPr>
        <w:t>analítico</w:t>
      </w:r>
      <w:r w:rsidRPr="009257E7">
        <w:t>: exponer los vínculos que sostienen la injusticia sistémica basada en castas identitarias y ayudar a sostener luchas grupales organizadas en torno a la justicia igualitaria.</w:t>
      </w:r>
    </w:p>
    <w:p w14:paraId="10D9BC05" w14:textId="087999A1" w:rsidR="00CC6DC7" w:rsidRPr="009257E7" w:rsidRDefault="00CC6DC7" w:rsidP="00CC6DC7">
      <w:pPr>
        <w:pStyle w:val="NormalWeb"/>
        <w:ind w:firstLine="720"/>
      </w:pPr>
      <w:r w:rsidRPr="009257E7">
        <w:t xml:space="preserve">A partir de este tipo de punto de partida, les abogades construyen proyectos de abogacía que dependen de la colaboración. Aplicando el relato de Hing sobre el trabajo de Yen presentado en el capítulo 5: comienza cada proyecto con lo que la gente —y </w:t>
      </w:r>
      <w:r w:rsidR="00B50914" w:rsidRPr="009257E7">
        <w:t>usted</w:t>
      </w:r>
      <w:r w:rsidRPr="009257E7">
        <w:t xml:space="preserve">— </w:t>
      </w:r>
      <w:r w:rsidR="00B50914" w:rsidRPr="009257E7">
        <w:t>sabe y construye a partir de lo que la gente —y usted— tiene, incluidos su conocimiento, sus destrezas y su</w:t>
      </w:r>
      <w:r w:rsidRPr="009257E7">
        <w:t xml:space="preserve"> integridad. Al construir conciencia desde abajo, l</w:t>
      </w:r>
      <w:r w:rsidR="00B50914" w:rsidRPr="009257E7">
        <w:t>e</w:t>
      </w:r>
      <w:r w:rsidRPr="009257E7">
        <w:t>s abogad</w:t>
      </w:r>
      <w:r w:rsidR="00B50914" w:rsidRPr="009257E7">
        <w:t>e</w:t>
      </w:r>
      <w:r w:rsidRPr="009257E7">
        <w:t xml:space="preserve">s utilizan estos dos puntos de partida de Yen </w:t>
      </w:r>
      <w:r w:rsidR="00B50914" w:rsidRPr="009257E7">
        <w:t>en</w:t>
      </w:r>
      <w:r w:rsidRPr="009257E7">
        <w:t xml:space="preserve"> el contexto para identificar y dar los “próximos pasos” más allá de las narrativas analíticas, ya sean propias o de otras personas.</w:t>
      </w:r>
    </w:p>
    <w:p w14:paraId="0C0EC5BD" w14:textId="77777777" w:rsidR="00CC6DC7" w:rsidRPr="009257E7" w:rsidRDefault="00CC6DC7" w:rsidP="00B50914">
      <w:pPr>
        <w:pStyle w:val="NormalWeb"/>
        <w:ind w:firstLine="720"/>
      </w:pPr>
      <w:r w:rsidRPr="009257E7">
        <w:t xml:space="preserve">Una forma común de colaboración es el trabajo en equipo, que con frecuencia involucra a personas expertas de distintos campos y de diferentes regiones, grupos o trasfondos. En este tipo de colaboración, les expertes jurídicos, al igual que todas las personas integrantes del equipo, </w:t>
      </w:r>
      <w:r w:rsidRPr="009257E7">
        <w:lastRenderedPageBreak/>
        <w:t>deben reconocer que su pericia no siempre ocupará el centro de la atención; cada persona debe comprender su función y sus límites dentro del equipo. Otra forma de colaboración se da entre les integrantes del equipo y les clientes, una modalidad fundamental que se vuelve mucho más compleja cuando les clientes constituyen en sí mismes un colectivo: una organización, una coalición u otro tipo de grupo. Al colaborar con grupos, les abogades deben tener especial cuidado de aportar valor a las discusiones y, al mismo tiempo, desempeñar un papel basado en principios dentro de la toma de decisiones del grupo.</w:t>
      </w:r>
    </w:p>
    <w:p w14:paraId="2DC4A6CC" w14:textId="3C0758EE" w:rsidR="00CC6DC7" w:rsidRPr="009257E7" w:rsidRDefault="00CC6DC7" w:rsidP="00B50914">
      <w:pPr>
        <w:pStyle w:val="NormalWeb"/>
        <w:ind w:firstLine="720"/>
      </w:pPr>
      <w:r w:rsidRPr="009257E7">
        <w:t>Les abogades también cultivan colaboraciones en forma de coaliciones que reúnen a grupos e individuos en torno a causas comunes basadas en principios compartidos: coaliciones críticas. Las colaboraciones mediante coaliciones entre grupos requieren un alto grado de coordinación y quizás sean las más complejas de todas. Pero también pueden ser las más efectivas desde una perspectiva sistémica, quizás precisamente por esa razón. Las tres formas de colaboración —dentro del equipo, con los grupos de clientes y mediante coaliciones entre grupos— son parte integral de la abogacía sistémica.</w:t>
      </w:r>
      <w:r w:rsidR="00B50914" w:rsidRPr="009257E7">
        <w:t xml:space="preserve"> </w:t>
      </w:r>
    </w:p>
    <w:p w14:paraId="47C4FC8F" w14:textId="6E9BCE8F" w:rsidR="00CC6DC7" w:rsidRPr="009257E7" w:rsidRDefault="00CC6DC7" w:rsidP="00B50914">
      <w:pPr>
        <w:pStyle w:val="NormalWeb"/>
        <w:ind w:firstLine="720"/>
      </w:pPr>
      <w:r w:rsidRPr="009257E7">
        <w:t xml:space="preserve">Además, les abogades complementan la experiencia personal o próxima —y su análisis— con conocimiento crítico relevante proveniente de otras fuentes. La narrativa puede ser un punto de partida, pero incluso la narrativa más poderosa, por sí sola, no puede interrumpir patrones arraigados de injusticia sistémica. Por ello, les abogades combinan la experiencia con el conocimiento crítico proveniente de las </w:t>
      </w:r>
      <w:r w:rsidR="00B50914" w:rsidRPr="009257E7">
        <w:t>e</w:t>
      </w:r>
      <w:r w:rsidRPr="009257E7">
        <w:t xml:space="preserve">scuelas y los </w:t>
      </w:r>
      <w:r w:rsidR="00B50914" w:rsidRPr="009257E7">
        <w:t>e</w:t>
      </w:r>
      <w:r w:rsidRPr="009257E7">
        <w:t>nfoques examinados en el capítulo 5. Estos “pozos” de conocimiento crítico acumulativo se complementan, a su vez, con investigación desde abajo</w:t>
      </w:r>
      <w:r w:rsidR="00B50914" w:rsidRPr="009257E7">
        <w:t>,</w:t>
      </w:r>
      <w:r w:rsidRPr="009257E7">
        <w:t xml:space="preserve"> diseñada para permitir que les abogades desaprendan y reaprendan, de manera concreta, los problemas y las soluciones </w:t>
      </w:r>
      <w:r w:rsidR="00B50914" w:rsidRPr="009257E7">
        <w:t>en</w:t>
      </w:r>
      <w:r w:rsidRPr="009257E7">
        <w:t xml:space="preserve"> un contexto particular. La investigación desde abajo, que se examina con mayor profundidad en el capítulo 8, se nutre de métodos y normas orientados a sacar a la luz, documentar y utilizar estratégicamente el conocimiento de los grupos subordinados. Este proceso de construcción de conocimiento para la solución de problemas jurídicos también es inevitablemente colaborativo. Por tanto, les abogades sistémiques aprenden a construir equipos y coaliciones —así como proyectos continuos que sirven como espacios de práctica— mediante los cuales el conocimiento crítico desde abajo se convierte en conocimiento accionable y sujeto a rendición de cuentas ante quienes están abajo.</w:t>
      </w:r>
    </w:p>
    <w:p w14:paraId="5349C69A" w14:textId="1250C363" w:rsidR="001213D6" w:rsidRPr="009257E7" w:rsidRDefault="00CC6DC7" w:rsidP="00CC6DC7">
      <w:pPr>
        <w:spacing w:before="100" w:beforeAutospacing="1" w:after="100" w:afterAutospacing="1" w:line="240" w:lineRule="auto"/>
        <w:rPr>
          <w:rFonts w:ascii="Times New Roman" w:eastAsia="Times New Roman" w:hAnsi="Times New Roman" w:cs="Times New Roman"/>
          <w:b/>
          <w:bCs/>
          <w:kern w:val="0"/>
          <w:lang w:val="es-ES"/>
          <w14:ligatures w14:val="none"/>
        </w:rPr>
      </w:pPr>
      <w:r w:rsidRPr="009257E7">
        <w:rPr>
          <w:rFonts w:ascii="Times New Roman" w:eastAsia="Times New Roman" w:hAnsi="Times New Roman" w:cs="Times New Roman"/>
          <w:b/>
          <w:bCs/>
          <w:kern w:val="0"/>
          <w:lang w:val="es-ES"/>
          <w14:ligatures w14:val="none"/>
        </w:rPr>
        <w:t>7.1 Los equipos y el trabajo en equipo amplían la capacidad de l</w:t>
      </w:r>
      <w:r w:rsidR="001213D6" w:rsidRPr="009257E7">
        <w:rPr>
          <w:rFonts w:ascii="Times New Roman" w:eastAsia="Times New Roman" w:hAnsi="Times New Roman" w:cs="Times New Roman"/>
          <w:b/>
          <w:bCs/>
          <w:kern w:val="0"/>
          <w:lang w:val="es-ES"/>
          <w14:ligatures w14:val="none"/>
        </w:rPr>
        <w:t>a abogacía sistémica</w:t>
      </w:r>
    </w:p>
    <w:p w14:paraId="2CD3881C" w14:textId="74F981E8" w:rsidR="001213D6" w:rsidRPr="009257E7" w:rsidRDefault="001213D6" w:rsidP="001213D6">
      <w:pPr>
        <w:spacing w:before="100" w:beforeAutospacing="1" w:after="100" w:afterAutospacing="1" w:line="240" w:lineRule="auto"/>
        <w:ind w:firstLine="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 xml:space="preserve">El trabajo en equipo, entendido como una forma de profesionalismo colaborativo, significa mucho más que simplemente trabajar y relacionarse bien con otras personas, y requiere más que las destrezas de cortesía y cooperación que quizás hayan aprendido en clases tradicionales de profesionalismo. La formación deliberada de equipos y la gestión activa del trabajo en equipo convierten al equipo en un núcleo central de la abogacía y en la base de colaboraciones que se extienden más allá de él. Les abogades sistémiques aprenden a formar equipos interculturales, interclasistas, intergeneracionales e interdisciplinarios que incluyen tanto a grupos de clientes como a profesionales de otros campos. Les abogades deben desarrollar </w:t>
      </w:r>
      <w:r w:rsidRPr="009257E7">
        <w:rPr>
          <w:rFonts w:ascii="Times New Roman" w:eastAsia="Times New Roman" w:hAnsi="Times New Roman" w:cs="Times New Roman"/>
          <w:kern w:val="0"/>
          <w14:ligatures w14:val="none"/>
        </w:rPr>
        <w:lastRenderedPageBreak/>
        <w:t>competencias para desenvolverse en relaciones complejas y crear una “práctica colectiva y reflexiva de antisubordinación”</w:t>
      </w:r>
      <w:r w:rsidRPr="009257E7">
        <w:rPr>
          <w:rStyle w:val="FootnoteReference"/>
          <w:rFonts w:ascii="Times New Roman" w:eastAsia="Times New Roman" w:hAnsi="Times New Roman" w:cs="Times New Roman"/>
          <w:kern w:val="0"/>
          <w14:ligatures w14:val="none"/>
        </w:rPr>
        <w:footnoteReference w:id="239"/>
      </w:r>
      <w:r w:rsidRPr="009257E7">
        <w:rPr>
          <w:rFonts w:ascii="Times New Roman" w:eastAsia="Times New Roman" w:hAnsi="Times New Roman" w:cs="Times New Roman"/>
          <w:kern w:val="0"/>
          <w14:ligatures w14:val="none"/>
        </w:rPr>
        <w:t>.</w:t>
      </w:r>
    </w:p>
    <w:p w14:paraId="4A196254" w14:textId="2C5B7DE3" w:rsidR="001213D6" w:rsidRPr="009257E7" w:rsidRDefault="001213D6" w:rsidP="001213D6">
      <w:pPr>
        <w:spacing w:before="100" w:beforeAutospacing="1" w:after="100" w:afterAutospacing="1" w:line="240" w:lineRule="auto"/>
        <w:ind w:firstLine="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Los equipos y el trabajo en equipo permiten a les abogades aprovechar sus conocimientos y ampliar su labor a grupos cada vez mayores, incluidas coaliciones y comunidades diversas. El trabajo en equipo les permite desarrollar capacidades y aumentar su impacto, al tiempo que gestionan los conflictos inevitables y otras complejidades propias de la lucha colectiva. Sin embargo, la composición de los equipos —y de las coaliciones— debe adaptarse cuidadosamente en términos de identidades, pericia y funciones, para que puedan operar eficazmente como instrumentos de resolución de problemas.</w:t>
      </w:r>
    </w:p>
    <w:p w14:paraId="4ADE0748" w14:textId="6CF8CEBE" w:rsidR="001213D6" w:rsidRPr="009257E7" w:rsidRDefault="001213D6" w:rsidP="001213D6">
      <w:pPr>
        <w:spacing w:before="100" w:beforeAutospacing="1" w:after="100" w:afterAutospacing="1" w:line="240" w:lineRule="auto"/>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Un equipo es “un número reducido de personas con destrezas complementarias, comprometidas con un propósito común, un conjunto de objetivos de desempeño y un enfoque por el cual se responsabilizan mutuamente”</w:t>
      </w:r>
      <w:r w:rsidRPr="009257E7">
        <w:rPr>
          <w:rStyle w:val="FootnoteReference"/>
          <w:rFonts w:ascii="Times New Roman" w:eastAsia="Times New Roman" w:hAnsi="Times New Roman" w:cs="Times New Roman"/>
          <w:kern w:val="0"/>
          <w14:ligatures w14:val="none"/>
        </w:rPr>
        <w:footnoteReference w:id="240"/>
      </w:r>
      <w:r w:rsidRPr="009257E7">
        <w:rPr>
          <w:rFonts w:ascii="Times New Roman" w:eastAsia="Times New Roman" w:hAnsi="Times New Roman" w:cs="Times New Roman"/>
          <w:kern w:val="0"/>
          <w14:ligatures w14:val="none"/>
        </w:rPr>
        <w:t>. Los equipos ofrecen ventajas prácticas: incorporan perspectivas múltiples y conjuntos diversos de destrezas, y el trabajo en equipo produce un sentido de responsabilidad mayor y una apropiación compartida</w:t>
      </w:r>
      <w:r w:rsidRPr="009257E7">
        <w:rPr>
          <w:rStyle w:val="FootnoteReference"/>
          <w:rFonts w:ascii="Times New Roman" w:eastAsia="Times New Roman" w:hAnsi="Times New Roman" w:cs="Times New Roman"/>
          <w:kern w:val="0"/>
          <w14:ligatures w14:val="none"/>
        </w:rPr>
        <w:footnoteReference w:id="241"/>
      </w:r>
      <w:r w:rsidRPr="009257E7">
        <w:rPr>
          <w:rFonts w:ascii="Times New Roman" w:eastAsia="Times New Roman" w:hAnsi="Times New Roman" w:cs="Times New Roman"/>
          <w:kern w:val="0"/>
          <w14:ligatures w14:val="none"/>
        </w:rPr>
        <w:t>. Los equipos con una composición adecuada y una gestión eficaz logran un mayor impacto al aprovechar las contribuciones de todos sus integrantes que actúan de manera coordinada:</w:t>
      </w:r>
    </w:p>
    <w:p w14:paraId="2178835F" w14:textId="6CB6F892" w:rsidR="001213D6" w:rsidRPr="009257E7" w:rsidRDefault="001213D6" w:rsidP="001213D6">
      <w:pPr>
        <w:spacing w:before="100" w:beforeAutospacing="1" w:after="100" w:afterAutospacing="1" w:line="240" w:lineRule="auto"/>
        <w:ind w:left="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Cada integrante del equipo tiene una función que desempeñar y algo que aportar. El respeto mutuo garantiza que les integrantes se valoren, se apoyen y se alienten entre sí para alcanzar el máximo potencial del grupo. El respeto significa que les integrantes del equipo reconocen los trasfondos y las experiencias individuales de las demás personas, lo que permite al equipo abordar su trabajo utilizando el espectro más amplio de conocimientos y destrezas a su disposición.</w:t>
      </w:r>
      <w:r w:rsidRPr="009257E7">
        <w:rPr>
          <w:rStyle w:val="FootnoteReference"/>
          <w:rFonts w:ascii="Times New Roman" w:eastAsia="Times New Roman" w:hAnsi="Times New Roman" w:cs="Times New Roman"/>
          <w:kern w:val="0"/>
          <w14:ligatures w14:val="none"/>
        </w:rPr>
        <w:footnoteReference w:id="242"/>
      </w:r>
    </w:p>
    <w:p w14:paraId="4AA69D99" w14:textId="0B9CCE69" w:rsidR="001213D6" w:rsidRPr="009257E7" w:rsidRDefault="001213D6" w:rsidP="001213D6">
      <w:pPr>
        <w:spacing w:before="100" w:beforeAutospacing="1" w:after="100" w:afterAutospacing="1" w:line="240" w:lineRule="auto"/>
        <w:ind w:firstLine="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Para ser eficaces, todos les integrantes del equipo deben rendir cuentas entre sí, ante el equipo y ante las comunidades, les clientes o las causas a las que sirven. El trabajo en equipo es relacional, pero la formación jurídica tradicional puede exacerbar el individualismo o no proporcionar las destrezas esenciales para trabajar en equipo: “[G]ran parte de la formación jurídica, con su énfasis en el trabajo y los logros individuales, constituye un obstáculo para el desarrollo de integrantes eficaces de un equipo”</w:t>
      </w:r>
      <w:r w:rsidRPr="009257E7">
        <w:rPr>
          <w:rStyle w:val="FootnoteReference"/>
          <w:rFonts w:ascii="Times New Roman" w:eastAsia="Times New Roman" w:hAnsi="Times New Roman" w:cs="Times New Roman"/>
          <w:kern w:val="0"/>
          <w14:ligatures w14:val="none"/>
        </w:rPr>
        <w:footnoteReference w:id="243"/>
      </w:r>
      <w:r w:rsidRPr="009257E7">
        <w:rPr>
          <w:rFonts w:ascii="Times New Roman" w:eastAsia="Times New Roman" w:hAnsi="Times New Roman" w:cs="Times New Roman"/>
          <w:kern w:val="0"/>
          <w14:ligatures w14:val="none"/>
        </w:rPr>
        <w:t>. Esto puede complicar el trabajo en equipo, incluso de manera inconsciente.</w:t>
      </w:r>
    </w:p>
    <w:p w14:paraId="74F8C2DB" w14:textId="54869957" w:rsidR="001213D6" w:rsidRPr="009257E7" w:rsidRDefault="001213D6" w:rsidP="001213D6">
      <w:pPr>
        <w:spacing w:before="100" w:beforeAutospacing="1" w:after="100" w:afterAutospacing="1" w:line="240" w:lineRule="auto"/>
        <w:ind w:firstLine="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 xml:space="preserve">Dado que la colaboración conlleva el riesgo —si no la inevitabilidad— de que surjan disputas entre amistades y aliados, les abogades también deben aprender a manejar los conflictos dentro del equipo y entre grupos. Después de todo, los equipos de abogacía forman parte del mundo social, y los conflictos pueden reflejar las mismas divisiones que existen en la sociedad </w:t>
      </w:r>
      <w:r w:rsidRPr="009257E7">
        <w:rPr>
          <w:rFonts w:ascii="Times New Roman" w:eastAsia="Times New Roman" w:hAnsi="Times New Roman" w:cs="Times New Roman"/>
          <w:kern w:val="0"/>
          <w14:ligatures w14:val="none"/>
        </w:rPr>
        <w:lastRenderedPageBreak/>
        <w:t xml:space="preserve">en general. Cuando los agravios históricos o las nociones de “diferencia” obstaculizan la solidaridad, les abogades ayudan a fomentar el aprendizaje mutuo, la comprensión y la conciliación. Sin embargo, el conflicto también constituye una parte necesaria del proceso colaborativo para la solución eficaz de problemas. En otras palabras, uno de los propósitos de los equipos es discutir y resolver las diferencias de perspectiva y experiencia, no suprimirlas. El desacuerdo dentro del equipo o el conflicto profesional en torno a tácticas y estrategias no es, </w:t>
      </w:r>
      <w:r w:rsidRPr="009257E7">
        <w:rPr>
          <w:rFonts w:ascii="Times New Roman" w:eastAsia="Times New Roman" w:hAnsi="Times New Roman" w:cs="Times New Roman"/>
          <w:i/>
          <w:iCs/>
          <w:kern w:val="0"/>
          <w14:ligatures w14:val="none"/>
        </w:rPr>
        <w:t>per se</w:t>
      </w:r>
      <w:r w:rsidRPr="009257E7">
        <w:rPr>
          <w:rFonts w:ascii="Times New Roman" w:eastAsia="Times New Roman" w:hAnsi="Times New Roman" w:cs="Times New Roman"/>
          <w:kern w:val="0"/>
          <w14:ligatures w14:val="none"/>
        </w:rPr>
        <w:t>, algo negativo que deba eludirse o evitarse. Pero, al ayudar a manejar los conflictos, les abogades procuran actuar con base en principios, y no convertirlos en asuntos personales</w:t>
      </w:r>
      <w:r w:rsidRPr="009257E7">
        <w:rPr>
          <w:rStyle w:val="FootnoteReference"/>
          <w:rFonts w:ascii="Times New Roman" w:eastAsia="Times New Roman" w:hAnsi="Times New Roman" w:cs="Times New Roman"/>
          <w:kern w:val="0"/>
          <w14:ligatures w14:val="none"/>
        </w:rPr>
        <w:footnoteReference w:id="244"/>
      </w:r>
      <w:r w:rsidRPr="009257E7">
        <w:rPr>
          <w:rFonts w:ascii="Times New Roman" w:eastAsia="Times New Roman" w:hAnsi="Times New Roman" w:cs="Times New Roman"/>
          <w:kern w:val="0"/>
          <w14:ligatures w14:val="none"/>
        </w:rPr>
        <w:t>.</w:t>
      </w:r>
    </w:p>
    <w:p w14:paraId="06584851" w14:textId="2F087D05" w:rsidR="001213D6" w:rsidRPr="009257E7" w:rsidRDefault="001213D6" w:rsidP="001213D6">
      <w:pPr>
        <w:spacing w:before="100" w:beforeAutospacing="1" w:after="100" w:afterAutospacing="1" w:line="240" w:lineRule="auto"/>
        <w:ind w:firstLine="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El académico jurídico Scott Cummings ha estudiado los conflictos que surgen en la abogacía. En lugar de ofrecer una fórmula sencilla para manejar las diferencias y la disidencia, Cummings sugiere que les abogades pueden aprender mejor de la experiencia y considerar cómo la diversidad y el desacuerdo dentro de una colaboración pueden convertirse en una fuerza creativa para la innovación y la rendición de cuentas. Desde este enfoque, el conflicto constituye un elemento necesario para el crecimiento y el empoderamiento:</w:t>
      </w:r>
    </w:p>
    <w:p w14:paraId="219922D2" w14:textId="5AA7589E" w:rsidR="001213D6" w:rsidRPr="009257E7" w:rsidRDefault="001213D6" w:rsidP="00E46767">
      <w:pPr>
        <w:spacing w:before="100" w:beforeAutospacing="1" w:after="100" w:afterAutospacing="1" w:line="240" w:lineRule="auto"/>
        <w:ind w:left="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[L]o que, en última instancia, debería importarnos son las múltiples maneras, específicas de cada contexto, en que la disidencia se expresa y se respeta en los entornos de los movimientos sociales… [S]i, en última instancia, nos importa que les abogades promuevan planteamientos de política pública que reflejen realmente los intereses de las comunidades a las que afirman servir, el enfoque descrito en ambos casos [desde arriba y desde abajo] —en la medida en que sugieren que una abogacía integrada en la política fortalece los vínculos comunitarios— puede ser un paso en la dirección correcta, aunque sea imperfecto, como todo lo es. En este sentido, espero que [...] las historias [de luchas colaborativas] señalen el camino hacia una participación más profunda con la disidencia que impulse el cambio social democrático.</w:t>
      </w:r>
      <w:r w:rsidRPr="009257E7">
        <w:rPr>
          <w:rStyle w:val="FootnoteReference"/>
          <w:rFonts w:ascii="Times New Roman" w:eastAsia="Times New Roman" w:hAnsi="Times New Roman" w:cs="Times New Roman"/>
          <w:kern w:val="0"/>
          <w14:ligatures w14:val="none"/>
        </w:rPr>
        <w:footnoteReference w:id="245"/>
      </w:r>
    </w:p>
    <w:p w14:paraId="33D14C77" w14:textId="741C0A98" w:rsidR="00E46767" w:rsidRPr="009257E7" w:rsidRDefault="00E46767" w:rsidP="00E46767">
      <w:pPr>
        <w:pStyle w:val="NormalWeb"/>
        <w:ind w:firstLine="720"/>
      </w:pPr>
      <w:r w:rsidRPr="009257E7">
        <w:t xml:space="preserve">Cummings aporta una conciencia dual al análisis de los colectivos y los conflictos. Cada contexto plantea preguntas complejas sobre el autogobierno colectivo, la planificación y la acción, que pueden abordarse de diversas maneras. Ninguna respuesta es pura; ningún individuo ni postura existe al margen de la complejidad y la complicidad sistémicas, y todos los conflictos implican identidades, grupos, intereses y poder. Responder a preguntas complejas requiere, en sí mismo, trabajo en equipo y tiempo. Las prácticas de profesionalismo colaborativo ayudan a formar jugadores repetidos capaces de sostener acciones colectivas. Les abogades y los grupos aprovechan los conflictos y los errores como parte del proceso continuo de construcción de solidaridad y desarrollo de capacidades. </w:t>
      </w:r>
    </w:p>
    <w:p w14:paraId="7F6F5196" w14:textId="72CF62F9" w:rsidR="00E46767" w:rsidRPr="009257E7" w:rsidRDefault="00E46767" w:rsidP="00E46767">
      <w:pPr>
        <w:pStyle w:val="NormalWeb"/>
        <w:ind w:firstLine="720"/>
      </w:pPr>
      <w:r w:rsidRPr="009257E7">
        <w:t xml:space="preserve">Incluso en ausencia de conflicto, las colaboraciones críticas pueden resultar incómodas porque son inciertas y se apartan de las prácticas tradicionales. El aprendizaje abierto implica convivir con la ambigüedad y la complejidad, tanto en el ámbito personal como en el profesional. Pueden surgir confusión, frustración e incomodidad, a veces durante períodos prolongados. Les abogades sistémiques no evitan estos sentimientos, sino que procuran anticipar </w:t>
      </w:r>
      <w:r w:rsidRPr="009257E7">
        <w:lastRenderedPageBreak/>
        <w:t xml:space="preserve">y manejar las incertidumbres de les integrantes del equipo, del mismo modo que procuran anticipar y manejar los conflictos para generar colaboraciones más productivas. </w:t>
      </w:r>
    </w:p>
    <w:p w14:paraId="6C99D7F5" w14:textId="1914F11B" w:rsidR="00E46767" w:rsidRPr="009257E7" w:rsidRDefault="00E46767" w:rsidP="00E46767">
      <w:pPr>
        <w:pStyle w:val="NormalWeb"/>
        <w:ind w:firstLine="720"/>
      </w:pPr>
      <w:r w:rsidRPr="009257E7">
        <w:t xml:space="preserve">Las fuentes de conflicto, por supuesto, no son simplemente ni principalmente internas. Por el contrario, les profesionales que cuestionan críticamente enseñanzas sistémicas arraigadas —ampliamente aceptadas como “la verdad”— pueden ser considerados personas ajenas dentro de los círculos jurídicos y personales. Pueden ser catalogados como personas molestas, perturbadoras o amenazantes, o criticados por ser “poco profesionales”, irrazonables, exigentes, enojados o absurdos. De ser así, puedes ser considerado simplemente ruido de fondo que debe ignorarse, acallarse, excluirse como si fueras un paria o silenciarse. Desde esta perspectiva dominante, aunque equivocada, les pensadores critiques pueden ser descartados como profesionales poco serios, principalmente porque se niegan a conformarse en silencio. </w:t>
      </w:r>
    </w:p>
    <w:p w14:paraId="64FEC491" w14:textId="53725C05" w:rsidR="00E46767" w:rsidRPr="009257E7" w:rsidRDefault="00E46767" w:rsidP="00E46767">
      <w:pPr>
        <w:pStyle w:val="NormalWeb"/>
        <w:ind w:firstLine="720"/>
      </w:pPr>
      <w:r w:rsidRPr="009257E7">
        <w:t xml:space="preserve">Muchas personas que participan en prácticas críticas y en la reflexión autocrítica ya pueden sentirse —y, de hecho, ser— personas externas en términos sistémicos. Muchas ya se apartan de las normas dominantes, a veces de manera abierta. Reconocer esta realidad significa que las colaboraciones críticas también ofrecen un camino hacia adelante: un medio para conectarse con redes de académicos, activistas y profesionales críticos que brindan apoyo. La perspectiva crítica y la colaboración no solo crean la posibilidad de oposición y conflicto, sino también la posibilidad de crecimiento y solidaridad, tanto en el ámbito personal como en el colectivo. </w:t>
      </w:r>
    </w:p>
    <w:p w14:paraId="612D1609" w14:textId="7A16B2F7" w:rsidR="00957A71" w:rsidRPr="009257E7" w:rsidRDefault="00957A71" w:rsidP="00957A71">
      <w:pPr>
        <w:spacing w:before="100" w:beforeAutospacing="1" w:after="100" w:afterAutospacing="1" w:line="240" w:lineRule="auto"/>
        <w:ind w:firstLine="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 xml:space="preserve">De hecho, el profesionalismo colaborativo ofrece muchas recompensas, aunque entraña riesgos. Seguir un camino independiente puede brindar recompensas que perduran toda la vida. Une abogade puede dedicarse a un trabajo significativo y desarrollar prácticas de empoderamiento desde abajo que perduren a lo largo de su carrera, junto con relaciones dinámicas con clientes y colegas. De hecho, un análisis reciente de la profesión jurídica encontró que, como grupo, les abogades de “prestigio” que trabajaban en bufetes privados, particularmente en bufetes grandes, experimentaban un menor nivel de bienestar, informaban un mayor consumo de alcohol y se sentían menos satisfechos con su propia competencia que les abogades que ocupaban puestos de servicio público. Les abogades dedicados al servicio público informaron niveles más altos de bienestar a pesar de percibir salarios más bajos: </w:t>
      </w:r>
    </w:p>
    <w:p w14:paraId="19B34558" w14:textId="2366243D" w:rsidR="00957A71" w:rsidRPr="009257E7" w:rsidRDefault="00957A71" w:rsidP="00957A71">
      <w:pPr>
        <w:spacing w:before="100" w:beforeAutospacing="1" w:after="100" w:afterAutospacing="1" w:line="240" w:lineRule="auto"/>
        <w:ind w:left="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Los datos contradicen la creencia de que el prestigio, los ingresos y otros beneficios externos pueden compensar adecuadamente a une abogade que no experimenta de manera habitual autonomía, integridad, relaciones cercanas, ni interés y sentido en su trabajo. [...] En particular, es necesario modificar la concepción compartida del “éxito” para que les estudiantes y abogades con talento eviten sistemáticamente tomar decisiones, en la búsqueda del éxito material, que terminen socavando su felicidad.</w:t>
      </w:r>
      <w:r w:rsidR="009A1A63" w:rsidRPr="009257E7">
        <w:rPr>
          <w:rStyle w:val="FootnoteReference"/>
          <w:rFonts w:ascii="Times New Roman" w:eastAsia="Times New Roman" w:hAnsi="Times New Roman" w:cs="Times New Roman"/>
          <w:kern w:val="0"/>
          <w14:ligatures w14:val="none"/>
        </w:rPr>
        <w:footnoteReference w:id="246"/>
      </w:r>
    </w:p>
    <w:p w14:paraId="0D77EDEE" w14:textId="3E792BF0" w:rsidR="00957A71" w:rsidRPr="009257E7" w:rsidRDefault="00957A71" w:rsidP="009A1A63">
      <w:pPr>
        <w:spacing w:before="100" w:beforeAutospacing="1" w:after="100" w:afterAutospacing="1" w:line="240" w:lineRule="auto"/>
        <w:ind w:firstLine="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 xml:space="preserve">Estos datos empíricos ponen de relieve las desventajas de la práctica jurídica tradicional examinadas en el capítulo 3, desde la formación formal hasta la vigilancia profesional de las normas y </w:t>
      </w:r>
      <w:r w:rsidR="009A1A63" w:rsidRPr="009257E7">
        <w:rPr>
          <w:rFonts w:ascii="Times New Roman" w:eastAsia="Times New Roman" w:hAnsi="Times New Roman" w:cs="Times New Roman"/>
          <w:kern w:val="0"/>
          <w14:ligatures w14:val="none"/>
        </w:rPr>
        <w:t xml:space="preserve">las </w:t>
      </w:r>
      <w:r w:rsidRPr="009257E7">
        <w:rPr>
          <w:rFonts w:ascii="Times New Roman" w:eastAsia="Times New Roman" w:hAnsi="Times New Roman" w:cs="Times New Roman"/>
          <w:kern w:val="0"/>
          <w14:ligatures w14:val="none"/>
        </w:rPr>
        <w:t xml:space="preserve">expectativas. Entre ellas se encuentran la atomización de los problemas y los remedios, así como la atomización de les abogades y sus clientes. Para contrarrestar los efectos </w:t>
      </w:r>
      <w:r w:rsidRPr="009257E7">
        <w:rPr>
          <w:rFonts w:ascii="Times New Roman" w:eastAsia="Times New Roman" w:hAnsi="Times New Roman" w:cs="Times New Roman"/>
          <w:kern w:val="0"/>
          <w14:ligatures w14:val="none"/>
        </w:rPr>
        <w:lastRenderedPageBreak/>
        <w:t xml:space="preserve">limitantes de muchas tradiciones jurídicas, les abogades sistémiques utilizan la diferencia como un recurso y forman equipos diversos en los que sus integrantes evalúan de manera crítica y autocrítica tanto su trabajo individual como su desempeño colectivo. Esta apertura aumenta la capacidad del equipo para generar conocimiento, </w:t>
      </w:r>
      <w:r w:rsidR="009A1A63" w:rsidRPr="009257E7">
        <w:rPr>
          <w:rFonts w:ascii="Times New Roman" w:eastAsia="Times New Roman" w:hAnsi="Times New Roman" w:cs="Times New Roman"/>
          <w:kern w:val="0"/>
          <w14:ligatures w14:val="none"/>
        </w:rPr>
        <w:t>gestion</w:t>
      </w:r>
      <w:r w:rsidRPr="009257E7">
        <w:rPr>
          <w:rFonts w:ascii="Times New Roman" w:eastAsia="Times New Roman" w:hAnsi="Times New Roman" w:cs="Times New Roman"/>
          <w:kern w:val="0"/>
          <w14:ligatures w14:val="none"/>
        </w:rPr>
        <w:t xml:space="preserve">ar conflictos y </w:t>
      </w:r>
      <w:r w:rsidR="009A1A63" w:rsidRPr="009257E7">
        <w:rPr>
          <w:rFonts w:ascii="Times New Roman" w:eastAsia="Times New Roman" w:hAnsi="Times New Roman" w:cs="Times New Roman"/>
          <w:kern w:val="0"/>
          <w14:ligatures w14:val="none"/>
        </w:rPr>
        <w:t>realizar</w:t>
      </w:r>
      <w:r w:rsidRPr="009257E7">
        <w:rPr>
          <w:rFonts w:ascii="Times New Roman" w:eastAsia="Times New Roman" w:hAnsi="Times New Roman" w:cs="Times New Roman"/>
          <w:kern w:val="0"/>
          <w14:ligatures w14:val="none"/>
        </w:rPr>
        <w:t xml:space="preserve"> el trabajo. </w:t>
      </w:r>
    </w:p>
    <w:p w14:paraId="4CEF7656" w14:textId="27AA5E57" w:rsidR="00957A71" w:rsidRPr="009257E7" w:rsidRDefault="00957A71" w:rsidP="009A1A63">
      <w:pPr>
        <w:spacing w:before="100" w:beforeAutospacing="1" w:after="100" w:afterAutospacing="1" w:line="240" w:lineRule="auto"/>
        <w:ind w:firstLine="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 xml:space="preserve">Los equipos eficaces reflejan múltiples formas de diversidad adaptadas al problema concreto que enfrentan; están diseñados para superar el fracaso por diseño </w:t>
      </w:r>
      <w:r w:rsidR="009A1A63" w:rsidRPr="009257E7">
        <w:rPr>
          <w:rFonts w:ascii="Times New Roman" w:eastAsia="Times New Roman" w:hAnsi="Times New Roman" w:cs="Times New Roman"/>
          <w:kern w:val="0"/>
          <w14:ligatures w14:val="none"/>
        </w:rPr>
        <w:t>en</w:t>
      </w:r>
      <w:r w:rsidRPr="009257E7">
        <w:rPr>
          <w:rFonts w:ascii="Times New Roman" w:eastAsia="Times New Roman" w:hAnsi="Times New Roman" w:cs="Times New Roman"/>
          <w:kern w:val="0"/>
          <w14:ligatures w14:val="none"/>
        </w:rPr>
        <w:t xml:space="preserve"> ese contexto. La diversidad de los equipos —en términos demográficos, de destrezas y de disciplinas— se determina cuidadosamente para garantizar que </w:t>
      </w:r>
      <w:r w:rsidR="009A1A63" w:rsidRPr="009257E7">
        <w:rPr>
          <w:rFonts w:ascii="Times New Roman" w:eastAsia="Times New Roman" w:hAnsi="Times New Roman" w:cs="Times New Roman"/>
          <w:kern w:val="0"/>
          <w14:ligatures w14:val="none"/>
        </w:rPr>
        <w:t>les</w:t>
      </w:r>
      <w:r w:rsidRPr="009257E7">
        <w:rPr>
          <w:rFonts w:ascii="Times New Roman" w:eastAsia="Times New Roman" w:hAnsi="Times New Roman" w:cs="Times New Roman"/>
          <w:kern w:val="0"/>
          <w14:ligatures w14:val="none"/>
        </w:rPr>
        <w:t xml:space="preserve"> equip</w:t>
      </w:r>
      <w:r w:rsidR="009A1A63" w:rsidRPr="009257E7">
        <w:rPr>
          <w:rFonts w:ascii="Times New Roman" w:eastAsia="Times New Roman" w:hAnsi="Times New Roman" w:cs="Times New Roman"/>
          <w:kern w:val="0"/>
          <w14:ligatures w14:val="none"/>
        </w:rPr>
        <w:t>es</w:t>
      </w:r>
      <w:r w:rsidRPr="009257E7">
        <w:rPr>
          <w:rFonts w:ascii="Times New Roman" w:eastAsia="Times New Roman" w:hAnsi="Times New Roman" w:cs="Times New Roman"/>
          <w:kern w:val="0"/>
          <w14:ligatures w14:val="none"/>
        </w:rPr>
        <w:t xml:space="preserve"> cuente</w:t>
      </w:r>
      <w:r w:rsidR="009A1A63" w:rsidRPr="009257E7">
        <w:rPr>
          <w:rFonts w:ascii="Times New Roman" w:eastAsia="Times New Roman" w:hAnsi="Times New Roman" w:cs="Times New Roman"/>
          <w:kern w:val="0"/>
          <w14:ligatures w14:val="none"/>
        </w:rPr>
        <w:t>n</w:t>
      </w:r>
      <w:r w:rsidRPr="009257E7">
        <w:rPr>
          <w:rFonts w:ascii="Times New Roman" w:eastAsia="Times New Roman" w:hAnsi="Times New Roman" w:cs="Times New Roman"/>
          <w:kern w:val="0"/>
          <w14:ligatures w14:val="none"/>
        </w:rPr>
        <w:t xml:space="preserve"> con todas las áreas de pericia necesarias. Dos profesores de derecho y dos profesores de pediatría ofrecen orientación sobre la formación y dirección de equipos interdisciplinarios e identifican los siguientes “requisitos” para que un equipo sea eficaz:</w:t>
      </w:r>
    </w:p>
    <w:p w14:paraId="199BA7E6" w14:textId="77777777" w:rsidR="00957A71" w:rsidRPr="009257E7" w:rsidRDefault="00957A71" w:rsidP="009A1A63">
      <w:pPr>
        <w:pStyle w:val="ListParagraph"/>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Objetivos claros</w:t>
      </w:r>
    </w:p>
    <w:p w14:paraId="0384D031" w14:textId="77777777" w:rsidR="00957A71" w:rsidRPr="009257E7" w:rsidRDefault="00957A71" w:rsidP="009A1A63">
      <w:pPr>
        <w:pStyle w:val="ListParagraph"/>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Liderazgo</w:t>
      </w:r>
    </w:p>
    <w:p w14:paraId="19338CAB" w14:textId="77777777" w:rsidR="00957A71" w:rsidRPr="009257E7" w:rsidRDefault="00957A71" w:rsidP="009A1A63">
      <w:pPr>
        <w:pStyle w:val="ListParagraph"/>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Compromiso y participación compartidos</w:t>
      </w:r>
    </w:p>
    <w:p w14:paraId="69A83DAE" w14:textId="77777777" w:rsidR="00957A71" w:rsidRPr="009257E7" w:rsidRDefault="00957A71" w:rsidP="009A1A63">
      <w:pPr>
        <w:pStyle w:val="ListParagraph"/>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Respeto mutuo</w:t>
      </w:r>
    </w:p>
    <w:p w14:paraId="765339F0" w14:textId="77777777" w:rsidR="00957A71" w:rsidRPr="009257E7" w:rsidRDefault="00957A71" w:rsidP="009A1A63">
      <w:pPr>
        <w:pStyle w:val="ListParagraph"/>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Comunicación abierta</w:t>
      </w:r>
    </w:p>
    <w:p w14:paraId="71E2A472" w14:textId="77777777" w:rsidR="00957A71" w:rsidRPr="009257E7" w:rsidRDefault="00957A71" w:rsidP="009A1A63">
      <w:pPr>
        <w:pStyle w:val="ListParagraph"/>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Entorno colaborativo</w:t>
      </w:r>
    </w:p>
    <w:p w14:paraId="1ECB97C9" w14:textId="77777777" w:rsidR="00957A71" w:rsidRPr="009257E7" w:rsidRDefault="00957A71" w:rsidP="009A1A63">
      <w:pPr>
        <w:pStyle w:val="ListParagraph"/>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Evaluación continua del equipo</w:t>
      </w:r>
    </w:p>
    <w:p w14:paraId="038AC2EE" w14:textId="77777777" w:rsidR="00957A71" w:rsidRPr="009257E7" w:rsidRDefault="00957A71" w:rsidP="009A1A63">
      <w:pPr>
        <w:pStyle w:val="ListParagraph"/>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Competencia de sus integrantes</w:t>
      </w:r>
    </w:p>
    <w:p w14:paraId="7D64CDD1" w14:textId="333B1D15" w:rsidR="00957A71" w:rsidRPr="009257E7" w:rsidRDefault="00957A71" w:rsidP="009A1A63">
      <w:pPr>
        <w:pStyle w:val="ListParagraph"/>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Apoyo y reconocimiento externos</w:t>
      </w:r>
      <w:r w:rsidR="009A1A63" w:rsidRPr="009257E7">
        <w:rPr>
          <w:rStyle w:val="FootnoteReference"/>
          <w:rFonts w:ascii="Times New Roman" w:eastAsia="Times New Roman" w:hAnsi="Times New Roman" w:cs="Times New Roman"/>
          <w:kern w:val="0"/>
          <w14:ligatures w14:val="none"/>
        </w:rPr>
        <w:footnoteReference w:id="247"/>
      </w:r>
    </w:p>
    <w:p w14:paraId="1F38D552" w14:textId="46466F7B" w:rsidR="00957A71" w:rsidRPr="009257E7" w:rsidRDefault="00957A71" w:rsidP="009A1A63">
      <w:pPr>
        <w:spacing w:before="100" w:beforeAutospacing="1" w:after="100" w:afterAutospacing="1" w:line="240" w:lineRule="auto"/>
        <w:ind w:firstLine="36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Estos coautores interdisciplinarios se concentran en el diseño, la formación y la gestión de equip</w:t>
      </w:r>
      <w:r w:rsidR="009A1A63" w:rsidRPr="009257E7">
        <w:rPr>
          <w:rFonts w:ascii="Times New Roman" w:eastAsia="Times New Roman" w:hAnsi="Times New Roman" w:cs="Times New Roman"/>
          <w:kern w:val="0"/>
          <w14:ligatures w14:val="none"/>
        </w:rPr>
        <w:t>es,</w:t>
      </w:r>
      <w:r w:rsidRPr="009257E7">
        <w:rPr>
          <w:rFonts w:ascii="Times New Roman" w:eastAsia="Times New Roman" w:hAnsi="Times New Roman" w:cs="Times New Roman"/>
          <w:kern w:val="0"/>
          <w14:ligatures w14:val="none"/>
        </w:rPr>
        <w:t xml:space="preserve"> en términos generales, ya sea para un proyecto de abogacía</w:t>
      </w:r>
      <w:r w:rsidR="009A1A63" w:rsidRPr="009257E7">
        <w:rPr>
          <w:rFonts w:ascii="Times New Roman" w:eastAsia="Times New Roman" w:hAnsi="Times New Roman" w:cs="Times New Roman"/>
          <w:kern w:val="0"/>
          <w14:ligatures w14:val="none"/>
        </w:rPr>
        <w:t xml:space="preserve"> independiente</w:t>
      </w:r>
      <w:r w:rsidRPr="009257E7">
        <w:rPr>
          <w:rFonts w:ascii="Times New Roman" w:eastAsia="Times New Roman" w:hAnsi="Times New Roman" w:cs="Times New Roman"/>
          <w:kern w:val="0"/>
          <w14:ligatures w14:val="none"/>
        </w:rPr>
        <w:t xml:space="preserve"> o como parte de una entidad más amplia. También describen las distintas “etapas” del trabajo en equipo eficaz: </w:t>
      </w:r>
    </w:p>
    <w:p w14:paraId="625C7125" w14:textId="77777777" w:rsidR="00957A71" w:rsidRPr="009257E7" w:rsidRDefault="00957A71" w:rsidP="00957A71">
      <w:pPr>
        <w:spacing w:before="100" w:beforeAutospacing="1" w:after="100" w:afterAutospacing="1" w:line="240" w:lineRule="auto"/>
        <w:rPr>
          <w:rFonts w:ascii="Times New Roman" w:eastAsia="Times New Roman" w:hAnsi="Times New Roman" w:cs="Times New Roman"/>
          <w:kern w:val="0"/>
          <w14:ligatures w14:val="none"/>
        </w:rPr>
      </w:pPr>
      <w:r w:rsidRPr="009257E7">
        <w:rPr>
          <w:rFonts w:ascii="Times New Roman" w:eastAsia="Times New Roman" w:hAnsi="Times New Roman" w:cs="Times New Roman"/>
          <w:i/>
          <w:iCs/>
          <w:kern w:val="0"/>
          <w14:ligatures w14:val="none"/>
        </w:rPr>
        <w:t>Formación</w:t>
      </w:r>
    </w:p>
    <w:p w14:paraId="0F6D87CA" w14:textId="6AAF1543" w:rsidR="00957A71" w:rsidRPr="009257E7" w:rsidRDefault="00957A71" w:rsidP="00957A71">
      <w:pPr>
        <w:spacing w:before="100" w:beforeAutospacing="1" w:after="100" w:afterAutospacing="1" w:line="240" w:lineRule="auto"/>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 xml:space="preserve">En la etapa de formación del equipo, sus integrantes deben ponerse de acuerdo sobre el propósito del equipo, los resultados </w:t>
      </w:r>
      <w:r w:rsidR="009A1A63" w:rsidRPr="009257E7">
        <w:rPr>
          <w:rFonts w:ascii="Times New Roman" w:eastAsia="Times New Roman" w:hAnsi="Times New Roman" w:cs="Times New Roman"/>
          <w:kern w:val="0"/>
          <w14:ligatures w14:val="none"/>
        </w:rPr>
        <w:t>esperados</w:t>
      </w:r>
      <w:r w:rsidRPr="009257E7">
        <w:rPr>
          <w:rFonts w:ascii="Times New Roman" w:eastAsia="Times New Roman" w:hAnsi="Times New Roman" w:cs="Times New Roman"/>
          <w:kern w:val="0"/>
          <w14:ligatures w14:val="none"/>
        </w:rPr>
        <w:t>, si el equipo cuenta con la autoridad necesaria para alcanzarlos, cómo se medirán esos resultados, cuáles serán las consecuencias del éxito y del fracaso, qué procesos se utilizarán para resolver disputas y cómo encaja el trabajo del equipo dentro del panorama más amplio de la institución</w:t>
      </w:r>
      <w:r w:rsidR="009A1A63" w:rsidRPr="009257E7">
        <w:rPr>
          <w:rFonts w:ascii="Times New Roman" w:eastAsia="Times New Roman" w:hAnsi="Times New Roman" w:cs="Times New Roman"/>
          <w:kern w:val="0"/>
          <w14:ligatures w14:val="none"/>
        </w:rPr>
        <w:t>…</w:t>
      </w:r>
    </w:p>
    <w:p w14:paraId="77FF00B5" w14:textId="77777777" w:rsidR="00957A71" w:rsidRPr="009257E7" w:rsidRDefault="00957A71" w:rsidP="00957A71">
      <w:pPr>
        <w:spacing w:before="100" w:beforeAutospacing="1" w:after="100" w:afterAutospacing="1" w:line="240" w:lineRule="auto"/>
        <w:rPr>
          <w:rFonts w:ascii="Times New Roman" w:eastAsia="Times New Roman" w:hAnsi="Times New Roman" w:cs="Times New Roman"/>
          <w:kern w:val="0"/>
          <w14:ligatures w14:val="none"/>
        </w:rPr>
      </w:pPr>
      <w:r w:rsidRPr="009257E7">
        <w:rPr>
          <w:rFonts w:ascii="Times New Roman" w:eastAsia="Times New Roman" w:hAnsi="Times New Roman" w:cs="Times New Roman"/>
          <w:i/>
          <w:iCs/>
          <w:kern w:val="0"/>
          <w14:ligatures w14:val="none"/>
        </w:rPr>
        <w:t>Normalización</w:t>
      </w:r>
    </w:p>
    <w:p w14:paraId="0CCB2607" w14:textId="32874ECF" w:rsidR="00957A71" w:rsidRPr="009257E7" w:rsidRDefault="00957A71" w:rsidP="00957A71">
      <w:pPr>
        <w:spacing w:before="100" w:beforeAutospacing="1" w:after="100" w:afterAutospacing="1" w:line="240" w:lineRule="auto"/>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 xml:space="preserve">En esta etapa, el equipo comienza a estrechar vínculos, </w:t>
      </w:r>
      <w:r w:rsidR="009A1A63" w:rsidRPr="009257E7">
        <w:rPr>
          <w:rFonts w:ascii="Times New Roman" w:eastAsia="Times New Roman" w:hAnsi="Times New Roman" w:cs="Times New Roman"/>
          <w:kern w:val="0"/>
          <w14:ligatures w14:val="none"/>
        </w:rPr>
        <w:t xml:space="preserve">a </w:t>
      </w:r>
      <w:r w:rsidRPr="009257E7">
        <w:rPr>
          <w:rFonts w:ascii="Times New Roman" w:eastAsia="Times New Roman" w:hAnsi="Times New Roman" w:cs="Times New Roman"/>
          <w:kern w:val="0"/>
          <w14:ligatures w14:val="none"/>
        </w:rPr>
        <w:t>fortalecer su compromiso y</w:t>
      </w:r>
      <w:r w:rsidR="009A1A63" w:rsidRPr="009257E7">
        <w:rPr>
          <w:rFonts w:ascii="Times New Roman" w:eastAsia="Times New Roman" w:hAnsi="Times New Roman" w:cs="Times New Roman"/>
          <w:kern w:val="0"/>
          <w14:ligatures w14:val="none"/>
        </w:rPr>
        <w:t xml:space="preserve"> a</w:t>
      </w:r>
      <w:r w:rsidRPr="009257E7">
        <w:rPr>
          <w:rFonts w:ascii="Times New Roman" w:eastAsia="Times New Roman" w:hAnsi="Times New Roman" w:cs="Times New Roman"/>
          <w:kern w:val="0"/>
          <w14:ligatures w14:val="none"/>
        </w:rPr>
        <w:t xml:space="preserve"> constituirse </w:t>
      </w:r>
      <w:r w:rsidR="009A1A63" w:rsidRPr="009257E7">
        <w:rPr>
          <w:rFonts w:ascii="Times New Roman" w:eastAsia="Times New Roman" w:hAnsi="Times New Roman" w:cs="Times New Roman"/>
          <w:kern w:val="0"/>
          <w14:ligatures w14:val="none"/>
        </w:rPr>
        <w:t>en</w:t>
      </w:r>
      <w:r w:rsidRPr="009257E7">
        <w:rPr>
          <w:rFonts w:ascii="Times New Roman" w:eastAsia="Times New Roman" w:hAnsi="Times New Roman" w:cs="Times New Roman"/>
          <w:kern w:val="0"/>
          <w14:ligatures w14:val="none"/>
        </w:rPr>
        <w:t xml:space="preserve"> una unidad cohesionada con una identidad propia. El equipo pasa de ser un conjunto de individuos con un objetivo común a convertirse en una unidad cohesionada con carácter y cultura propios</w:t>
      </w:r>
      <w:r w:rsidR="009A1A63" w:rsidRPr="009257E7">
        <w:rPr>
          <w:rFonts w:ascii="Times New Roman" w:eastAsia="Times New Roman" w:hAnsi="Times New Roman" w:cs="Times New Roman"/>
          <w:kern w:val="0"/>
          <w14:ligatures w14:val="none"/>
        </w:rPr>
        <w:t>…</w:t>
      </w:r>
      <w:r w:rsidRPr="009257E7">
        <w:rPr>
          <w:rFonts w:ascii="Times New Roman" w:eastAsia="Times New Roman" w:hAnsi="Times New Roman" w:cs="Times New Roman"/>
          <w:kern w:val="0"/>
          <w14:ligatures w14:val="none"/>
        </w:rPr>
        <w:t xml:space="preserve"> El peligro de esta etapa es que puede conducir al “pensamiento grupal”, es decir, a la tendencia a ignorar las diferencias y ceder ante las presiones del grupo en aras de la conformidad</w:t>
      </w:r>
      <w:r w:rsidR="009A1A63" w:rsidRPr="009257E7">
        <w:rPr>
          <w:rFonts w:ascii="Times New Roman" w:eastAsia="Times New Roman" w:hAnsi="Times New Roman" w:cs="Times New Roman"/>
          <w:kern w:val="0"/>
          <w14:ligatures w14:val="none"/>
        </w:rPr>
        <w:t>…</w:t>
      </w:r>
    </w:p>
    <w:p w14:paraId="687EA133" w14:textId="77777777" w:rsidR="00957A71" w:rsidRPr="009257E7" w:rsidRDefault="00957A71" w:rsidP="00957A71">
      <w:pPr>
        <w:spacing w:before="100" w:beforeAutospacing="1" w:after="100" w:afterAutospacing="1" w:line="240" w:lineRule="auto"/>
        <w:rPr>
          <w:rFonts w:ascii="Times New Roman" w:eastAsia="Times New Roman" w:hAnsi="Times New Roman" w:cs="Times New Roman"/>
          <w:kern w:val="0"/>
          <w14:ligatures w14:val="none"/>
        </w:rPr>
      </w:pPr>
      <w:r w:rsidRPr="009257E7">
        <w:rPr>
          <w:rFonts w:ascii="Times New Roman" w:eastAsia="Times New Roman" w:hAnsi="Times New Roman" w:cs="Times New Roman"/>
          <w:i/>
          <w:iCs/>
          <w:kern w:val="0"/>
          <w14:ligatures w14:val="none"/>
        </w:rPr>
        <w:lastRenderedPageBreak/>
        <w:t>Conflicto</w:t>
      </w:r>
    </w:p>
    <w:p w14:paraId="5CFB0661" w14:textId="0D809BA8" w:rsidR="00957A71" w:rsidRPr="009257E7" w:rsidRDefault="00957A71" w:rsidP="00957A71">
      <w:pPr>
        <w:spacing w:before="100" w:beforeAutospacing="1" w:after="100" w:afterAutospacing="1" w:line="240" w:lineRule="auto"/>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Una vez que el equipo comienza a trabajar, es de esperarse que surjan conflictos</w:t>
      </w:r>
      <w:r w:rsidR="009A1A63" w:rsidRPr="009257E7">
        <w:rPr>
          <w:rFonts w:ascii="Times New Roman" w:eastAsia="Times New Roman" w:hAnsi="Times New Roman" w:cs="Times New Roman"/>
          <w:kern w:val="0"/>
          <w14:ligatures w14:val="none"/>
        </w:rPr>
        <w:t>…</w:t>
      </w:r>
      <w:r w:rsidRPr="009257E7">
        <w:rPr>
          <w:rFonts w:ascii="Times New Roman" w:eastAsia="Times New Roman" w:hAnsi="Times New Roman" w:cs="Times New Roman"/>
          <w:kern w:val="0"/>
          <w14:ligatures w14:val="none"/>
        </w:rPr>
        <w:t xml:space="preserve"> Durante esta etapa de conflicto, es importante volver a centrar al equipo en su objetivo y trabajar en la comunicación para disipar los sentimientos negativos relacionados con el proceso del equipo y con sus integrantes</w:t>
      </w:r>
      <w:r w:rsidR="009A1A63" w:rsidRPr="009257E7">
        <w:rPr>
          <w:rFonts w:ascii="Times New Roman" w:eastAsia="Times New Roman" w:hAnsi="Times New Roman" w:cs="Times New Roman"/>
          <w:kern w:val="0"/>
          <w14:ligatures w14:val="none"/>
        </w:rPr>
        <w:t>…</w:t>
      </w:r>
      <w:r w:rsidRPr="009257E7">
        <w:rPr>
          <w:rFonts w:ascii="Times New Roman" w:eastAsia="Times New Roman" w:hAnsi="Times New Roman" w:cs="Times New Roman"/>
          <w:kern w:val="0"/>
          <w14:ligatures w14:val="none"/>
        </w:rPr>
        <w:t xml:space="preserve"> Después de atravesar esta fase difícil, les integrantes del equipo suelen estrechar sus vínculos y desarrollar un sentido de misión más firme.</w:t>
      </w:r>
    </w:p>
    <w:p w14:paraId="2530A3D0" w14:textId="77777777" w:rsidR="00957A71" w:rsidRPr="009257E7" w:rsidRDefault="00957A71" w:rsidP="00957A71">
      <w:pPr>
        <w:spacing w:before="100" w:beforeAutospacing="1" w:after="100" w:afterAutospacing="1" w:line="240" w:lineRule="auto"/>
        <w:rPr>
          <w:rFonts w:ascii="Times New Roman" w:eastAsia="Times New Roman" w:hAnsi="Times New Roman" w:cs="Times New Roman"/>
          <w:kern w:val="0"/>
          <w14:ligatures w14:val="none"/>
        </w:rPr>
      </w:pPr>
      <w:r w:rsidRPr="009257E7">
        <w:rPr>
          <w:rFonts w:ascii="Times New Roman" w:eastAsia="Times New Roman" w:hAnsi="Times New Roman" w:cs="Times New Roman"/>
          <w:i/>
          <w:iCs/>
          <w:kern w:val="0"/>
          <w14:ligatures w14:val="none"/>
        </w:rPr>
        <w:t>Reformulación</w:t>
      </w:r>
    </w:p>
    <w:p w14:paraId="56091D9B" w14:textId="19E024B8" w:rsidR="00957A71" w:rsidRPr="009257E7" w:rsidRDefault="00957A71" w:rsidP="00957A71">
      <w:pPr>
        <w:spacing w:before="100" w:beforeAutospacing="1" w:after="100" w:afterAutospacing="1" w:line="240" w:lineRule="auto"/>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En esta cuarta etapa del desarrollo del equipo, este vuelve a sus [acuerdos establecidos durante la formación] y, si es necesario, los reformula. Les integrantes resuelven satisfactoriamente sus conflictos para continuar abordando el problema asignado y, con frecuencia, comienzan a relacionarse entre sí con un respeto renovado. En esta etapa, trabajan de manera más armoniosa y se perciben menos como individuos y más como integrantes de un equipo. También aclaran sus funciones y responsabilidades a medida que renuevan su enfoque en los objetivos del equipo.</w:t>
      </w:r>
    </w:p>
    <w:p w14:paraId="36C1A23E" w14:textId="77777777" w:rsidR="00957A71" w:rsidRPr="009257E7" w:rsidRDefault="00957A71" w:rsidP="00957A71">
      <w:pPr>
        <w:spacing w:before="100" w:beforeAutospacing="1" w:after="100" w:afterAutospacing="1" w:line="240" w:lineRule="auto"/>
        <w:rPr>
          <w:rFonts w:ascii="Times New Roman" w:eastAsia="Times New Roman" w:hAnsi="Times New Roman" w:cs="Times New Roman"/>
          <w:kern w:val="0"/>
          <w14:ligatures w14:val="none"/>
        </w:rPr>
      </w:pPr>
      <w:r w:rsidRPr="009257E7">
        <w:rPr>
          <w:rFonts w:ascii="Times New Roman" w:eastAsia="Times New Roman" w:hAnsi="Times New Roman" w:cs="Times New Roman"/>
          <w:i/>
          <w:iCs/>
          <w:kern w:val="0"/>
          <w14:ligatures w14:val="none"/>
        </w:rPr>
        <w:t>Desempeño</w:t>
      </w:r>
    </w:p>
    <w:p w14:paraId="3D7A03AF" w14:textId="12D923EB" w:rsidR="00957A71" w:rsidRPr="009257E7" w:rsidRDefault="00957A71" w:rsidP="00957A71">
      <w:pPr>
        <w:spacing w:before="100" w:beforeAutospacing="1" w:after="100" w:afterAutospacing="1" w:line="240" w:lineRule="auto"/>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 xml:space="preserve">En esta etapa, el equipo </w:t>
      </w:r>
      <w:r w:rsidR="009A1A63" w:rsidRPr="009257E7">
        <w:rPr>
          <w:rFonts w:ascii="Times New Roman" w:eastAsia="Times New Roman" w:hAnsi="Times New Roman" w:cs="Times New Roman"/>
          <w:kern w:val="0"/>
          <w14:ligatures w14:val="none"/>
        </w:rPr>
        <w:t>oper</w:t>
      </w:r>
      <w:r w:rsidRPr="009257E7">
        <w:rPr>
          <w:rFonts w:ascii="Times New Roman" w:eastAsia="Times New Roman" w:hAnsi="Times New Roman" w:cs="Times New Roman"/>
          <w:kern w:val="0"/>
          <w14:ligatures w14:val="none"/>
        </w:rPr>
        <w:t xml:space="preserve">a </w:t>
      </w:r>
      <w:r w:rsidR="009A1A63" w:rsidRPr="009257E7">
        <w:rPr>
          <w:rFonts w:ascii="Times New Roman" w:eastAsia="Times New Roman" w:hAnsi="Times New Roman" w:cs="Times New Roman"/>
          <w:kern w:val="0"/>
          <w14:ligatures w14:val="none"/>
        </w:rPr>
        <w:t>a</w:t>
      </w:r>
      <w:r w:rsidRPr="009257E7">
        <w:rPr>
          <w:rFonts w:ascii="Times New Roman" w:eastAsia="Times New Roman" w:hAnsi="Times New Roman" w:cs="Times New Roman"/>
          <w:kern w:val="0"/>
          <w14:ligatures w14:val="none"/>
        </w:rPr>
        <w:t xml:space="preserve"> su nivel más alto. Existe un fuerte espíritu de equipo y solidaridad. Cuando surgen desacuerdos, se </w:t>
      </w:r>
      <w:r w:rsidR="009A1A63" w:rsidRPr="009257E7">
        <w:rPr>
          <w:rFonts w:ascii="Times New Roman" w:eastAsia="Times New Roman" w:hAnsi="Times New Roman" w:cs="Times New Roman"/>
          <w:kern w:val="0"/>
          <w14:ligatures w14:val="none"/>
        </w:rPr>
        <w:t>gestion</w:t>
      </w:r>
      <w:r w:rsidRPr="009257E7">
        <w:rPr>
          <w:rFonts w:ascii="Times New Roman" w:eastAsia="Times New Roman" w:hAnsi="Times New Roman" w:cs="Times New Roman"/>
          <w:kern w:val="0"/>
          <w14:ligatures w14:val="none"/>
        </w:rPr>
        <w:t>an mediante el proceso previamente acordado por el equipo. En este punto, les integrantes comparten verdaderamente una visión y se apoyan mutuamente, incluso cuando enfrentan desafíos difíciles</w:t>
      </w:r>
      <w:r w:rsidR="009A1A63" w:rsidRPr="009257E7">
        <w:rPr>
          <w:rFonts w:ascii="Times New Roman" w:eastAsia="Times New Roman" w:hAnsi="Times New Roman" w:cs="Times New Roman"/>
          <w:kern w:val="0"/>
          <w14:ligatures w14:val="none"/>
        </w:rPr>
        <w:t>…</w:t>
      </w:r>
      <w:r w:rsidR="009A1A63" w:rsidRPr="009257E7">
        <w:rPr>
          <w:rStyle w:val="FootnoteReference"/>
          <w:rFonts w:ascii="Times New Roman" w:eastAsia="Times New Roman" w:hAnsi="Times New Roman" w:cs="Times New Roman"/>
          <w:kern w:val="0"/>
          <w14:ligatures w14:val="none"/>
        </w:rPr>
        <w:footnoteReference w:id="248"/>
      </w:r>
    </w:p>
    <w:p w14:paraId="0CEC1E47" w14:textId="106E7F82" w:rsidR="00957A71" w:rsidRPr="009257E7" w:rsidRDefault="00957A71" w:rsidP="009A1A63">
      <w:pPr>
        <w:spacing w:before="100" w:beforeAutospacing="1" w:after="100" w:afterAutospacing="1" w:line="240" w:lineRule="auto"/>
        <w:ind w:firstLine="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Resulta útil volver a examinar estos requisitos y etapas a medida que desarroll</w:t>
      </w:r>
      <w:r w:rsidR="009A1A63" w:rsidRPr="009257E7">
        <w:rPr>
          <w:rFonts w:ascii="Times New Roman" w:eastAsia="Times New Roman" w:hAnsi="Times New Roman" w:cs="Times New Roman"/>
          <w:kern w:val="0"/>
          <w14:ligatures w14:val="none"/>
        </w:rPr>
        <w:t>e</w:t>
      </w:r>
      <w:r w:rsidRPr="009257E7">
        <w:rPr>
          <w:rFonts w:ascii="Times New Roman" w:eastAsia="Times New Roman" w:hAnsi="Times New Roman" w:cs="Times New Roman"/>
          <w:kern w:val="0"/>
          <w14:ligatures w14:val="none"/>
        </w:rPr>
        <w:t xml:space="preserve"> </w:t>
      </w:r>
      <w:r w:rsidR="009A1A63" w:rsidRPr="009257E7">
        <w:rPr>
          <w:rFonts w:ascii="Times New Roman" w:eastAsia="Times New Roman" w:hAnsi="Times New Roman" w:cs="Times New Roman"/>
          <w:kern w:val="0"/>
          <w14:ligatures w14:val="none"/>
        </w:rPr>
        <w:t>s</w:t>
      </w:r>
      <w:r w:rsidRPr="009257E7">
        <w:rPr>
          <w:rFonts w:ascii="Times New Roman" w:eastAsia="Times New Roman" w:hAnsi="Times New Roman" w:cs="Times New Roman"/>
          <w:kern w:val="0"/>
          <w14:ligatures w14:val="none"/>
        </w:rPr>
        <w:t>u propio proyecto de abogacía sistémica.</w:t>
      </w:r>
    </w:p>
    <w:p w14:paraId="2249F01B" w14:textId="77777777" w:rsidR="009A1A63" w:rsidRPr="009257E7" w:rsidRDefault="00CC6DC7" w:rsidP="009A1A63">
      <w:pPr>
        <w:spacing w:after="0" w:line="240" w:lineRule="auto"/>
        <w:rPr>
          <w:rFonts w:ascii="Times New Roman" w:eastAsia="Times New Roman" w:hAnsi="Times New Roman" w:cs="Times New Roman"/>
          <w:b/>
          <w:bCs/>
          <w:kern w:val="0"/>
          <w:lang w:val="es-ES"/>
          <w14:ligatures w14:val="none"/>
        </w:rPr>
      </w:pPr>
      <w:r w:rsidRPr="009257E7">
        <w:rPr>
          <w:rFonts w:ascii="Times New Roman" w:eastAsia="Times New Roman" w:hAnsi="Times New Roman" w:cs="Times New Roman"/>
          <w:b/>
          <w:bCs/>
          <w:kern w:val="0"/>
          <w:lang w:val="es-ES"/>
          <w14:ligatures w14:val="none"/>
        </w:rPr>
        <w:t>7.2 El profesionalismo colaborativo y las coaliciones críticas fortalecen los proyectos de abogacía</w:t>
      </w:r>
      <w:r w:rsidRPr="009257E7">
        <w:rPr>
          <w:rFonts w:ascii="Times New Roman" w:eastAsia="Times New Roman" w:hAnsi="Times New Roman" w:cs="Times New Roman"/>
          <w:b/>
          <w:bCs/>
          <w:kern w:val="0"/>
          <w:lang w:val="es-ES"/>
          <w14:ligatures w14:val="none"/>
        </w:rPr>
        <w:br/>
      </w:r>
    </w:p>
    <w:p w14:paraId="4CA745A6" w14:textId="597B9A6B" w:rsidR="009A1A63" w:rsidRPr="009257E7" w:rsidRDefault="009A1A63" w:rsidP="009A1A63">
      <w:pPr>
        <w:spacing w:after="0" w:line="240" w:lineRule="auto"/>
        <w:ind w:firstLine="720"/>
        <w:rPr>
          <w:rFonts w:ascii="Times New Roman" w:eastAsia="Times New Roman" w:hAnsi="Times New Roman" w:cs="Times New Roman"/>
          <w:b/>
          <w:bCs/>
          <w:kern w:val="0"/>
          <w:lang w:val="es-ES"/>
          <w14:ligatures w14:val="none"/>
        </w:rPr>
      </w:pPr>
      <w:r w:rsidRPr="009257E7">
        <w:rPr>
          <w:rFonts w:ascii="Times New Roman" w:eastAsia="Times New Roman" w:hAnsi="Times New Roman" w:cs="Times New Roman"/>
          <w:kern w:val="0"/>
          <w14:ligatures w14:val="none"/>
        </w:rPr>
        <w:t xml:space="preserve">Les equipes y el trabajo en equipo son fundamentales para el profesionalismo colaborativo. Con frecuencia, los equipos también trabajan con clientes que, a su vez, pueden constituir algún tipo de grupo, aunque con distintos niveles de conciencia colectiva, capacidad o cohesión. Aunque los detalles dependen del contexto, la colaboración, tanto individual como en equipo, con clientes colectivos también es fundamental para la abogacía sistémica. </w:t>
      </w:r>
    </w:p>
    <w:p w14:paraId="4827D542" w14:textId="37FC8DA7" w:rsidR="009A1A63" w:rsidRPr="009257E7" w:rsidRDefault="009A1A63" w:rsidP="009A1A63">
      <w:pPr>
        <w:spacing w:before="100" w:beforeAutospacing="1" w:after="100" w:afterAutospacing="1" w:line="240" w:lineRule="auto"/>
        <w:ind w:firstLine="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 xml:space="preserve">Les académiques y profesionales de derechos humanos Benjamin Hoffman y Marissa Vahlsing reflexionaron sobre su trabajo con EarthRights International, donde pusieron en práctica deliberadamente “metodologías de abogacía crítica en momentos clave de la relación entre abogade y cliente”. Se centraron en la “mecánica de la relación entre abogade y cliente”, importante tanto en contextos nacionales como transnacionales. Esta mecánica se adapta para enfrentar obstáculos contextuales relacionados con el derecho, el tiempo, la distancia, la cultura, los recursos y el conocimiento. La colaboración es crucial para superar cada uno de esos </w:t>
      </w:r>
      <w:r w:rsidRPr="009257E7">
        <w:rPr>
          <w:rFonts w:ascii="Times New Roman" w:eastAsia="Times New Roman" w:hAnsi="Times New Roman" w:cs="Times New Roman"/>
          <w:kern w:val="0"/>
          <w14:ligatures w14:val="none"/>
        </w:rPr>
        <w:lastRenderedPageBreak/>
        <w:t xml:space="preserve">obstáculos. Considere cómo sus preguntas finales podrían mejorar la colaboración como práctica de antisubordinación en su propio trabajo o en sus planes: </w:t>
      </w:r>
    </w:p>
    <w:p w14:paraId="3B2D2AA8" w14:textId="77777777" w:rsidR="009A1A63" w:rsidRPr="009257E7" w:rsidRDefault="009A1A63" w:rsidP="009A1A63">
      <w:pPr>
        <w:spacing w:before="100" w:beforeAutospacing="1" w:after="100" w:afterAutospacing="1" w:line="240" w:lineRule="auto"/>
        <w:ind w:left="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[S]urgieron tres preguntas generales [de nuestra reflexión:] ¿Cómo puede la relación entre abogade y cliente ser más empoderadora y más colaborativa? ¿Cómo puede la colaboración llevarnos a una visión compartida de la justicia y a una estrategia conjunta para alcanzarla? ¿Y cómo pueden esa visión y esa estrategia conducirnos de vuelta a la colaboración? [...] [Seguimos enfrentándonos a estas preguntas adicionales:]</w:t>
      </w:r>
    </w:p>
    <w:p w14:paraId="61837E92" w14:textId="77777777" w:rsidR="009A1A63" w:rsidRPr="009257E7" w:rsidRDefault="009A1A63" w:rsidP="009A1A63">
      <w:pPr>
        <w:pStyle w:val="ListParagraph"/>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¿Qué metodología puede utilizar le abogade para evitar coaccionar a una comunidad a adoptar una estrategia determinada?</w:t>
      </w:r>
    </w:p>
    <w:p w14:paraId="37D34D28" w14:textId="77777777" w:rsidR="009A1A63" w:rsidRPr="009257E7" w:rsidRDefault="009A1A63" w:rsidP="009A1A63">
      <w:pPr>
        <w:pStyle w:val="ListParagraph"/>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¿Cómo debe abordar le abogade las solicitudes de apoyo a estrategias con las que no está de acuerdo?</w:t>
      </w:r>
    </w:p>
    <w:p w14:paraId="31BA4F34" w14:textId="77777777" w:rsidR="009A1A63" w:rsidRPr="009257E7" w:rsidRDefault="009A1A63" w:rsidP="009A1A63">
      <w:pPr>
        <w:pStyle w:val="ListParagraph"/>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¿Qué opciones y oportunidades existen para financiar este tipo de práctica jurídica colaborativa, de modo que se amplíen las posibilidades de representación y se limiten las consideraciones económicas que influyen en la participación de le abogade? …</w:t>
      </w:r>
    </w:p>
    <w:p w14:paraId="67F1A336" w14:textId="77777777" w:rsidR="009A1A63" w:rsidRPr="009257E7" w:rsidRDefault="009A1A63" w:rsidP="009A1A63">
      <w:pPr>
        <w:pStyle w:val="ListParagraph"/>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¿Cómo pueden criticarse y mejorarse las normas de ética profesional para contemplar la posibilidad de relaciones colaborativas entre abogades y clientes en un contexto transnacional, de manera que puedan reconocerse y representarse intereses colectivos en lugar de intereses individuales?</w:t>
      </w:r>
    </w:p>
    <w:p w14:paraId="3F5C52EF" w14:textId="77777777" w:rsidR="009A1A63" w:rsidRPr="009257E7" w:rsidRDefault="009A1A63" w:rsidP="009A1A63">
      <w:pPr>
        <w:pStyle w:val="ListParagraph"/>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¿Cómo debe abordar le abogade la tarea habitual de determinar la postura de “la comunidad”, así como la posibilidad de que existan opiniones divergentes dentro de esa comunidad y de que la postura comunitaria cambie con el tiempo?</w:t>
      </w:r>
    </w:p>
    <w:p w14:paraId="7E0029F4" w14:textId="77777777" w:rsidR="009A1A63" w:rsidRPr="009257E7" w:rsidRDefault="009A1A63" w:rsidP="009A1A63">
      <w:pPr>
        <w:pStyle w:val="ListParagraph"/>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 xml:space="preserve">¿Qué estrategias tiene a su disposición le abogade para abordar ideas de la comunidad que sean completamente antidemocráticas y/o contrarias a la igualdad? ¿Cuándo resulta apropiado cuestionar esas ideas? ¿Cómo pueden cuestionarse?... </w:t>
      </w:r>
    </w:p>
    <w:p w14:paraId="7292B1F0" w14:textId="77777777" w:rsidR="009A1A63" w:rsidRPr="009257E7" w:rsidRDefault="009A1A63" w:rsidP="009A1A63">
      <w:pPr>
        <w:pStyle w:val="ListParagraph"/>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 xml:space="preserve">En el contexto de las negociaciones para llegar a un acuerdo, ¿qué estrategias pueden implementarse para garantizar que la comunidad mantenga el control sobre los términos y el proceso de negociación?... </w:t>
      </w:r>
    </w:p>
    <w:p w14:paraId="3893D7CD" w14:textId="2A6E585B" w:rsidR="009A1A63" w:rsidRPr="009257E7" w:rsidRDefault="009A1A63" w:rsidP="009A1A63">
      <w:pPr>
        <w:pStyle w:val="ListParagraph"/>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¿Qué ocurre con la relación entre le abogade y la comunidad una vez que el caso termina o se llega a un acuerdo? ¿Puede o debe le abogade seguir participando en los asuntos de la comunidad y, de ser así, en qué función?</w:t>
      </w:r>
      <w:r w:rsidRPr="009257E7">
        <w:rPr>
          <w:rStyle w:val="FootnoteReference"/>
          <w:rFonts w:ascii="Times New Roman" w:eastAsia="Times New Roman" w:hAnsi="Times New Roman" w:cs="Times New Roman"/>
          <w:kern w:val="0"/>
          <w14:ligatures w14:val="none"/>
        </w:rPr>
        <w:footnoteReference w:id="249"/>
      </w:r>
    </w:p>
    <w:p w14:paraId="7E768335" w14:textId="3255DD74" w:rsidR="009A1A63" w:rsidRPr="009257E7" w:rsidRDefault="009A1A63" w:rsidP="009A1A63">
      <w:pPr>
        <w:spacing w:before="100" w:beforeAutospacing="1" w:after="100" w:afterAutospacing="1" w:line="240" w:lineRule="auto"/>
        <w:ind w:firstLine="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 xml:space="preserve">A partir de su experiencia en luchas transnacionales, Hoffman y Vahlsing nos recuerdan que los sistemas y las luchas no conocen fronteras y no se limitan al derecho formal. Demuestran que los cambios en la “mecánica” de la abogacía pueden empoderar o desempoderar. Les abogades pueden adoptar prácticas concretas que aumenten su capacidad de ayudar, y esas prácticas dependen de múltiples formas de colaboración. </w:t>
      </w:r>
    </w:p>
    <w:p w14:paraId="23948370" w14:textId="5B57C2ED" w:rsidR="009A1A63" w:rsidRPr="009257E7" w:rsidRDefault="009A1A63" w:rsidP="00A50585">
      <w:pPr>
        <w:spacing w:before="100" w:beforeAutospacing="1" w:after="100" w:afterAutospacing="1" w:line="240" w:lineRule="auto"/>
        <w:ind w:firstLine="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 xml:space="preserve">De manera similar, Jesse Newmark, quien ha trabajado tanto en servicios legales como en el ámbito jurídico municipal, alienta a les abogades a considerar la posibilidad de actuar como intermediarios, creando procesos colaborativos entre grupos comunitarios y gobiernos locales para resolver problemas sociales complejos. Estos procesos colaborativos o deliberativos pueden </w:t>
      </w:r>
      <w:r w:rsidRPr="009257E7">
        <w:rPr>
          <w:rFonts w:ascii="Times New Roman" w:eastAsia="Times New Roman" w:hAnsi="Times New Roman" w:cs="Times New Roman"/>
          <w:kern w:val="0"/>
          <w14:ligatures w14:val="none"/>
        </w:rPr>
        <w:lastRenderedPageBreak/>
        <w:t xml:space="preserve">servir como mecanismos de </w:t>
      </w:r>
      <w:r w:rsidR="00A50585" w:rsidRPr="009257E7">
        <w:rPr>
          <w:rFonts w:ascii="Times New Roman" w:eastAsia="Times New Roman" w:hAnsi="Times New Roman" w:cs="Times New Roman"/>
          <w:kern w:val="0"/>
          <w14:ligatures w14:val="none"/>
        </w:rPr>
        <w:t>re</w:t>
      </w:r>
      <w:r w:rsidRPr="009257E7">
        <w:rPr>
          <w:rFonts w:ascii="Times New Roman" w:eastAsia="Times New Roman" w:hAnsi="Times New Roman" w:cs="Times New Roman"/>
          <w:kern w:val="0"/>
          <w14:ligatures w14:val="none"/>
        </w:rPr>
        <w:t xml:space="preserve">solución creativa de problemas que permitan superar </w:t>
      </w:r>
      <w:r w:rsidR="00A50585" w:rsidRPr="009257E7">
        <w:rPr>
          <w:rFonts w:ascii="Times New Roman" w:eastAsia="Times New Roman" w:hAnsi="Times New Roman" w:cs="Times New Roman"/>
          <w:kern w:val="0"/>
          <w14:ligatures w14:val="none"/>
        </w:rPr>
        <w:t xml:space="preserve">las </w:t>
      </w:r>
      <w:r w:rsidRPr="009257E7">
        <w:rPr>
          <w:rFonts w:ascii="Times New Roman" w:eastAsia="Times New Roman" w:hAnsi="Times New Roman" w:cs="Times New Roman"/>
          <w:kern w:val="0"/>
          <w14:ligatures w14:val="none"/>
        </w:rPr>
        <w:t xml:space="preserve">barreras de acceso. Los actores involucrados, casi por definición, tienen intereses, poder y culturas organizativas significativamente diferentes. Si el proceso no toma en cuenta las identidades, los grupos, los intereses y el poder, o pasa por alto las diferencias, la “colaboración” puede convertirse en cooptación en lugar de una colaboración auténtica. Como explica Newmark: </w:t>
      </w:r>
    </w:p>
    <w:p w14:paraId="63284615" w14:textId="77777777" w:rsidR="00A50585" w:rsidRPr="009257E7" w:rsidRDefault="00A50585" w:rsidP="00A50585">
      <w:pPr>
        <w:spacing w:before="100" w:beforeAutospacing="1" w:after="100" w:afterAutospacing="1" w:line="240" w:lineRule="auto"/>
        <w:ind w:left="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[L]as colaboraciones suelen requerir concesiones —en nuestro caso, por ejemplo, para convencer a socios gubernamentales más moderados de que participen—. Peor aún, las alianzas pueden conducir, de manera perversa, a la cooptación de [grupos desde abajo], que de otro modo funcionan como importantes mecanismos independientes de control frente al gobierno. Como explica un artículo, quienes colaboran “forman vínculos que, como mínimo, atenúan —y pueden llegar a extinguir por completo— las rivalidades entre organizaciones que, de otro modo, las mantendrían atentas a los excesos de las demás”; así, las colaboraciones “cooptan a posibles vigilantes al incorporarlos al equipo responsable de generar soluciones”.</w:t>
      </w:r>
    </w:p>
    <w:p w14:paraId="1B15805B" w14:textId="103EEB6C" w:rsidR="00A50585" w:rsidRPr="009257E7" w:rsidRDefault="00A50585" w:rsidP="00A50585">
      <w:pPr>
        <w:spacing w:before="100" w:beforeAutospacing="1" w:after="100" w:afterAutospacing="1" w:line="240" w:lineRule="auto"/>
        <w:ind w:left="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 [L]os funcionarios, por tanto, pueden decidir trabajar —o continuar trabajando— únicamente con grupos dispuestos a complacer sus intereses, lo que intensifica la presión de cooptación. [...] Además, les abogades de servicios legales pueden ser especialmente susceptibles a esa cooptación en determinados momentos, [...] cuando nuestro trabajo depende de agencias o del personal municipal, como juntas de alquileres, inspectores de edificios o la policía.</w:t>
      </w:r>
    </w:p>
    <w:p w14:paraId="22E9D124" w14:textId="07E7AC4F" w:rsidR="00A50585" w:rsidRPr="009257E7" w:rsidRDefault="00A50585" w:rsidP="00A50585">
      <w:pPr>
        <w:spacing w:before="100" w:beforeAutospacing="1" w:after="100" w:afterAutospacing="1" w:line="240" w:lineRule="auto"/>
        <w:ind w:left="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 [Las colaboraciones también pueden] “simplemente reproducir, e incluso quizá agravar” las desigualdades existentes. [...] Por tanto, los grupos [con escasos recursos o] subrepresentados “seguirán estando en desventaja en la distribución de [...] beneficios y cargas dentro de procesos colaborativos descentralizados”. Bajo una falsa promesa de inclusión y cooperación, la colaboración también puede legitimar estos resultados desiguales de manera más eficaz que el litigio u otra acción abiertamente adversarial.</w:t>
      </w:r>
      <w:r w:rsidRPr="009257E7">
        <w:rPr>
          <w:rStyle w:val="FootnoteReference"/>
          <w:rFonts w:ascii="Times New Roman" w:eastAsia="Times New Roman" w:hAnsi="Times New Roman" w:cs="Times New Roman"/>
          <w:kern w:val="0"/>
          <w14:ligatures w14:val="none"/>
        </w:rPr>
        <w:footnoteReference w:id="250"/>
      </w:r>
    </w:p>
    <w:p w14:paraId="7F0920C0" w14:textId="16907D7A" w:rsidR="00A50585" w:rsidRPr="009257E7" w:rsidRDefault="00A50585" w:rsidP="00A50585">
      <w:pPr>
        <w:spacing w:before="100" w:beforeAutospacing="1" w:after="100" w:afterAutospacing="1" w:line="240" w:lineRule="auto"/>
        <w:ind w:firstLine="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 xml:space="preserve">La colaboración es siempre dinámica y depende del contexto. Cuantas más personas o grupos participan, más compleja puede volverse. Sin embargo, cuando las colaboraciones más amplias están bien organizadas y coordinadas, pueden maximizar el progreso. Por esta razón, las coaliciones se encuentran entre las formas de colaboración más eficaces y, al mismo tiempo, las más complejas. </w:t>
      </w:r>
    </w:p>
    <w:p w14:paraId="1C3A5B51" w14:textId="402A6CD0" w:rsidR="00A50585" w:rsidRPr="009257E7" w:rsidRDefault="00A50585" w:rsidP="00A50585">
      <w:pPr>
        <w:spacing w:before="100" w:beforeAutospacing="1" w:after="100" w:afterAutospacing="1" w:line="240" w:lineRule="auto"/>
        <w:ind w:firstLine="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 xml:space="preserve">Les abogades navegan por la complejidad de las historias entre grupos y los conflictos contemporáneos para ayudar a construir “coaliciones críticas” basadas tanto en intereses </w:t>
      </w:r>
      <w:r w:rsidRPr="009257E7">
        <w:rPr>
          <w:rFonts w:ascii="Times New Roman" w:eastAsia="Times New Roman" w:hAnsi="Times New Roman" w:cs="Times New Roman"/>
          <w:i/>
          <w:iCs/>
          <w:kern w:val="0"/>
          <w14:ligatures w14:val="none"/>
        </w:rPr>
        <w:t>como</w:t>
      </w:r>
      <w:r w:rsidRPr="009257E7">
        <w:rPr>
          <w:rFonts w:ascii="Times New Roman" w:eastAsia="Times New Roman" w:hAnsi="Times New Roman" w:cs="Times New Roman"/>
          <w:kern w:val="0"/>
          <w14:ligatures w14:val="none"/>
        </w:rPr>
        <w:t xml:space="preserve"> en principios. Identificar intereses compartidos es importante, pero los valores compartidos —en particular, un compromiso común con la solidaridad de antisubordinación— ofrecen fundamentos más profundos y duraderos. Establecer estos fundamentos exige adentrarse aún más en las complejidades arraigadas en las identidades, los grupos, los intereses y el poder. </w:t>
      </w:r>
    </w:p>
    <w:p w14:paraId="05CDE5C1" w14:textId="3611F24B" w:rsidR="00A50585" w:rsidRPr="009257E7" w:rsidRDefault="00A50585" w:rsidP="00A50585">
      <w:pPr>
        <w:spacing w:before="100" w:beforeAutospacing="1" w:after="100" w:afterAutospacing="1" w:line="240" w:lineRule="auto"/>
        <w:ind w:firstLine="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lastRenderedPageBreak/>
        <w:t xml:space="preserve">Un ejemplo es el litigio complejo presentado en nombre de trabajadoras latinas y tailandesas mantenidas en Estados Unidos en condiciones de esclavitud de facto. En 1995, las autoridades descubrieron la esclavitud de trabajadoras tailandesas indocumentadas de la industria de la confección, en su mayoría mujeres, en un suburbio de Los Ángeles. Estas trabajadoras inmigrantes estaban confinadas tanto por la necesidad económica —agravada por el robo crónico de salarios— como por alambre de púas, guardias armados y amenazas de causarles daño a ellas y a sus familiares que habían quedado en Tailandia. Recibían salarios inferiores al salario mínimo y estaban obligadas a trabajar y vivir en condiciones horribles. Las trabajadoras tailandesas presentaron una demanda civil contra los operadores de la fábrica y contra sus clientes, fabricantes y minoristas estadounidenses de ropa. Durante el curso de esa demanda, que finalmente tuvo éxito, les abogades —entre quienes se encontraba Julie Su— fueron contactados por trabajadoras latinas de un segundo taller de explotación laboral operado por la misma familia que había esclavizado a las trabajadoras tailandesas. Las trabajadoras latinas también sufrían el robo de salarios y estaban atrapadas en condiciones de servidumbre económica, aunque no estaban físicamente esclavizadas. La demanda creó una oportunidad para construir una coalición, como describe Su: </w:t>
      </w:r>
    </w:p>
    <w:p w14:paraId="46F3E0D9" w14:textId="76936006" w:rsidR="00A50585" w:rsidRPr="009257E7" w:rsidRDefault="00A50585" w:rsidP="00A50585">
      <w:pPr>
        <w:spacing w:before="100" w:beforeAutospacing="1" w:after="100" w:afterAutospacing="1" w:line="240" w:lineRule="auto"/>
        <w:ind w:left="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Las trabajadoras [tailandesas y latinas], unidas en su demanda civil, envían un mensaje claro a los fabricantes y los minoristas de ropa: este caso no se refiere únicamente al trabajo esclavo. Ustedes no solo son responsables de la servidumbre involuntaria; este caso también se refiere a los cientos de miles de trabajadoras de la confección, principalmente latinas, que trabajan en talleres de explotación laboral en todos los Estados Unidos.</w:t>
      </w:r>
    </w:p>
    <w:p w14:paraId="1505C677" w14:textId="2E70529C" w:rsidR="00A50585" w:rsidRPr="009257E7" w:rsidRDefault="00A50585" w:rsidP="00A50585">
      <w:pPr>
        <w:spacing w:before="100" w:beforeAutospacing="1" w:after="100" w:afterAutospacing="1" w:line="240" w:lineRule="auto"/>
        <w:ind w:left="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La lucha en la que participan las trabajadoras nos desafía a nosotros y desafía a diversos sectores de nuestra sociedad. [...] El primer desafío es el que las trabajadoras plantean a los poderes corporativos de la industria de la confección. La demanda tiene el potencial de transformar la manera en que los fabricantes y minoristas hacen negocios. La demanda de las trabajadoras nos obliga a ver abusos como estos no como incidentes aislados, sino como deficiencias estructurales. A menos que las corporaciones rindan cuentas por la explotación y el abuso de las trabajadoras, el abuso continuará y los talleres de explotación laboral seguirán siendo una realidad vergonzosa: la ropa sucia de una industria de la moda que mueve miles de millones de dólares.</w:t>
      </w:r>
    </w:p>
    <w:p w14:paraId="199B90B6" w14:textId="0635781C" w:rsidR="00A50585" w:rsidRPr="009257E7" w:rsidRDefault="00A50585" w:rsidP="00A50585">
      <w:pPr>
        <w:spacing w:before="100" w:beforeAutospacing="1" w:after="100" w:afterAutospacing="1" w:line="240" w:lineRule="auto"/>
        <w:ind w:left="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El segundo desafío se dirige tanto a las propias trabajadoras como a quienes ejercen la abogacía en su nombre. Las trabajadoras han tenido que aprender que, incluso en este país, nada se gana sin lucha, ningún poder cambia de manos sin confrontación y nadie tiene más poder para defenderlas que ellas mismas. Ellas —y yo— hemos aprendido que el simple acceso al sistema jurídico y a les abogades no garantiza que se haga justicia.</w:t>
      </w:r>
      <w:r w:rsidRPr="009257E7">
        <w:rPr>
          <w:rStyle w:val="FootnoteReference"/>
          <w:rFonts w:ascii="Times New Roman" w:eastAsia="Times New Roman" w:hAnsi="Times New Roman" w:cs="Times New Roman"/>
          <w:kern w:val="0"/>
          <w14:ligatures w14:val="none"/>
        </w:rPr>
        <w:footnoteReference w:id="251"/>
      </w:r>
    </w:p>
    <w:p w14:paraId="3A48877A" w14:textId="77777777" w:rsidR="00A50585" w:rsidRPr="009257E7" w:rsidRDefault="00A50585" w:rsidP="00A50585">
      <w:pPr>
        <w:spacing w:before="100" w:beforeAutospacing="1" w:after="100" w:afterAutospacing="1" w:line="240" w:lineRule="auto"/>
        <w:ind w:firstLine="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La demanda conjunta de las trabajadoras que finalmente se presentó superó “obstáculos innegables” para la formación de una coalición crítica:</w:t>
      </w:r>
    </w:p>
    <w:p w14:paraId="0B822F56" w14:textId="0A85EC55" w:rsidR="00A50585" w:rsidRPr="009257E7" w:rsidRDefault="00A50585" w:rsidP="00A50585">
      <w:pPr>
        <w:spacing w:before="100" w:beforeAutospacing="1" w:after="100" w:afterAutospacing="1" w:line="240" w:lineRule="auto"/>
        <w:ind w:left="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lastRenderedPageBreak/>
        <w:t xml:space="preserve">El caso [...] ofreció una oportunidad única para construir una coalición sólida entre personas asiáticas y latinas, los dos grupos étnicos </w:t>
      </w:r>
      <w:r w:rsidR="0042458C" w:rsidRPr="009257E7">
        <w:rPr>
          <w:rFonts w:ascii="Times New Roman" w:eastAsia="Times New Roman" w:hAnsi="Times New Roman" w:cs="Times New Roman"/>
          <w:kern w:val="0"/>
          <w14:ligatures w14:val="none"/>
        </w:rPr>
        <w:t xml:space="preserve">principales </w:t>
      </w:r>
      <w:r w:rsidRPr="009257E7">
        <w:rPr>
          <w:rFonts w:ascii="Times New Roman" w:eastAsia="Times New Roman" w:hAnsi="Times New Roman" w:cs="Times New Roman"/>
          <w:kern w:val="0"/>
          <w14:ligatures w14:val="none"/>
        </w:rPr>
        <w:t xml:space="preserve">que han sido explotados en la industria de la confección. El proceso presentó obstáculos innegables. La propia estructura de la industria genera divisiones entre los grupos que se encuentran en la base de la pirámide. Las mujeres asiáticas y latinas suelen tener poco conocimiento de </w:t>
      </w:r>
      <w:r w:rsidR="0042458C" w:rsidRPr="009257E7">
        <w:rPr>
          <w:rFonts w:ascii="Times New Roman" w:eastAsia="Times New Roman" w:hAnsi="Times New Roman" w:cs="Times New Roman"/>
          <w:kern w:val="0"/>
          <w14:ligatures w14:val="none"/>
        </w:rPr>
        <w:t>su</w:t>
      </w:r>
      <w:r w:rsidRPr="009257E7">
        <w:rPr>
          <w:rFonts w:ascii="Times New Roman" w:eastAsia="Times New Roman" w:hAnsi="Times New Roman" w:cs="Times New Roman"/>
          <w:kern w:val="0"/>
          <w14:ligatures w14:val="none"/>
        </w:rPr>
        <w:t xml:space="preserve">s respectivos trasfondos culturales. Con frecuencia, los operadores de los talleres, que actúan de manera explotadora y abusiva, son asiáticos; por ello, muchas trabajadoras latinas ven a las personas asiáticas no solo como extrañas, sino </w:t>
      </w:r>
      <w:r w:rsidR="0042458C" w:rsidRPr="009257E7">
        <w:rPr>
          <w:rFonts w:ascii="Times New Roman" w:eastAsia="Times New Roman" w:hAnsi="Times New Roman" w:cs="Times New Roman"/>
          <w:kern w:val="0"/>
          <w14:ligatures w14:val="none"/>
        </w:rPr>
        <w:t xml:space="preserve">también </w:t>
      </w:r>
      <w:r w:rsidRPr="009257E7">
        <w:rPr>
          <w:rFonts w:ascii="Times New Roman" w:eastAsia="Times New Roman" w:hAnsi="Times New Roman" w:cs="Times New Roman"/>
          <w:kern w:val="0"/>
          <w14:ligatures w14:val="none"/>
        </w:rPr>
        <w:t xml:space="preserve">como enemigas y como la fuente de una subordinación constante. [Julie] Su explicó: “Las personas asiáticas y latinas sufren formas similares de explotación en el submundo de los talleres de explotación laboral de la industria de la confección estadounidense. Con frecuencia trabajan lado a lado, pero su incapacidad para comunicarse entre sí, debido a las diferencias lingüísticas y a las humillaciones cotidianas que padecen, hace que, en el mejor de los casos, eviten el contacto y, en el peor, lleguen a odiarse mutuamente”. </w:t>
      </w:r>
    </w:p>
    <w:p w14:paraId="1C5EABD2" w14:textId="34F9BE42" w:rsidR="00A50585" w:rsidRPr="009257E7" w:rsidRDefault="00A50585" w:rsidP="0042458C">
      <w:pPr>
        <w:spacing w:before="100" w:beforeAutospacing="1" w:after="100" w:afterAutospacing="1" w:line="240" w:lineRule="auto"/>
        <w:ind w:left="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 xml:space="preserve">Finalmente, comprendieron que, al trabajar juntas, tenían mucho más poder para exigir que las corporaciones rindieran cuentas, reclamar un trato justo y producir cambios que </w:t>
      </w:r>
      <w:r w:rsidR="0042458C" w:rsidRPr="009257E7">
        <w:rPr>
          <w:rFonts w:ascii="Times New Roman" w:eastAsia="Times New Roman" w:hAnsi="Times New Roman" w:cs="Times New Roman"/>
          <w:kern w:val="0"/>
          <w14:ligatures w14:val="none"/>
        </w:rPr>
        <w:t xml:space="preserve">no podían lograr </w:t>
      </w:r>
      <w:r w:rsidRPr="009257E7">
        <w:rPr>
          <w:rFonts w:ascii="Times New Roman" w:eastAsia="Times New Roman" w:hAnsi="Times New Roman" w:cs="Times New Roman"/>
          <w:kern w:val="0"/>
          <w14:ligatures w14:val="none"/>
        </w:rPr>
        <w:t>si actuaban por separado. Su describió un momento transformador en la relación entre las trabajadoras asiáticas y latinas: “Una trabajadora tailandesa dice en tailandés: ‘Estamos profundamente agradecidas de ser finalmente libres [de la esclavitud y luego de la detención migratoria en Estados Unidos], de poder estar junto a ustedes y luchar a su lado para construir una vida mejor para todas nosotras’; sus palabras se traducen del tailandés al inglés y luego del inglés al español. En el momento en que la comprensión se reflejó en los rostros de las trabajadoras latinas, se encendió en sus ojos una luz de entendimiento, comenzaron a asentir lentamente con la cabeza y podía sentirse la profundidad de aquella conexión”.</w:t>
      </w:r>
      <w:r w:rsidR="0042458C" w:rsidRPr="009257E7">
        <w:rPr>
          <w:rStyle w:val="FootnoteReference"/>
          <w:rFonts w:ascii="Times New Roman" w:eastAsia="Times New Roman" w:hAnsi="Times New Roman" w:cs="Times New Roman"/>
          <w:kern w:val="0"/>
          <w14:ligatures w14:val="none"/>
        </w:rPr>
        <w:footnoteReference w:id="252"/>
      </w:r>
    </w:p>
    <w:p w14:paraId="76F245E4" w14:textId="078F776D" w:rsidR="00A50585" w:rsidRPr="009257E7" w:rsidRDefault="00A50585" w:rsidP="0042458C">
      <w:pPr>
        <w:spacing w:before="100" w:beforeAutospacing="1" w:after="100" w:afterAutospacing="1" w:line="240" w:lineRule="auto"/>
        <w:ind w:firstLine="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 xml:space="preserve">Aunque mantenerlas sea “difícil, complicado y requiera mucho tiempo”, estas coaliciones críticas deben ser una prioridad para les abogades. Las coaliciones críticas enfrentan directamente los agravios entre grupos y trabajan para superarlos, combinando intereses colectivos con valores de antisubordinación para orientar la acción organizada. Con frecuencia, las coaliciones críticas reciben menos financiamiento que las organizaciones de las élites y sus agentes, e incluso menos que los esfuerzos centrados exclusivamente en la prestación aislada de servicios individuales atomizados. No obstante, les abogades contribuyen a hacer reales y dinámicas las coaliciones desde abajo mediante la construcción de redes de solidaridad que aumentan las capacidades colectivas para la lucha a largo plazo. Al utilizar las coaliciones críticas de manera contextual y dinámica, les abogades y los grupos subordinados a quienes apoyan pueden lograr avances y protegerlos. </w:t>
      </w:r>
    </w:p>
    <w:p w14:paraId="10CA61B7" w14:textId="6B110562" w:rsidR="004C3478" w:rsidRPr="009257E7" w:rsidRDefault="004C3478" w:rsidP="004C3478">
      <w:pPr>
        <w:spacing w:before="100" w:beforeAutospacing="1" w:after="100" w:afterAutospacing="1" w:line="240" w:lineRule="auto"/>
        <w:ind w:firstLine="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 xml:space="preserve">De hecho, las coaliciones críticas pueden ser fundamentales para evitar la pérdida de impulso después de una victoria, un fenómeno que muchas personas han observado desde la aprobación inicial de leyes clave de derechos civiles en Estados Unidos durante el siglo XX. Es probable que las coaliciones críticas generen un fermento creativo constante y una fecundación cruzada de ideas precisamente porque se construyen </w:t>
      </w:r>
      <w:r w:rsidRPr="009257E7">
        <w:rPr>
          <w:rFonts w:ascii="Times New Roman" w:eastAsia="Times New Roman" w:hAnsi="Times New Roman" w:cs="Times New Roman"/>
          <w:i/>
          <w:iCs/>
          <w:kern w:val="0"/>
          <w14:ligatures w14:val="none"/>
        </w:rPr>
        <w:t>a partir</w:t>
      </w:r>
      <w:r w:rsidRPr="009257E7">
        <w:rPr>
          <w:rFonts w:ascii="Times New Roman" w:eastAsia="Times New Roman" w:hAnsi="Times New Roman" w:cs="Times New Roman"/>
          <w:kern w:val="0"/>
          <w14:ligatures w14:val="none"/>
        </w:rPr>
        <w:t xml:space="preserve"> de múltiples tipos de diferencias y se sostienen </w:t>
      </w:r>
      <w:r w:rsidRPr="009257E7">
        <w:rPr>
          <w:rFonts w:ascii="Times New Roman" w:eastAsia="Times New Roman" w:hAnsi="Times New Roman" w:cs="Times New Roman"/>
          <w:i/>
          <w:iCs/>
          <w:kern w:val="0"/>
          <w14:ligatures w14:val="none"/>
        </w:rPr>
        <w:t>a lo largo</w:t>
      </w:r>
      <w:r w:rsidRPr="009257E7">
        <w:rPr>
          <w:rFonts w:ascii="Times New Roman" w:eastAsia="Times New Roman" w:hAnsi="Times New Roman" w:cs="Times New Roman"/>
          <w:kern w:val="0"/>
          <w14:ligatures w14:val="none"/>
        </w:rPr>
        <w:t xml:space="preserve"> del tiempo, más allá de los objetivos inmediatos. La académica crítica de </w:t>
      </w:r>
      <w:r w:rsidRPr="009257E7">
        <w:rPr>
          <w:rFonts w:ascii="Times New Roman" w:eastAsia="Times New Roman" w:hAnsi="Times New Roman" w:cs="Times New Roman"/>
          <w:kern w:val="0"/>
          <w14:ligatures w14:val="none"/>
        </w:rPr>
        <w:lastRenderedPageBreak/>
        <w:t xml:space="preserve">los derechos de las personas con discapacidad Kaaryn Gustafson describe cómo la “energía colectiva” puede desvanecerse después de las victorias y reclama, como antídoto, un “compromiso colectivo con la igualdad y la inclusión” más sólido y traducido en acciones concretas: </w:t>
      </w:r>
    </w:p>
    <w:p w14:paraId="3F137083" w14:textId="22BB77F7" w:rsidR="004C3478" w:rsidRPr="009257E7" w:rsidRDefault="004C3478" w:rsidP="004C3478">
      <w:pPr>
        <w:spacing w:before="100" w:beforeAutospacing="1" w:after="100" w:afterAutospacing="1" w:line="240" w:lineRule="auto"/>
        <w:ind w:left="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La Ley de Estadounidenses con Discapacidades [ADA, por sus siglas en inglés - Americans with Disabilities Act] ha marcado una profunda diferencia para quienes vivimos con discapacidades. Pero, como suele suceder con las victorias colectivas en materia de derechos civiles, después de la aprobación de la ley se desvanecieron las comunidades activistas, las expresiones positivas de la identidad de las personas con discapacidad y la energía colectiva que había surgido durante la lucha por la ADA…</w:t>
      </w:r>
    </w:p>
    <w:p w14:paraId="67D032EB" w14:textId="7E41575E" w:rsidR="004C3478" w:rsidRPr="009257E7" w:rsidRDefault="004C3478" w:rsidP="004C3478">
      <w:pPr>
        <w:spacing w:before="100" w:beforeAutospacing="1" w:after="100" w:afterAutospacing="1" w:line="240" w:lineRule="auto"/>
        <w:ind w:left="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Las experiencias de las personas con discapacidad en Estados Unidos después de la ADA (en las que las personas negras están sobrerrepresentadas) son paralelas a las de las personas de color después de la aprobación de la Ley de Derechos Civiles. Para quienes integran ambos grupos, la implementación de los mandatos federales fue lenta y se llevó a cabo con resistencia.</w:t>
      </w:r>
    </w:p>
    <w:p w14:paraId="393E5FB3" w14:textId="13B31C00" w:rsidR="004C3478" w:rsidRPr="009257E7" w:rsidRDefault="004C3478" w:rsidP="004C3478">
      <w:pPr>
        <w:spacing w:before="100" w:beforeAutospacing="1" w:after="100" w:afterAutospacing="1" w:line="240" w:lineRule="auto"/>
        <w:ind w:left="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 [T]odavía tenemos mucho trabajo por hacer y gran parte de ese trabajo requiere un compromiso colectivo con la igualdad y la inclusión.</w:t>
      </w:r>
      <w:r w:rsidRPr="009257E7">
        <w:rPr>
          <w:rStyle w:val="FootnoteReference"/>
          <w:rFonts w:ascii="Times New Roman" w:eastAsia="Times New Roman" w:hAnsi="Times New Roman" w:cs="Times New Roman"/>
          <w:kern w:val="0"/>
          <w14:ligatures w14:val="none"/>
        </w:rPr>
        <w:footnoteReference w:id="253"/>
      </w:r>
    </w:p>
    <w:p w14:paraId="28EA394F" w14:textId="77777777" w:rsidR="004C3478" w:rsidRPr="009257E7" w:rsidRDefault="004C3478" w:rsidP="004C3478">
      <w:pPr>
        <w:spacing w:before="100" w:beforeAutospacing="1" w:after="100" w:afterAutospacing="1" w:line="240" w:lineRule="auto"/>
        <w:ind w:firstLine="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 xml:space="preserve">La historia de la creación de una coalición de género, queer y discapacidad, </w:t>
      </w:r>
      <w:r w:rsidRPr="009257E7">
        <w:rPr>
          <w:rFonts w:ascii="Times New Roman" w:eastAsia="Times New Roman" w:hAnsi="Times New Roman" w:cs="Times New Roman"/>
          <w:i/>
          <w:iCs/>
          <w:kern w:val="0"/>
          <w14:ligatures w14:val="none"/>
        </w:rPr>
        <w:t>People in Search of Safe and Accessible Restrooms</w:t>
      </w:r>
      <w:r w:rsidRPr="009257E7">
        <w:rPr>
          <w:rFonts w:ascii="Times New Roman" w:eastAsia="Times New Roman" w:hAnsi="Times New Roman" w:cs="Times New Roman"/>
          <w:kern w:val="0"/>
          <w14:ligatures w14:val="none"/>
        </w:rPr>
        <w:t xml:space="preserve"> (PISSAR), podría ser un ejemplo del tipo de oportunismo consciente capaz de impulsar una abogacía coalicional continua, creativa y crítica:</w:t>
      </w:r>
    </w:p>
    <w:p w14:paraId="3CA55907" w14:textId="3AF96AED" w:rsidR="004C3478" w:rsidRPr="009257E7" w:rsidRDefault="004C3478" w:rsidP="004C3478">
      <w:pPr>
        <w:spacing w:before="100" w:beforeAutospacing="1" w:after="100" w:afterAutospacing="1" w:line="240" w:lineRule="auto"/>
        <w:ind w:left="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PISSAR se creó durante la Conferencia de Estudiantes de Color de la Universidad de California, celebrada en la UC Santa Barbara en 2003. Durante la pausa para el almuerzo del segundo día de la conferencia, se habían programado reuniones del grupo de personas con discapacidad y del grupo de personas transgénero en salones contiguos. Como solo unas pocas personas asistieron a ambas reuniones, decidimos celebrar una sesión conjunta. Une integrante del grupo de personas con discapacidad mencionó los planes para evaluar la accesibilidad de los baños en el campus y preguntó si existía un interés similar en identificar los baños de género neutro. De repente, todas las personas presentes comenzaron a hablar sobre las posibilidades de una coalición de género, queer y discapacidad, y así nació PISSAR.</w:t>
      </w:r>
      <w:r w:rsidRPr="009257E7">
        <w:rPr>
          <w:rStyle w:val="FootnoteReference"/>
          <w:rFonts w:ascii="Times New Roman" w:eastAsia="Times New Roman" w:hAnsi="Times New Roman" w:cs="Times New Roman"/>
          <w:kern w:val="0"/>
          <w14:ligatures w14:val="none"/>
        </w:rPr>
        <w:footnoteReference w:id="254"/>
      </w:r>
    </w:p>
    <w:p w14:paraId="2E552667" w14:textId="3A2485B7" w:rsidR="004C3478" w:rsidRPr="009257E7" w:rsidRDefault="004C3478" w:rsidP="004C3478">
      <w:pPr>
        <w:spacing w:before="100" w:beforeAutospacing="1" w:after="100" w:afterAutospacing="1" w:line="240" w:lineRule="auto"/>
        <w:ind w:firstLine="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 xml:space="preserve">Los ejemplos anteriores son solo algunas muestras del trabajo cotidiano que realizan les abogades en colaboraciones desde abajo y coaliciones críticas. Como ilustran estos ejemplos, incorporar la colaboración como parte integral de la abogacía transforma tanto su alcance como su capacidad de incidencia. Cuando se practica de manera democrática y sujeta a rendición de </w:t>
      </w:r>
      <w:r w:rsidRPr="009257E7">
        <w:rPr>
          <w:rFonts w:ascii="Times New Roman" w:eastAsia="Times New Roman" w:hAnsi="Times New Roman" w:cs="Times New Roman"/>
          <w:kern w:val="0"/>
          <w14:ligatures w14:val="none"/>
        </w:rPr>
        <w:lastRenderedPageBreak/>
        <w:t xml:space="preserve">cuentas, la colaboración siembra las bases de la acción colectiva y de la solidaridad necesarias para sostener luchas desde abajo a largo plazo. </w:t>
      </w:r>
    </w:p>
    <w:p w14:paraId="4C22A863" w14:textId="216C663B" w:rsidR="004C3478" w:rsidRPr="009257E7" w:rsidRDefault="004C3478" w:rsidP="004C3478">
      <w:pPr>
        <w:spacing w:before="100" w:beforeAutospacing="1" w:after="100" w:afterAutospacing="1" w:line="240" w:lineRule="auto"/>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 xml:space="preserve">Los equipos diversos, pero con objetivos claros, constituyen el núcleo básico de las colaboraciones que fortalecen la abogacía desde abajo. El trabajo en equipo permite desarrollar proyectos orientados tanto a la mejora como a la transformación de la injusticia sistémica; es decir, proyectos de abogacía </w:t>
      </w:r>
      <w:r w:rsidRPr="009257E7">
        <w:rPr>
          <w:rFonts w:ascii="Times New Roman" w:eastAsia="Times New Roman" w:hAnsi="Times New Roman" w:cs="Times New Roman"/>
          <w:i/>
          <w:iCs/>
          <w:kern w:val="0"/>
          <w14:ligatures w14:val="none"/>
        </w:rPr>
        <w:t>sistémica</w:t>
      </w:r>
      <w:r w:rsidRPr="009257E7">
        <w:rPr>
          <w:rFonts w:ascii="Times New Roman" w:eastAsia="Times New Roman" w:hAnsi="Times New Roman" w:cs="Times New Roman"/>
          <w:kern w:val="0"/>
          <w14:ligatures w14:val="none"/>
        </w:rPr>
        <w:t xml:space="preserve"> orientados a objetivos de tres niveles. Al trabajar con y mediante proyectos de abogacía, los equipos y los grupos organizados pueden construir coaliciones críticas basadas tanto en intereses como en principios para lograr el mayor impacto social posible. Por tanto, diseñar, construir y sostener un proyecto orientado a la justicia sistémica forma parte, en sí mismo, del trabajo de abogacía. </w:t>
      </w:r>
    </w:p>
    <w:p w14:paraId="1DA6462A" w14:textId="77777777" w:rsidR="004C3478" w:rsidRPr="009257E7" w:rsidRDefault="00CC6DC7" w:rsidP="004C3478">
      <w:pPr>
        <w:spacing w:after="0" w:line="240" w:lineRule="auto"/>
        <w:rPr>
          <w:rFonts w:ascii="Times New Roman" w:eastAsia="Times New Roman" w:hAnsi="Times New Roman" w:cs="Times New Roman"/>
          <w:b/>
          <w:bCs/>
          <w:kern w:val="0"/>
          <w:lang w:val="es-ES"/>
          <w14:ligatures w14:val="none"/>
        </w:rPr>
      </w:pPr>
      <w:r w:rsidRPr="009257E7">
        <w:rPr>
          <w:rFonts w:ascii="Times New Roman" w:eastAsia="Times New Roman" w:hAnsi="Times New Roman" w:cs="Times New Roman"/>
          <w:b/>
          <w:bCs/>
          <w:kern w:val="0"/>
          <w:lang w:val="es-ES"/>
          <w14:ligatures w14:val="none"/>
        </w:rPr>
        <w:t>7.3 Trazar el proceso y los componentes del desarrollo de proyectos</w:t>
      </w:r>
      <w:r w:rsidRPr="009257E7">
        <w:rPr>
          <w:rFonts w:ascii="Times New Roman" w:eastAsia="Times New Roman" w:hAnsi="Times New Roman" w:cs="Times New Roman"/>
          <w:b/>
          <w:bCs/>
          <w:kern w:val="0"/>
          <w:lang w:val="es-ES"/>
          <w14:ligatures w14:val="none"/>
        </w:rPr>
        <w:br/>
      </w:r>
    </w:p>
    <w:p w14:paraId="018D81E6" w14:textId="5A55852C" w:rsidR="004C3478" w:rsidRPr="009257E7" w:rsidRDefault="004C3478" w:rsidP="004C3478">
      <w:pPr>
        <w:spacing w:after="0" w:line="240" w:lineRule="auto"/>
        <w:ind w:firstLine="720"/>
        <w:rPr>
          <w:rFonts w:ascii="Times New Roman" w:eastAsia="Times New Roman" w:hAnsi="Times New Roman" w:cs="Times New Roman"/>
          <w:b/>
          <w:bCs/>
          <w:kern w:val="0"/>
          <w:lang w:val="es-ES"/>
          <w14:ligatures w14:val="none"/>
        </w:rPr>
      </w:pPr>
      <w:r w:rsidRPr="009257E7">
        <w:rPr>
          <w:rFonts w:ascii="Times New Roman" w:eastAsia="Times New Roman" w:hAnsi="Times New Roman" w:cs="Times New Roman"/>
          <w:kern w:val="0"/>
          <w14:ligatures w14:val="none"/>
        </w:rPr>
        <w:t>Diseñar un trabajo “soñado” como un proyecto de abogacía es un ejercicio práctico, porque las motivaciones y las decisiones que definen su proyecto pueden moldear las trayectorias que siga a lo largo de su carrera. De manera más inmediata, para muches estudiantes y graduades, el diseño de un proyecto de abogacía puede ser el punto de partida para preparar una solicitud competitiva de beca. Las oportunidades de becas cambian de un año a otro, pero entre las becas principales para la abogacía en favor de la justicia social se encuentran las que ofrecen organizaciones como Skadden Foundation, Equal Justice Works, Open Society Foundation, Echoing Green y otras vinculadas a universidades o financiadas por organizaciones. En todos estos casos, como señala Mia Sussman, de Equal Justice Works, el proceso es sumamente competitivo y requiere una preparación considerable</w:t>
      </w:r>
      <w:r w:rsidRPr="009257E7">
        <w:rPr>
          <w:rStyle w:val="FootnoteReference"/>
          <w:rFonts w:ascii="Times New Roman" w:eastAsia="Times New Roman" w:hAnsi="Times New Roman" w:cs="Times New Roman"/>
          <w:kern w:val="0"/>
          <w14:ligatures w14:val="none"/>
        </w:rPr>
        <w:footnoteReference w:id="255"/>
      </w:r>
      <w:r w:rsidRPr="009257E7">
        <w:rPr>
          <w:rFonts w:ascii="Times New Roman" w:eastAsia="Times New Roman" w:hAnsi="Times New Roman" w:cs="Times New Roman"/>
          <w:kern w:val="0"/>
          <w14:ligatures w14:val="none"/>
        </w:rPr>
        <w:t>. Susan Butler Plum, quien durante muchos años dirigió el programa de becas de Skadden Foundation, explica de manera concisa por qué estas becas son tan codiciadas por les nueves abogades comprometidos y por las organizaciones que les patrocinan: “Financiamos los trabajos soñados de las personas”</w:t>
      </w:r>
      <w:r w:rsidRPr="009257E7">
        <w:rPr>
          <w:rStyle w:val="FootnoteReference"/>
          <w:rFonts w:ascii="Times New Roman" w:eastAsia="Times New Roman" w:hAnsi="Times New Roman" w:cs="Times New Roman"/>
          <w:kern w:val="0"/>
          <w14:ligatures w14:val="none"/>
        </w:rPr>
        <w:footnoteReference w:id="256"/>
      </w:r>
      <w:r w:rsidRPr="009257E7">
        <w:rPr>
          <w:rFonts w:ascii="Times New Roman" w:eastAsia="Times New Roman" w:hAnsi="Times New Roman" w:cs="Times New Roman"/>
          <w:kern w:val="0"/>
          <w14:ligatures w14:val="none"/>
        </w:rPr>
        <w:t>. Los sueños, entonces, son un asunto serio para les abogades sistémiques, así como para sus clientes, organizaciones y financiadores.</w:t>
      </w:r>
    </w:p>
    <w:p w14:paraId="2CBD01E3" w14:textId="26C29F0F" w:rsidR="004C3478" w:rsidRPr="009257E7" w:rsidRDefault="004C3478" w:rsidP="004C3478">
      <w:pPr>
        <w:spacing w:before="100" w:beforeAutospacing="1" w:after="100" w:afterAutospacing="1" w:line="240" w:lineRule="auto"/>
        <w:ind w:firstLine="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 xml:space="preserve">Aunque cada solicitud de beca pide a les solicitantes que describan la “necesidad” jurídica o social que aborda la propuesta, esa descripción solo se formula al final de un proceso exigente de exploración de problemas sociales complejos y evaluación de respuestas de abogacía sistémica. Recuerde que la abogacía sistémica no es, por así decirlo, un martillo jurídico en busca de un clavo que represente una necesidad jurídica: no es un proceso reactivo que aplica de manera acrítica las herramientas jurídicas existentes a situaciones atomizadas y de forma aislada de otras herramientas para el cambio social. No debe esperar completar rápidamente un proceso de esta naturaleza. Prepárese para trabajar en él. Prepárese para reelaborarlo antes de considerarlo terminado. Y nunca olvide que les mejores solicitantes de becas —y les mejores abogades sistémiques— reflexionan críticamente sobre (1) el papel del derecho en la producción y el mantenimiento de la injusticia sistémica; (2) su papel en la mitigación de los efectos a corto </w:t>
      </w:r>
      <w:r w:rsidRPr="009257E7">
        <w:rPr>
          <w:rFonts w:ascii="Times New Roman" w:eastAsia="Times New Roman" w:hAnsi="Times New Roman" w:cs="Times New Roman"/>
          <w:kern w:val="0"/>
          <w14:ligatures w14:val="none"/>
        </w:rPr>
        <w:lastRenderedPageBreak/>
        <w:t>plazo o atomizados de problemas sociales persistentes; y (3) su posible papel en la transformación del sistema jurídico y de sus resultados sistémicos a largo plazo.</w:t>
      </w:r>
    </w:p>
    <w:p w14:paraId="69FE372F" w14:textId="0E2A0845" w:rsidR="004C3478" w:rsidRPr="009257E7" w:rsidRDefault="004C3478" w:rsidP="004C3478">
      <w:pPr>
        <w:spacing w:before="100" w:beforeAutospacing="1" w:after="100" w:afterAutospacing="1" w:line="240" w:lineRule="auto"/>
        <w:ind w:firstLine="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J.J. Rosenbaum, exbecaria de Skadden, ha orientado, apoyado y patrocinado a muches solicitantes de los principales programas de becas. Desarrolló iniciativas innovadoras de abogacía tanto como directora jurídica fundadora del New Orleans Workers’ Center for Racial Justice como en su función de directora de Global Labor Justice. Rosenbaum vincula el proceso de reflexión crítica y autocrítica necesario para preparar una solicitud de beca con el trabajo de enfrentar el Desafío Crítico en la práctica: “Lleva a las personas hasta los puntos más difíciles en los que necesitamos un cambio estructural. [...] Alienta a les becaries a plantear desafíos que transformen el sistema”</w:t>
      </w:r>
      <w:r w:rsidR="006A14FD" w:rsidRPr="009257E7">
        <w:rPr>
          <w:rStyle w:val="FootnoteReference"/>
          <w:rFonts w:ascii="Times New Roman" w:eastAsia="Times New Roman" w:hAnsi="Times New Roman" w:cs="Times New Roman"/>
          <w:kern w:val="0"/>
          <w14:ligatures w14:val="none"/>
        </w:rPr>
        <w:footnoteReference w:id="257"/>
      </w:r>
      <w:r w:rsidRPr="009257E7">
        <w:rPr>
          <w:rFonts w:ascii="Times New Roman" w:eastAsia="Times New Roman" w:hAnsi="Times New Roman" w:cs="Times New Roman"/>
          <w:kern w:val="0"/>
          <w14:ligatures w14:val="none"/>
        </w:rPr>
        <w:t>.[3] En otras palabras, el proceso de solicitud plantea cómo tu trabajo contribuirá al progreso hacia la justicia igualitaria</w:t>
      </w:r>
      <w:r w:rsidR="006A14FD" w:rsidRPr="009257E7">
        <w:rPr>
          <w:rFonts w:ascii="Times New Roman" w:eastAsia="Times New Roman" w:hAnsi="Times New Roman" w:cs="Times New Roman"/>
          <w:kern w:val="0"/>
          <w14:ligatures w14:val="none"/>
        </w:rPr>
        <w:t>,</w:t>
      </w:r>
      <w:r w:rsidRPr="009257E7">
        <w:rPr>
          <w:rFonts w:ascii="Times New Roman" w:eastAsia="Times New Roman" w:hAnsi="Times New Roman" w:cs="Times New Roman"/>
          <w:kern w:val="0"/>
          <w14:ligatures w14:val="none"/>
        </w:rPr>
        <w:t xml:space="preserve"> tanto en términos micro como macro, así como en </w:t>
      </w:r>
      <w:r w:rsidR="006A14FD" w:rsidRPr="009257E7">
        <w:rPr>
          <w:rFonts w:ascii="Times New Roman" w:eastAsia="Times New Roman" w:hAnsi="Times New Roman" w:cs="Times New Roman"/>
          <w:kern w:val="0"/>
          <w14:ligatures w14:val="none"/>
        </w:rPr>
        <w:t>los ámbit</w:t>
      </w:r>
      <w:r w:rsidRPr="009257E7">
        <w:rPr>
          <w:rFonts w:ascii="Times New Roman" w:eastAsia="Times New Roman" w:hAnsi="Times New Roman" w:cs="Times New Roman"/>
          <w:kern w:val="0"/>
          <w14:ligatures w14:val="none"/>
        </w:rPr>
        <w:t>os materiales, jurídicos y culturales.</w:t>
      </w:r>
    </w:p>
    <w:p w14:paraId="5897E39F" w14:textId="09406309" w:rsidR="004C3478" w:rsidRPr="009257E7" w:rsidRDefault="004C3478" w:rsidP="004C3478">
      <w:pPr>
        <w:spacing w:before="100" w:beforeAutospacing="1" w:after="100" w:afterAutospacing="1" w:line="240" w:lineRule="auto"/>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 xml:space="preserve">La abogacía sistémica del tipo que describe Rosenbaum incluye la abogacía basada en el derecho que busca un impacto “grande” —por ejemplo, mediante acciones de clase en lugar de casos individuales— y actividades “novedosas” —como trabajar de manera tradicional con comunidades nuevas—, pero no se limita a ellas. Ese trabajo es necesario, pero </w:t>
      </w:r>
      <w:r w:rsidR="006A14FD" w:rsidRPr="009257E7">
        <w:rPr>
          <w:rFonts w:ascii="Times New Roman" w:eastAsia="Times New Roman" w:hAnsi="Times New Roman" w:cs="Times New Roman"/>
          <w:kern w:val="0"/>
          <w14:ligatures w14:val="none"/>
        </w:rPr>
        <w:t>se mantien</w:t>
      </w:r>
      <w:r w:rsidRPr="009257E7">
        <w:rPr>
          <w:rFonts w:ascii="Times New Roman" w:eastAsia="Times New Roman" w:hAnsi="Times New Roman" w:cs="Times New Roman"/>
          <w:kern w:val="0"/>
          <w14:ligatures w14:val="none"/>
        </w:rPr>
        <w:t>e dentro de los límites del sistema y, por tanto, tiene como objetivo</w:t>
      </w:r>
      <w:r w:rsidR="006A14FD" w:rsidRPr="009257E7">
        <w:rPr>
          <w:rFonts w:ascii="Times New Roman" w:eastAsia="Times New Roman" w:hAnsi="Times New Roman" w:cs="Times New Roman"/>
          <w:kern w:val="0"/>
          <w14:ligatures w14:val="none"/>
        </w:rPr>
        <w:t xml:space="preserve"> principal</w:t>
      </w:r>
      <w:r w:rsidRPr="009257E7">
        <w:rPr>
          <w:rFonts w:ascii="Times New Roman" w:eastAsia="Times New Roman" w:hAnsi="Times New Roman" w:cs="Times New Roman"/>
          <w:kern w:val="0"/>
          <w14:ligatures w14:val="none"/>
        </w:rPr>
        <w:t xml:space="preserve"> la mejora. La abogacía sistémica busca un impacto transformador que cambie el sistema y sea profundo y real en la vida de las personas, especialmente de quienes se encuentran en</w:t>
      </w:r>
      <w:r w:rsidR="006A14FD" w:rsidRPr="009257E7">
        <w:rPr>
          <w:rFonts w:ascii="Times New Roman" w:eastAsia="Times New Roman" w:hAnsi="Times New Roman" w:cs="Times New Roman"/>
          <w:kern w:val="0"/>
          <w14:ligatures w14:val="none"/>
        </w:rPr>
        <w:t xml:space="preserve"> la base de</w:t>
      </w:r>
      <w:r w:rsidRPr="009257E7">
        <w:rPr>
          <w:rFonts w:ascii="Times New Roman" w:eastAsia="Times New Roman" w:hAnsi="Times New Roman" w:cs="Times New Roman"/>
          <w:kern w:val="0"/>
          <w14:ligatures w14:val="none"/>
        </w:rPr>
        <w:t xml:space="preserve"> un contexto determinado.</w:t>
      </w:r>
    </w:p>
    <w:p w14:paraId="2161575D" w14:textId="02A2518B" w:rsidR="006A14FD" w:rsidRPr="009257E7" w:rsidRDefault="006A14FD" w:rsidP="006A14FD">
      <w:pPr>
        <w:pStyle w:val="NormalWeb"/>
        <w:ind w:firstLine="720"/>
      </w:pPr>
      <w:r w:rsidRPr="009257E7">
        <w:t xml:space="preserve">La plantilla para proyectos de abogacía que se presenta a continuación está diseñada para ayudarle a dar pasos concretos hacia la aplicación de este conocimiento. Es importante señalar que se basa en las solicitudes utilizadas por las entidades financiadoras y las organizaciones anfitrionas, aunque las adapta. Es posible que estas solicitudes no exijan explícitamente una abogacía que sea a la vez orientada a la mejora y transformadora, ni que soliciten directamente propuestas que incorporen la colaboración con comunidades organizadas de clientes y con otros actores. Sin embargo, el trabajo respaldado por estas becas debe demostrar ambas cosas: un profesionalismo colaborativo que se nutra del conocimiento desde abajo y rinda cuentas ante quienes están abajo, y una abogacía sistémica orientada a lograr un progreso medible hacia la justicia igualitaria. El trabajo que realice al completar esta plantilla es fundamental por dos razones: le familiariza con el proceso utilizado por entidades financiadoras y empleadores, y le capacita para recopilar y analizar la información que se espera que encuentre y utilice. Vale la pena dedicar tiempo y esfuerzo, desde ahora, a comprender e iniciar el proceso de diseño de un proyecto de abogacía. </w:t>
      </w:r>
    </w:p>
    <w:p w14:paraId="2E61495A" w14:textId="77777777" w:rsidR="006A14FD" w:rsidRPr="009257E7" w:rsidRDefault="006A14FD" w:rsidP="006A14FD">
      <w:pPr>
        <w:pStyle w:val="NormalWeb"/>
        <w:rPr>
          <w:b/>
          <w:bCs/>
        </w:rPr>
      </w:pPr>
      <w:r w:rsidRPr="009257E7">
        <w:rPr>
          <w:b/>
          <w:bCs/>
        </w:rPr>
        <w:t>A. Diseña un proyecto de abogacía a partir de reflexiones críticas y autocríticas</w:t>
      </w:r>
    </w:p>
    <w:p w14:paraId="6547CEDF" w14:textId="6ECE0101" w:rsidR="006A14FD" w:rsidRPr="009257E7" w:rsidRDefault="006A14FD" w:rsidP="006A14FD">
      <w:pPr>
        <w:pStyle w:val="NormalWeb"/>
        <w:numPr>
          <w:ilvl w:val="0"/>
          <w:numId w:val="14"/>
        </w:numPr>
      </w:pPr>
      <w:r w:rsidRPr="009257E7">
        <w:rPr>
          <w:rStyle w:val="Emphasis"/>
        </w:rPr>
        <w:t>Solo como punto de partida, reflexione sobre su trasfondo y su experiencia individuales y sobre cómo podrían aportar información para un posible proyecto; considere, si resulta útil, una breve narrativa analítica:</w:t>
      </w:r>
    </w:p>
    <w:p w14:paraId="0ED81E4D" w14:textId="372D6660" w:rsidR="006A14FD" w:rsidRPr="009257E7" w:rsidRDefault="006A14FD" w:rsidP="006A14FD">
      <w:pPr>
        <w:pStyle w:val="NormalWeb"/>
        <w:ind w:firstLine="360"/>
      </w:pPr>
      <w:r w:rsidRPr="009257E7">
        <w:lastRenderedPageBreak/>
        <w:t xml:space="preserve">Para comenzar, complete una lluvia de ideas y prepare una lista de problemas sociales posibles o áreas temáticas, comunidades o grupos, actividades y lugares que puedan interesarle. Reflexione críticamente sobre sus experiencias, intereses, destrezas, identidades, conexiones, obstáculos y aspiraciones. Reflexione de manera autocrítica sobre dónde ha adquirido —o podría adquirir— conocimientos iniciales y sobre si esos conocimientos se nutren, y de qué manera, de las perspectivas de quienes se ven directamente afectados por los problemas que contempla abordar. Comience a definir los intereses que le impulsan, sus preocupaciones, las áreas que despiertan su curiosidad y sus compromisos, así como sus temores, dudas, lagunas de conocimiento y necesidades. Esta reflexión inicial —realizada antes de los pasos de investigación que se describen a continuación— le ayudará a encontrar un punto de partida en este proceso. </w:t>
      </w:r>
    </w:p>
    <w:p w14:paraId="140F28EC" w14:textId="21593DE0" w:rsidR="006A14FD" w:rsidRPr="009257E7" w:rsidRDefault="006A14FD" w:rsidP="006A14FD">
      <w:pPr>
        <w:pStyle w:val="NormalWeb"/>
        <w:numPr>
          <w:ilvl w:val="0"/>
          <w:numId w:val="14"/>
        </w:numPr>
      </w:pPr>
      <w:r w:rsidRPr="009257E7">
        <w:rPr>
          <w:rStyle w:val="Emphasis"/>
        </w:rPr>
        <w:t>Enmarque y describa un problema sistémico relacionado con su trasfondo o experiencia:</w:t>
      </w:r>
    </w:p>
    <w:p w14:paraId="24A19B03" w14:textId="39F06736" w:rsidR="006A14FD" w:rsidRPr="009257E7" w:rsidRDefault="006A14FD" w:rsidP="006A14FD">
      <w:pPr>
        <w:pStyle w:val="NormalWeb"/>
        <w:ind w:firstLine="360"/>
      </w:pPr>
      <w:r w:rsidRPr="009257E7">
        <w:t xml:space="preserve">Todes les abogades deben desaprender y reaprender para participar eficazmente en la solución de problemas sistémicos. Esto incluye desaprender la idea de que las “necesidades jurídicas” son como piedritas: obstáculos pequeños, individuales y de origen aparentemente natural que una persona encuentra, recoge y aparta y, </w:t>
      </w:r>
      <w:r w:rsidRPr="009257E7">
        <w:rPr>
          <w:rStyle w:val="Emphasis"/>
        </w:rPr>
        <w:t>voilà</w:t>
      </w:r>
      <w:r w:rsidRPr="009257E7">
        <w:t xml:space="preserve">, el camino queda despejado. Las necesidades jurídicas se parecen más a una pila de rocas acumulada al pie de una colina después de un deslizamiento: piezas individuales que formaban parte de un conjunto, afectadas por una falla estructural masiva que hizo que todo se precipitara cuesta abajo y provocara devastación. Aunque les abogades quizá tengan que definir acciones o servicios jurídicos específicos para “recoger” las piedras que ya llegaron al fondo, este trabajo orientado a la mejora se enmarca de manera deliberada y reflexiva para abordar las fuerzas estructurales subyacentes: detener el próximo deslizamiento de rocas modificando la configuración de identidades, grupos, intereses y poder que genera estos patrones recurrentes. Construir un proyecto de abogacía implica definir en qué pila de rocas se concentrará y cómo las “recogerás”, así como determinar de qué manera trabajará para reducir o modificar también las dinámicas de la falla estructural masiva. </w:t>
      </w:r>
    </w:p>
    <w:p w14:paraId="66C47B2F" w14:textId="2B2E037A" w:rsidR="006A14FD" w:rsidRPr="009257E7" w:rsidRDefault="006A14FD" w:rsidP="006A14FD">
      <w:pPr>
        <w:pStyle w:val="NormalWeb"/>
        <w:ind w:firstLine="360"/>
      </w:pPr>
      <w:r w:rsidRPr="009257E7">
        <w:t>A continuación se presentan algunos ejemplos de cómo se enmarca y se describe un problema sistémico. Comenzamos con la solicitud de beca de Equal Justice Works:</w:t>
      </w:r>
    </w:p>
    <w:p w14:paraId="1AB6A3A7" w14:textId="48C71A6F" w:rsidR="006A14FD" w:rsidRPr="009257E7" w:rsidRDefault="006A14FD" w:rsidP="006A14FD">
      <w:pPr>
        <w:pStyle w:val="NormalWeb"/>
        <w:ind w:left="360"/>
      </w:pPr>
      <w:r w:rsidRPr="009257E7">
        <w:t xml:space="preserve">[S]e involucrará directamente con los asuntos y las comunidades que más le importan. </w:t>
      </w:r>
      <w:r w:rsidRPr="009257E7">
        <w:rPr>
          <w:rStyle w:val="Emphasis"/>
        </w:rPr>
        <w:t>¿Dónde le gustaría trabajar? ¿Qué le gustaría lograr y para quién?</w:t>
      </w:r>
      <w:r w:rsidRPr="009257E7">
        <w:t xml:space="preserve"> Con preguntas como estas en mente, puede adaptar su proyecto a sus intereses, pasiones y objetivos personales y profesionales. [...]</w:t>
      </w:r>
    </w:p>
    <w:p w14:paraId="6BB0EE85" w14:textId="53A2B753" w:rsidR="006A14FD" w:rsidRPr="009257E7" w:rsidRDefault="006A14FD" w:rsidP="006A14FD">
      <w:pPr>
        <w:pStyle w:val="NormalWeb"/>
        <w:ind w:left="360"/>
      </w:pPr>
      <w:r w:rsidRPr="009257E7">
        <w:t>El proyecto debe servir a personas, grupos o causas marginadas que no estén debidamente representados en nuestro sistema jurídico. Los proyectos pueden incluir representación directa, educación jurídica, capacitación jurídica, organización comunitaria, trabajo transaccional, trabajo en políticas públicas, litigios, representación administrativa o una combinación de estas estrategias.</w:t>
      </w:r>
    </w:p>
    <w:p w14:paraId="7DBB4EA3" w14:textId="47C567F8" w:rsidR="006A14FD" w:rsidRPr="009257E7" w:rsidRDefault="006A14FD" w:rsidP="006A14FD">
      <w:pPr>
        <w:pStyle w:val="NormalWeb"/>
        <w:ind w:left="360"/>
      </w:pPr>
      <w:r w:rsidRPr="009257E7">
        <w:t xml:space="preserve">Describa la necesidad y la comunidad a las que atenderá su proyecto. Un área geográfica, una población determinada o una causa pueden considerarse “necesitadas” en función del número de personas afectadas, del tamaño y la naturaleza del área geográfica, de la escasez de </w:t>
      </w:r>
      <w:r w:rsidRPr="009257E7">
        <w:lastRenderedPageBreak/>
        <w:t xml:space="preserve">asistencia jurídica disponible para esa población y de la urgencia o del impacto potencial del asunto. La clave consiste en presentar una imagen clara del problema concreto dentro de la comunidad específica a la que desea servir. Por ejemplo, las estadísticas generales que muestran que la desatención de jóvenes en hogares de acogida constituye un problema nacional pueden resultar convincentes, pero quizá no sean suficientes para demostrar los méritos de un proyecto de abogacía para jóvenes ubicado específicamente en San Francisco. Una propuesta más sólida describiría la crisis concreta que enfrentan les jóvenes en hogares de acogida de San Francisco, utilizaría datos para respaldar esa afirmación e incorporaría historias de clientes para humanizar el impacto potencial. </w:t>
      </w:r>
    </w:p>
    <w:p w14:paraId="15C4B9D4" w14:textId="77777777" w:rsidR="006A14FD" w:rsidRPr="009257E7" w:rsidRDefault="006A14FD" w:rsidP="00796D0D">
      <w:pPr>
        <w:pStyle w:val="NormalWeb"/>
        <w:ind w:firstLine="360"/>
      </w:pPr>
      <w:r w:rsidRPr="009257E7">
        <w:t>De la solicitud de la Beca de Abogacía de Soros Justice Fellowships de 2019, centrada en la reforma de la justicia penal:</w:t>
      </w:r>
    </w:p>
    <w:p w14:paraId="3719C22C" w14:textId="7F140BBA" w:rsidR="006A14FD" w:rsidRPr="009257E7" w:rsidRDefault="006A14FD" w:rsidP="00796D0D">
      <w:pPr>
        <w:pStyle w:val="NormalWeb"/>
        <w:ind w:left="360"/>
      </w:pPr>
      <w:r w:rsidRPr="009257E7">
        <w:rPr>
          <w:rStyle w:val="Emphasis"/>
        </w:rPr>
        <w:t>(Explicación del proyecto):</w:t>
      </w:r>
      <w:r w:rsidRPr="009257E7">
        <w:t xml:space="preserve"> Proporcion</w:t>
      </w:r>
      <w:r w:rsidR="00796D0D" w:rsidRPr="009257E7">
        <w:t>e</w:t>
      </w:r>
      <w:r w:rsidRPr="009257E7">
        <w:t xml:space="preserve"> una explicación clara, detallada y enfocada del proyecto, que incluya el cambio que espera lograr mediante </w:t>
      </w:r>
      <w:r w:rsidR="00796D0D" w:rsidRPr="009257E7">
        <w:t>s</w:t>
      </w:r>
      <w:r w:rsidRPr="009257E7">
        <w:t>u trabajo, la necesidad del proyecto —cuando corresponda, debe utilizar estadísticas, historias u otros tipos de información para explicar esa necesidad—, una descripción de las personas o comunidades afectadas por el problema que el proyecto busca abordar y una explicación de lo que propone hacer.</w:t>
      </w:r>
    </w:p>
    <w:p w14:paraId="723AE8C0" w14:textId="47D3D1AC" w:rsidR="006A14FD" w:rsidRPr="009257E7" w:rsidRDefault="006A14FD" w:rsidP="00796D0D">
      <w:pPr>
        <w:pStyle w:val="NormalWeb"/>
        <w:ind w:left="360"/>
      </w:pPr>
      <w:r w:rsidRPr="009257E7">
        <w:t xml:space="preserve">Consideraremos proyectos que se concentren en uno o más de nuestros objetivos generales de reforma de la justicia penal. [...] Sin embargo, no contamos con una lista definida de temas o asuntos que consideraremos. En cambio, esperamos que les solicitantes demuestren por sí mismos que sus proyectos tienen el potencial de aportar algo valioso a un asunto concreto o </w:t>
      </w:r>
      <w:r w:rsidR="00796D0D" w:rsidRPr="009257E7">
        <w:t>a</w:t>
      </w:r>
      <w:r w:rsidRPr="009257E7">
        <w:t xml:space="preserve"> un lugar determinado. De esta manera, las becas están diseñadas para ser flexibles y abiertas: un espacio para proyectos que aprovechen eficazmente el trabajo realizado anteriormente, exploren formas nuevas y creativas de hacer las cosas, asuman riesgos, aporten conocimientos y perspectivas nuevas sobre aquello que creíamos conocer y nos enseñen sobre aquello que desconocemos, pero deberíamos conocer. </w:t>
      </w:r>
    </w:p>
    <w:p w14:paraId="58FFF4A0" w14:textId="77777777" w:rsidR="006A14FD" w:rsidRPr="009257E7" w:rsidRDefault="006A14FD" w:rsidP="00796D0D">
      <w:pPr>
        <w:pStyle w:val="NormalWeb"/>
        <w:ind w:left="360"/>
      </w:pPr>
      <w:r w:rsidRPr="009257E7">
        <w:t>Consideramos que las becas pueden ser una plataforma útil para apoyar a personas cuyo trabajo experimenta y traspasa límites, cuestiona convenciones, desarrolla maneras novedosas de abordar problemas profundamente arraigados y difíciles de resolver, anticipa asuntos emergentes o aprovecha oportunidades concretas de manera creativa; y que, si este trabajo se realiza bien, las personas apoyadas mediante las becas pueden, con el paso del tiempo y junto con otras, ejercer cierta influencia sobre el campo más amplio de la reforma de la justicia penal.</w:t>
      </w:r>
    </w:p>
    <w:p w14:paraId="6E588719" w14:textId="77777777" w:rsidR="006A14FD" w:rsidRPr="009257E7" w:rsidRDefault="006A14FD" w:rsidP="00796D0D">
      <w:pPr>
        <w:pStyle w:val="NormalWeb"/>
        <w:ind w:left="360"/>
      </w:pPr>
      <w:r w:rsidRPr="009257E7">
        <w:t>Les solicitantes pueden utilizar, de manera individual o combinada, cualquier cantidad de estrategias para alcanzar las metas y los objetivos establecidos en sus proyectos. Estas estrategias incluyen, entre otras: litigio de impacto, educación pública, comunicaciones estratégicas, abogacía en políticas públicas, construcción de coaliciones, organización y movilización de base, e investigación y análisis orientados a las políticas públicas.</w:t>
      </w:r>
    </w:p>
    <w:p w14:paraId="5543B647" w14:textId="0CDB86C7" w:rsidR="006A14FD" w:rsidRPr="009257E7" w:rsidRDefault="006A14FD" w:rsidP="00796D0D">
      <w:pPr>
        <w:pStyle w:val="NormalWeb"/>
        <w:ind w:left="360"/>
      </w:pPr>
      <w:r w:rsidRPr="009257E7">
        <w:t xml:space="preserve">Independientemente de la estrategia utilizada, todos los proyectos de la Beca de Abogacía deben procurar activamente, durante el propio período de la beca, algún grado de reforma. </w:t>
      </w:r>
      <w:r w:rsidRPr="009257E7">
        <w:lastRenderedPageBreak/>
        <w:t xml:space="preserve">Por lo general, definimos la “reforma” como un cambio en una política o práctica, </w:t>
      </w:r>
      <w:r w:rsidR="00796D0D" w:rsidRPr="009257E7">
        <w:t>ya sea</w:t>
      </w:r>
      <w:r w:rsidRPr="009257E7">
        <w:t xml:space="preserve"> o no formalizado mediante una ley, que produzca un efecto concreto sobre personas, familias o comunidades. La reforma puede promover o crear políticas o prácticas beneficiosas, así como modificar o reducir los efectos perjudiciales de las que resultan dañinas. Además, la reforma debe implicar algo más que obtener un resultado específico para una persona específica; en cambio, grupos de personas definidos por determinadas características o circunstancias deben beneficiarse de la consecución de un cambio concreto. </w:t>
      </w:r>
    </w:p>
    <w:p w14:paraId="375E861C" w14:textId="77777777" w:rsidR="00796D0D" w:rsidRPr="009257E7" w:rsidRDefault="00796D0D" w:rsidP="00796D0D">
      <w:pPr>
        <w:pStyle w:val="NormalWeb"/>
        <w:ind w:left="360"/>
      </w:pPr>
      <w:r w:rsidRPr="009257E7">
        <w:t>Reconocemos que los asuntos relacionados con la reforma de la justicia penal son excepcionalmente complejos e implican una variedad de dinámicas sociales, económicas, políticas e históricas interrelacionadas. Por ello, alentamos solicitudes que demuestren una comprensión clara de la intersección entre los asuntos de justicia penal y las necesidades particulares de las comunidades de bajos ingresos; las comunidades de color; las personas inmigrantes; las personas LGBTQ; las mujeres y les niñes; y otras personas afectadas de manera desproporcionada por políticas de justicia penal severas o injustas.</w:t>
      </w:r>
    </w:p>
    <w:p w14:paraId="404BB537" w14:textId="614844ED" w:rsidR="00796D0D" w:rsidRPr="009257E7" w:rsidRDefault="00796D0D" w:rsidP="00796D0D">
      <w:pPr>
        <w:pStyle w:val="NormalWeb"/>
        <w:ind w:firstLine="360"/>
      </w:pPr>
      <w:r w:rsidRPr="009257E7">
        <w:t>Como muestran estos ejemplos, los diseños de proyectos exitosos se estructuran en torno a la solución de problemas jurídicos sobre los que ya posee algún conocimiento o experiencia que puede servir de base para desarrollar el proyecto.</w:t>
      </w:r>
    </w:p>
    <w:p w14:paraId="3373DF0A" w14:textId="169A787E" w:rsidR="00796D0D" w:rsidRPr="009257E7" w:rsidRDefault="00796D0D" w:rsidP="00796D0D">
      <w:pPr>
        <w:pStyle w:val="NormalWeb"/>
        <w:numPr>
          <w:ilvl w:val="0"/>
          <w:numId w:val="14"/>
        </w:numPr>
      </w:pPr>
      <w:r w:rsidRPr="009257E7">
        <w:rPr>
          <w:rStyle w:val="Emphasis"/>
        </w:rPr>
        <w:t>Relaciona, en términos concretos, su trasfondo, experiencia y conocimiento del contexto —los problemas, los lugares, las historias y las comunidades— del proyecto de abogacía; si resulta útil, parte de su narrativa analítica:</w:t>
      </w:r>
    </w:p>
    <w:p w14:paraId="7F405739" w14:textId="4B8386BC" w:rsidR="00796D0D" w:rsidRPr="009257E7" w:rsidRDefault="00796D0D" w:rsidP="00796D0D">
      <w:pPr>
        <w:pStyle w:val="NormalWeb"/>
        <w:ind w:firstLine="360"/>
      </w:pPr>
      <w:r w:rsidRPr="009257E7">
        <w:t>La mayoría de las solicitudes de becas requieren que reflexione y explique de qué manera el proyecto propuesto y la comunidad afectada se relacionan con su trasfondo y sus experiencias individuales. Considere este fragmento de la solicitud de beca de Equal Justice Works:</w:t>
      </w:r>
    </w:p>
    <w:p w14:paraId="625F28AE" w14:textId="744DEE41" w:rsidR="00796D0D" w:rsidRPr="009257E7" w:rsidRDefault="00796D0D" w:rsidP="00796D0D">
      <w:pPr>
        <w:pStyle w:val="NormalWeb"/>
        <w:ind w:left="360"/>
      </w:pPr>
      <w:r w:rsidRPr="009257E7">
        <w:t xml:space="preserve">Al desarrollar esta sección, debe demostrar cómo ha adquirido la experiencia que le convierte en la persona adecuada para llevar a cabo el proyecto que propone. ¿Posee el conocimiento sustantivo necesario para alcanzar los objetivos del proyecto o puede explicar cómo lo adquirirá? ¿Tiene experiencia con la comunidad a la que se dirige el proyecto, ya sea por haber trabajado en el tema específico o dentro de la comunidad geográfica o cultural? ¿Tiene una relación personal con la comunidad a la que prestará servicios? Equal Justice Works también busca candidates que hayan demostrado un compromiso con el servicio público —ya sea antes, durante o después de la facultad de derecho— o una explicación de los factores que les impidieron participar en actividades de servicio público (por ejemplo, tener que mantener a una familia durante sus estudios), así como alguna indicación de que actualmente mantienen un compromiso a largo plazo con el interés público. </w:t>
      </w:r>
    </w:p>
    <w:p w14:paraId="77A88887" w14:textId="77777777" w:rsidR="00796D0D" w:rsidRPr="009257E7" w:rsidRDefault="00796D0D" w:rsidP="00796D0D">
      <w:pPr>
        <w:pStyle w:val="NormalWeb"/>
      </w:pPr>
      <w:r w:rsidRPr="009257E7">
        <w:t>Y de la solicitud de la Beca de Abogacía de Soros Justice Fellowships de 2019:</w:t>
      </w:r>
    </w:p>
    <w:p w14:paraId="178AA3C6" w14:textId="7ED8674C" w:rsidR="00796D0D" w:rsidRPr="009257E7" w:rsidRDefault="00796D0D" w:rsidP="00816AA0">
      <w:pPr>
        <w:pStyle w:val="NormalWeb"/>
        <w:ind w:left="720"/>
      </w:pPr>
      <w:r w:rsidRPr="009257E7">
        <w:rPr>
          <w:rStyle w:val="Emphasis"/>
        </w:rPr>
        <w:t>(Experiencias personales, destrezas y atributos)</w:t>
      </w:r>
      <w:r w:rsidRPr="009257E7">
        <w:rPr>
          <w:rStyle w:val="Emphasis"/>
          <w:i w:val="0"/>
          <w:iCs w:val="0"/>
        </w:rPr>
        <w:t xml:space="preserve">: </w:t>
      </w:r>
      <w:r w:rsidRPr="009257E7">
        <w:t xml:space="preserve">Explique cómo, a partir de sus experiencias —personales, profesionales, académicas, etc.—, sus destrezas y sus atributos, es la persona adecuada para llevar a cabo este proyecto particular, así como la </w:t>
      </w:r>
      <w:r w:rsidRPr="009257E7">
        <w:lastRenderedPageBreak/>
        <w:t>manera en que considera que este proyecto de beca encaja dentro de su trayectoria personal o profesional o de sus planes futuros.</w:t>
      </w:r>
    </w:p>
    <w:p w14:paraId="3CB998A7" w14:textId="095E1E11" w:rsidR="00796D0D" w:rsidRPr="009257E7" w:rsidRDefault="00796D0D" w:rsidP="00796D0D">
      <w:pPr>
        <w:pStyle w:val="NormalWeb"/>
        <w:ind w:firstLine="720"/>
      </w:pPr>
      <w:r w:rsidRPr="009257E7">
        <w:t xml:space="preserve">Esta sección de la plantilla se basa en </w:t>
      </w:r>
      <w:r w:rsidR="00816AA0" w:rsidRPr="009257E7">
        <w:t>s</w:t>
      </w:r>
      <w:r w:rsidRPr="009257E7">
        <w:t xml:space="preserve">us reflexiones </w:t>
      </w:r>
      <w:r w:rsidR="00816AA0" w:rsidRPr="009257E7">
        <w:t>previa</w:t>
      </w:r>
      <w:r w:rsidRPr="009257E7">
        <w:t xml:space="preserve">s sobre </w:t>
      </w:r>
      <w:r w:rsidR="00816AA0" w:rsidRPr="009257E7">
        <w:t>s</w:t>
      </w:r>
      <w:r w:rsidRPr="009257E7">
        <w:t>us conocimientos, intereses y compromisos, así como en la investigación realizada posteriormente. Reflexion</w:t>
      </w:r>
      <w:r w:rsidR="00816AA0" w:rsidRPr="009257E7">
        <w:t>e</w:t>
      </w:r>
      <w:r w:rsidRPr="009257E7">
        <w:t xml:space="preserve"> sobre las maneras en que </w:t>
      </w:r>
      <w:r w:rsidR="00816AA0" w:rsidRPr="009257E7">
        <w:t>s</w:t>
      </w:r>
      <w:r w:rsidRPr="009257E7">
        <w:t xml:space="preserve">us experiencias personales o profesionales </w:t>
      </w:r>
      <w:r w:rsidR="00816AA0" w:rsidRPr="009257E7">
        <w:t>l</w:t>
      </w:r>
      <w:r w:rsidRPr="009257E7">
        <w:t xml:space="preserve">e hacen especialmente apto para servir a la comunidad identificada y </w:t>
      </w:r>
      <w:r w:rsidR="00816AA0" w:rsidRPr="009257E7">
        <w:t xml:space="preserve">para </w:t>
      </w:r>
      <w:r w:rsidRPr="009257E7">
        <w:t>llevar a cabo el proyecto. Consider</w:t>
      </w:r>
      <w:r w:rsidR="00816AA0" w:rsidRPr="009257E7">
        <w:t>e</w:t>
      </w:r>
      <w:r w:rsidRPr="009257E7">
        <w:t xml:space="preserve"> si ya posee el conocimiento sustantivo y la experiencia práctica necesarios para alcanzar los objetivos del proyecto y formar el equipo. Si no los posee, ¿cómo podría adquirirlos? Este esfuerzo puede requerir cierta investigación preliminar y, quizá, la búsqueda de experiencias nuevas. </w:t>
      </w:r>
    </w:p>
    <w:p w14:paraId="37222193" w14:textId="70C3559F" w:rsidR="00796D0D" w:rsidRPr="009257E7" w:rsidRDefault="00796D0D" w:rsidP="00796D0D">
      <w:pPr>
        <w:pStyle w:val="NormalWeb"/>
        <w:rPr>
          <w:b/>
          <w:bCs/>
        </w:rPr>
      </w:pPr>
      <w:r w:rsidRPr="009257E7">
        <w:rPr>
          <w:b/>
          <w:bCs/>
        </w:rPr>
        <w:t>B. Aborda</w:t>
      </w:r>
      <w:r w:rsidR="00816AA0" w:rsidRPr="009257E7">
        <w:rPr>
          <w:b/>
          <w:bCs/>
        </w:rPr>
        <w:t>r</w:t>
      </w:r>
      <w:r w:rsidRPr="009257E7">
        <w:rPr>
          <w:b/>
          <w:bCs/>
        </w:rPr>
        <w:t xml:space="preserve"> el problema social sistémico </w:t>
      </w:r>
      <w:r w:rsidR="00816AA0" w:rsidRPr="009257E7">
        <w:rPr>
          <w:b/>
          <w:bCs/>
        </w:rPr>
        <w:t xml:space="preserve">al </w:t>
      </w:r>
      <w:r w:rsidRPr="009257E7">
        <w:rPr>
          <w:b/>
          <w:bCs/>
        </w:rPr>
        <w:t>utiliza</w:t>
      </w:r>
      <w:r w:rsidR="00816AA0" w:rsidRPr="009257E7">
        <w:rPr>
          <w:b/>
          <w:bCs/>
        </w:rPr>
        <w:t>r</w:t>
      </w:r>
      <w:r w:rsidRPr="009257E7">
        <w:rPr>
          <w:b/>
          <w:bCs/>
        </w:rPr>
        <w:t xml:space="preserve"> un enfoque crítico y los objetivos de tres niveles de la abogacía sistémica</w:t>
      </w:r>
    </w:p>
    <w:p w14:paraId="336ED540" w14:textId="219D6434" w:rsidR="00796D0D" w:rsidRPr="009257E7" w:rsidRDefault="00796D0D" w:rsidP="00816AA0">
      <w:pPr>
        <w:pStyle w:val="NormalWeb"/>
        <w:ind w:firstLine="720"/>
      </w:pPr>
      <w:r w:rsidRPr="009257E7">
        <w:t xml:space="preserve">Necesariamente, gran parte de </w:t>
      </w:r>
      <w:r w:rsidR="00816AA0" w:rsidRPr="009257E7">
        <w:t>s</w:t>
      </w:r>
      <w:r w:rsidRPr="009257E7">
        <w:t xml:space="preserve">u reflexión sobre un proyecto de abogacía en esta etapa será preliminar y deberá desarrollarse con mayor profundidad a medida que aprenda y aplique las herramientas de la abogacía sistémica y trabaje de manera colaborativa con les integrantes de </w:t>
      </w:r>
      <w:r w:rsidR="00816AA0" w:rsidRPr="009257E7">
        <w:t>s</w:t>
      </w:r>
      <w:r w:rsidRPr="009257E7">
        <w:t>u equipo, los grupos de clientes y otras personas. Recuerd</w:t>
      </w:r>
      <w:r w:rsidR="00816AA0" w:rsidRPr="009257E7">
        <w:t>e</w:t>
      </w:r>
      <w:r w:rsidRPr="009257E7">
        <w:t xml:space="preserve"> que este ejercicio constituye únicamente un punto de partida para poner a prueba el enfoque crítico, los objetivos de tres niveles y la colaboración </w:t>
      </w:r>
      <w:r w:rsidR="00816AA0" w:rsidRPr="009257E7">
        <w:t>en</w:t>
      </w:r>
      <w:r w:rsidRPr="009257E7">
        <w:t xml:space="preserve"> la abogacía. Piens</w:t>
      </w:r>
      <w:r w:rsidR="00816AA0" w:rsidRPr="009257E7">
        <w:t>e</w:t>
      </w:r>
      <w:r w:rsidRPr="009257E7">
        <w:t xml:space="preserve"> </w:t>
      </w:r>
      <w:r w:rsidR="00816AA0" w:rsidRPr="009257E7">
        <w:t>en</w:t>
      </w:r>
      <w:r w:rsidRPr="009257E7">
        <w:t xml:space="preserve"> dónde —y de qué manera— podría obtener “conocimiento desde abajo” y pericia especializada pertinente para comprender mejor el problema</w:t>
      </w:r>
      <w:r w:rsidR="00816AA0" w:rsidRPr="009257E7">
        <w:t xml:space="preserve">, </w:t>
      </w:r>
      <w:r w:rsidRPr="009257E7">
        <w:t xml:space="preserve">determinar y medir las posibles soluciones técnicas que </w:t>
      </w:r>
      <w:r w:rsidR="00816AA0" w:rsidRPr="009257E7">
        <w:t>s</w:t>
      </w:r>
      <w:r w:rsidRPr="009257E7">
        <w:t>u proyecto podría alcanzar. Desde el comienzo, incorpor</w:t>
      </w:r>
      <w:r w:rsidR="00816AA0" w:rsidRPr="009257E7">
        <w:t>e</w:t>
      </w:r>
      <w:r w:rsidRPr="009257E7">
        <w:t xml:space="preserve"> los objetivos de</w:t>
      </w:r>
      <w:r w:rsidR="00816AA0" w:rsidRPr="009257E7">
        <w:t xml:space="preserve"> los</w:t>
      </w:r>
      <w:r w:rsidRPr="009257E7">
        <w:t xml:space="preserve"> tres niveles a la investigación y al análisis críticos. </w:t>
      </w:r>
    </w:p>
    <w:p w14:paraId="3DF7D1B7" w14:textId="338AC513" w:rsidR="00796D0D" w:rsidRPr="009257E7" w:rsidRDefault="00796D0D" w:rsidP="00816AA0">
      <w:pPr>
        <w:pStyle w:val="NormalWeb"/>
        <w:numPr>
          <w:ilvl w:val="0"/>
          <w:numId w:val="14"/>
        </w:numPr>
      </w:pPr>
      <w:r w:rsidRPr="009257E7">
        <w:rPr>
          <w:rStyle w:val="Emphasis"/>
        </w:rPr>
        <w:t>Primer objetivo de la abogacía sistémica:</w:t>
      </w:r>
    </w:p>
    <w:p w14:paraId="67352EAC" w14:textId="3FFA9D5F" w:rsidR="00796D0D" w:rsidRPr="009257E7" w:rsidRDefault="00796D0D" w:rsidP="00816AA0">
      <w:pPr>
        <w:pStyle w:val="NormalWeb"/>
        <w:ind w:firstLine="360"/>
      </w:pPr>
      <w:r w:rsidRPr="009257E7">
        <w:t>Consider</w:t>
      </w:r>
      <w:r w:rsidR="00816AA0" w:rsidRPr="009257E7">
        <w:t>e</w:t>
      </w:r>
      <w:r w:rsidRPr="009257E7">
        <w:t xml:space="preserve">, en términos generales, de qué manera </w:t>
      </w:r>
      <w:r w:rsidR="00816AA0" w:rsidRPr="009257E7">
        <w:t>s</w:t>
      </w:r>
      <w:r w:rsidRPr="009257E7">
        <w:t xml:space="preserve">u proyecto podría </w:t>
      </w:r>
      <w:r w:rsidR="00816AA0" w:rsidRPr="009257E7">
        <w:t>aporta</w:t>
      </w:r>
      <w:r w:rsidRPr="009257E7">
        <w:t>r una mejora pertinente —una solución técnic</w:t>
      </w:r>
      <w:r w:rsidR="00816AA0" w:rsidRPr="009257E7">
        <w:t>o</w:t>
      </w:r>
      <w:r w:rsidRPr="009257E7">
        <w:t xml:space="preserve">-jurídica— </w:t>
      </w:r>
      <w:r w:rsidR="00816AA0" w:rsidRPr="009257E7">
        <w:t>en</w:t>
      </w:r>
      <w:r w:rsidRPr="009257E7">
        <w:t xml:space="preserve"> el contexto actual.</w:t>
      </w:r>
    </w:p>
    <w:p w14:paraId="7E4C6A7A" w14:textId="24A9B64F" w:rsidR="00796D0D" w:rsidRPr="009257E7" w:rsidRDefault="00796D0D" w:rsidP="00816AA0">
      <w:pPr>
        <w:pStyle w:val="NormalWeb"/>
        <w:numPr>
          <w:ilvl w:val="0"/>
          <w:numId w:val="14"/>
        </w:numPr>
      </w:pPr>
      <w:r w:rsidRPr="009257E7">
        <w:rPr>
          <w:rStyle w:val="Emphasis"/>
        </w:rPr>
        <w:t>Segundo objetivo de la abogacía sistémica:</w:t>
      </w:r>
    </w:p>
    <w:p w14:paraId="549DBD09" w14:textId="30A1E1BE" w:rsidR="00796D0D" w:rsidRPr="009257E7" w:rsidRDefault="00796D0D" w:rsidP="00816AA0">
      <w:pPr>
        <w:pStyle w:val="NormalWeb"/>
        <w:ind w:firstLine="360"/>
      </w:pPr>
      <w:r w:rsidRPr="009257E7">
        <w:t>Consider</w:t>
      </w:r>
      <w:r w:rsidR="00816AA0" w:rsidRPr="009257E7">
        <w:t>e</w:t>
      </w:r>
      <w:r w:rsidRPr="009257E7">
        <w:t xml:space="preserve">, en términos generales, </w:t>
      </w:r>
      <w:r w:rsidR="00816AA0" w:rsidRPr="009257E7">
        <w:t>cómo</w:t>
      </w:r>
      <w:r w:rsidRPr="009257E7">
        <w:t xml:space="preserve"> podría diseñarse </w:t>
      </w:r>
      <w:r w:rsidR="00816AA0" w:rsidRPr="009257E7">
        <w:t>s</w:t>
      </w:r>
      <w:r w:rsidRPr="009257E7">
        <w:t>u proyecto para construir poder colectivo dentro de los grupos marginados y entre ellos, con el fin de sostener luchas grupales organizadas y lograr, con el tiempo, impactos transformadores —más disruptivos y capaces de cambiar el sistema—.</w:t>
      </w:r>
    </w:p>
    <w:p w14:paraId="4269DFB5" w14:textId="2A239F06" w:rsidR="00796D0D" w:rsidRPr="009257E7" w:rsidRDefault="00796D0D" w:rsidP="00816AA0">
      <w:pPr>
        <w:pStyle w:val="NormalWeb"/>
        <w:numPr>
          <w:ilvl w:val="0"/>
          <w:numId w:val="14"/>
        </w:numPr>
      </w:pPr>
      <w:r w:rsidRPr="009257E7">
        <w:rPr>
          <w:rStyle w:val="Emphasis"/>
        </w:rPr>
        <w:t>Tercer objetivo de la abogacía sistémica:</w:t>
      </w:r>
    </w:p>
    <w:p w14:paraId="72B7E9A2" w14:textId="6DC79623" w:rsidR="00796D0D" w:rsidRPr="009257E7" w:rsidRDefault="00796D0D" w:rsidP="00816AA0">
      <w:pPr>
        <w:pStyle w:val="NormalWeb"/>
        <w:ind w:firstLine="360"/>
      </w:pPr>
      <w:r w:rsidRPr="009257E7">
        <w:t>Consider</w:t>
      </w:r>
      <w:r w:rsidR="00816AA0" w:rsidRPr="009257E7">
        <w:t>e</w:t>
      </w:r>
      <w:r w:rsidRPr="009257E7">
        <w:t xml:space="preserve">, en términos generales, de qué manera podría diseñarse </w:t>
      </w:r>
      <w:r w:rsidR="00816AA0" w:rsidRPr="009257E7">
        <w:t>s</w:t>
      </w:r>
      <w:r w:rsidRPr="009257E7">
        <w:t xml:space="preserve">u proyecto para comenzar a transformar tanto la conciencia de les integrantes del grupo </w:t>
      </w:r>
      <w:r w:rsidRPr="009257E7">
        <w:rPr>
          <w:rStyle w:val="Emphasis"/>
        </w:rPr>
        <w:t>como</w:t>
      </w:r>
      <w:r w:rsidRPr="009257E7">
        <w:t xml:space="preserve"> las concepciones culturales dominantes sobre el asunto o problema en el que se concentra </w:t>
      </w:r>
      <w:r w:rsidR="00816AA0" w:rsidRPr="009257E7">
        <w:t>s</w:t>
      </w:r>
      <w:r w:rsidRPr="009257E7">
        <w:t xml:space="preserve">u proyecto, con el fin de generar apoyo social y cultural para remedios o reformas colectivos de mayor alcance. </w:t>
      </w:r>
    </w:p>
    <w:p w14:paraId="148AE59D" w14:textId="458BA0FC" w:rsidR="00796D0D" w:rsidRPr="009257E7" w:rsidRDefault="00796D0D" w:rsidP="00796D0D">
      <w:pPr>
        <w:pStyle w:val="NormalWeb"/>
        <w:rPr>
          <w:b/>
          <w:bCs/>
        </w:rPr>
      </w:pPr>
      <w:r w:rsidRPr="009257E7">
        <w:rPr>
          <w:b/>
          <w:bCs/>
        </w:rPr>
        <w:t>C. Concéntra</w:t>
      </w:r>
      <w:r w:rsidR="00816AA0" w:rsidRPr="009257E7">
        <w:rPr>
          <w:b/>
          <w:bCs/>
        </w:rPr>
        <w:t>rse</w:t>
      </w:r>
      <w:r w:rsidRPr="009257E7">
        <w:rPr>
          <w:b/>
          <w:bCs/>
        </w:rPr>
        <w:t xml:space="preserve"> en los equipos y el profesionalismo colaborativo</w:t>
      </w:r>
    </w:p>
    <w:p w14:paraId="2F9771F5" w14:textId="0F0B0268" w:rsidR="00796D0D" w:rsidRPr="009257E7" w:rsidRDefault="00796D0D" w:rsidP="00816AA0">
      <w:pPr>
        <w:pStyle w:val="NormalWeb"/>
        <w:numPr>
          <w:ilvl w:val="0"/>
          <w:numId w:val="14"/>
        </w:numPr>
      </w:pPr>
      <w:r w:rsidRPr="009257E7">
        <w:rPr>
          <w:rStyle w:val="Emphasis"/>
        </w:rPr>
        <w:lastRenderedPageBreak/>
        <w:t>Identifica</w:t>
      </w:r>
      <w:r w:rsidR="00816AA0" w:rsidRPr="009257E7">
        <w:rPr>
          <w:rStyle w:val="Emphasis"/>
        </w:rPr>
        <w:t>r</w:t>
      </w:r>
      <w:r w:rsidRPr="009257E7">
        <w:rPr>
          <w:rStyle w:val="Emphasis"/>
        </w:rPr>
        <w:t xml:space="preserve"> el equipo y las áreas de pericia necesarias:</w:t>
      </w:r>
    </w:p>
    <w:p w14:paraId="5FFB8723" w14:textId="649EF738" w:rsidR="00796D0D" w:rsidRPr="009257E7" w:rsidRDefault="00796D0D" w:rsidP="00816AA0">
      <w:pPr>
        <w:pStyle w:val="NormalWeb"/>
        <w:ind w:firstLine="360"/>
      </w:pPr>
      <w:r w:rsidRPr="009257E7">
        <w:t>Reflexion</w:t>
      </w:r>
      <w:r w:rsidR="00816AA0" w:rsidRPr="009257E7">
        <w:t>e</w:t>
      </w:r>
      <w:r w:rsidRPr="009257E7">
        <w:t xml:space="preserve"> sobre qué tipos de pericia especializada podrían resultar útiles a la luz de todo lo que conoce hasta e</w:t>
      </w:r>
      <w:r w:rsidR="00816AA0" w:rsidRPr="009257E7">
        <w:t>l</w:t>
      </w:r>
      <w:r w:rsidRPr="009257E7">
        <w:t xml:space="preserve"> momento, incluidas las relaciones con clientes, grupos de clientes y otros grupos. Consider</w:t>
      </w:r>
      <w:r w:rsidR="00816AA0" w:rsidRPr="009257E7">
        <w:t>e</w:t>
      </w:r>
      <w:r w:rsidRPr="009257E7">
        <w:t xml:space="preserve"> si un acuerdo de servicios o de representación con el cliente, un estatuto del equipo u otro tipo de “contrato” podría definir las funciones y garantizar la rendición de cuentas mutua respecto del progreso basado en un trabajo guiado por principios, y de qué manera podría hacerlo.</w:t>
      </w:r>
    </w:p>
    <w:p w14:paraId="4F7C4053" w14:textId="7ED8AE7D" w:rsidR="00796D0D" w:rsidRPr="009257E7" w:rsidRDefault="00796D0D" w:rsidP="00816AA0">
      <w:pPr>
        <w:pStyle w:val="NormalWeb"/>
        <w:numPr>
          <w:ilvl w:val="0"/>
          <w:numId w:val="14"/>
        </w:numPr>
      </w:pPr>
      <w:r w:rsidRPr="009257E7">
        <w:rPr>
          <w:rStyle w:val="Emphasis"/>
        </w:rPr>
        <w:t>Identifica</w:t>
      </w:r>
      <w:r w:rsidR="00816AA0" w:rsidRPr="009257E7">
        <w:rPr>
          <w:rStyle w:val="Emphasis"/>
        </w:rPr>
        <w:t>r</w:t>
      </w:r>
      <w:r w:rsidRPr="009257E7">
        <w:rPr>
          <w:rStyle w:val="Emphasis"/>
        </w:rPr>
        <w:t xml:space="preserve"> posibles organizaciones patrocinadoras y examina</w:t>
      </w:r>
      <w:r w:rsidR="00816AA0" w:rsidRPr="009257E7">
        <w:rPr>
          <w:rStyle w:val="Emphasis"/>
        </w:rPr>
        <w:t>r</w:t>
      </w:r>
      <w:r w:rsidRPr="009257E7">
        <w:rPr>
          <w:rStyle w:val="Emphasis"/>
        </w:rPr>
        <w:t xml:space="preserve"> organizaciones e iniciativas de abogacía:</w:t>
      </w:r>
    </w:p>
    <w:p w14:paraId="6CBC9E98" w14:textId="0010AC7B" w:rsidR="00796D0D" w:rsidRPr="009257E7" w:rsidRDefault="00796D0D" w:rsidP="00816AA0">
      <w:pPr>
        <w:pStyle w:val="NormalWeb"/>
        <w:ind w:firstLine="720"/>
      </w:pPr>
      <w:r w:rsidRPr="009257E7">
        <w:t xml:space="preserve">Debe encontrar una organización que sirva </w:t>
      </w:r>
      <w:r w:rsidR="00816AA0" w:rsidRPr="009257E7">
        <w:t>de</w:t>
      </w:r>
      <w:r w:rsidRPr="009257E7">
        <w:t xml:space="preserve"> sede para </w:t>
      </w:r>
      <w:r w:rsidR="00816AA0" w:rsidRPr="009257E7">
        <w:t>s</w:t>
      </w:r>
      <w:r w:rsidRPr="009257E7">
        <w:t>u proyecto o, en algunos casos, crearla. Debe informar</w:t>
      </w:r>
      <w:r w:rsidR="00816AA0" w:rsidRPr="009257E7">
        <w:t>s</w:t>
      </w:r>
      <w:r w:rsidRPr="009257E7">
        <w:t xml:space="preserve">e sobre el trabajo innovador que se realiza en </w:t>
      </w:r>
      <w:r w:rsidR="00816AA0" w:rsidRPr="009257E7">
        <w:t>su</w:t>
      </w:r>
      <w:r w:rsidRPr="009257E7">
        <w:t xml:space="preserve"> campo y aprovecharlo, pero sin limitar</w:t>
      </w:r>
      <w:r w:rsidR="00816AA0" w:rsidRPr="009257E7">
        <w:t>s</w:t>
      </w:r>
      <w:r w:rsidRPr="009257E7">
        <w:t xml:space="preserve">e a duplicar el trabajo ya </w:t>
      </w:r>
      <w:r w:rsidR="00816AA0" w:rsidRPr="009257E7">
        <w:t>realizad</w:t>
      </w:r>
      <w:r w:rsidRPr="009257E7">
        <w:t xml:space="preserve">o en </w:t>
      </w:r>
      <w:r w:rsidR="00816AA0" w:rsidRPr="009257E7">
        <w:t>s</w:t>
      </w:r>
      <w:r w:rsidRPr="009257E7">
        <w:t xml:space="preserve">u organización anfitriona o en otros espacios. Por ello, </w:t>
      </w:r>
      <w:r w:rsidR="00816AA0" w:rsidRPr="009257E7">
        <w:t>s</w:t>
      </w:r>
      <w:r w:rsidRPr="009257E7">
        <w:t xml:space="preserve">u primer objetivo </w:t>
      </w:r>
      <w:r w:rsidR="00816AA0" w:rsidRPr="009257E7">
        <w:t>es</w:t>
      </w:r>
      <w:r w:rsidRPr="009257E7">
        <w:t xml:space="preserve"> conocer las organizaciones que trabajan en </w:t>
      </w:r>
      <w:r w:rsidR="00816AA0" w:rsidRPr="009257E7">
        <w:t>s</w:t>
      </w:r>
      <w:r w:rsidRPr="009257E7">
        <w:t xml:space="preserve">u comunidad o en </w:t>
      </w:r>
      <w:r w:rsidR="00816AA0" w:rsidRPr="009257E7">
        <w:t>s</w:t>
      </w:r>
      <w:r w:rsidRPr="009257E7">
        <w:t xml:space="preserve">u campo y recopilar toda la información posible sobre los proyectos y enfoques existentes. Durante ese proceso, también puede identificar una posible organización patrocinadora o, quizá, una que </w:t>
      </w:r>
      <w:r w:rsidR="00816AA0" w:rsidRPr="009257E7">
        <w:t>sirva</w:t>
      </w:r>
      <w:r w:rsidRPr="009257E7">
        <w:t xml:space="preserve"> </w:t>
      </w:r>
      <w:r w:rsidR="00816AA0" w:rsidRPr="009257E7">
        <w:t>de</w:t>
      </w:r>
      <w:r w:rsidRPr="009257E7">
        <w:t xml:space="preserve"> guía o </w:t>
      </w:r>
      <w:r w:rsidR="00816AA0" w:rsidRPr="009257E7">
        <w:t xml:space="preserve">como </w:t>
      </w:r>
      <w:r w:rsidRPr="009257E7">
        <w:t xml:space="preserve">socia de </w:t>
      </w:r>
      <w:r w:rsidR="00816AA0" w:rsidRPr="009257E7">
        <w:t>s</w:t>
      </w:r>
      <w:r w:rsidRPr="009257E7">
        <w:t>u proyecto. Las organizaciones anfitrionas y los grupos socios pueden proporcionar supervisión o pericia jurídica, apoyo administrativo o financiero</w:t>
      </w:r>
      <w:r w:rsidR="00816AA0" w:rsidRPr="009257E7">
        <w:t>, integrantes del equipo</w:t>
      </w:r>
      <w:r w:rsidRPr="009257E7">
        <w:t xml:space="preserve"> y conexiones con personas de la comunidad. Es indispensable conocer el trabajo de las posibles organizaciones patrocinadoras o socias e incorporarlas </w:t>
      </w:r>
      <w:r w:rsidR="00816AA0" w:rsidRPr="009257E7">
        <w:t>en</w:t>
      </w:r>
      <w:r w:rsidRPr="009257E7">
        <w:t xml:space="preserve"> </w:t>
      </w:r>
      <w:r w:rsidR="00816AA0" w:rsidRPr="009257E7">
        <w:t>s</w:t>
      </w:r>
      <w:r w:rsidRPr="009257E7">
        <w:t xml:space="preserve">u proceso de planificación y toma de decisiones. </w:t>
      </w:r>
    </w:p>
    <w:p w14:paraId="1B1D2362" w14:textId="77777777" w:rsidR="00796D0D" w:rsidRPr="009257E7" w:rsidRDefault="00796D0D" w:rsidP="00816AA0">
      <w:pPr>
        <w:pStyle w:val="NormalWeb"/>
        <w:ind w:firstLine="720"/>
      </w:pPr>
      <w:r w:rsidRPr="009257E7">
        <w:t>La Beca Skadden y la mayoría de los demás programas exigen que les becaries cuenten con el patrocinio de una organización anfitriona comprometida con los objetivos del proyecto y con capacidad para proporcionar supervisión y orientación jurídicas adecuadas. De manera similar, Equal Justice Works exige que cada becarie trabaje para una organización anfitriona, de acuerdo con las siguientes pautas para determinar si existe una relación adecuada:</w:t>
      </w:r>
    </w:p>
    <w:p w14:paraId="47E32B50" w14:textId="706639A4" w:rsidR="00796D0D" w:rsidRPr="009257E7" w:rsidRDefault="00796D0D" w:rsidP="00796D0D">
      <w:pPr>
        <w:pStyle w:val="NormalWeb"/>
        <w:numPr>
          <w:ilvl w:val="0"/>
          <w:numId w:val="15"/>
        </w:numPr>
      </w:pPr>
      <w:r w:rsidRPr="009257E7">
        <w:t xml:space="preserve">¿Qué trabajo, si alguno, ha realizado la organización para abordar el asunto que plantea </w:t>
      </w:r>
      <w:r w:rsidR="00816AA0" w:rsidRPr="009257E7">
        <w:t>s</w:t>
      </w:r>
      <w:r w:rsidRPr="009257E7">
        <w:t>u proyecto? ¿</w:t>
      </w:r>
      <w:r w:rsidR="00816AA0" w:rsidRPr="009257E7">
        <w:t>En q</w:t>
      </w:r>
      <w:r w:rsidRPr="009257E7">
        <w:t>ué asuntos relacionados ha trabajado la organización?</w:t>
      </w:r>
    </w:p>
    <w:p w14:paraId="71016531" w14:textId="702BD4AA" w:rsidR="00796D0D" w:rsidRPr="009257E7" w:rsidRDefault="00796D0D" w:rsidP="00796D0D">
      <w:pPr>
        <w:pStyle w:val="NormalWeb"/>
        <w:numPr>
          <w:ilvl w:val="0"/>
          <w:numId w:val="15"/>
        </w:numPr>
      </w:pPr>
      <w:r w:rsidRPr="009257E7">
        <w:t xml:space="preserve">¿Cuál es el tamaño de la organización? ¿Cuenta con la capacidad necesaria para </w:t>
      </w:r>
      <w:r w:rsidR="00816AA0" w:rsidRPr="009257E7">
        <w:t>brind</w:t>
      </w:r>
      <w:r w:rsidRPr="009257E7">
        <w:t xml:space="preserve">ar apoyo y supervisión a </w:t>
      </w:r>
      <w:r w:rsidR="00816AA0" w:rsidRPr="009257E7">
        <w:t>s</w:t>
      </w:r>
      <w:r w:rsidRPr="009257E7">
        <w:t>u proyecto?</w:t>
      </w:r>
    </w:p>
    <w:p w14:paraId="5D93ED6E" w14:textId="4B626DBF" w:rsidR="00796D0D" w:rsidRPr="009257E7" w:rsidRDefault="00796D0D" w:rsidP="00796D0D">
      <w:pPr>
        <w:pStyle w:val="NormalWeb"/>
        <w:numPr>
          <w:ilvl w:val="0"/>
          <w:numId w:val="15"/>
        </w:numPr>
      </w:pPr>
      <w:r w:rsidRPr="009257E7">
        <w:t xml:space="preserve">¿Cuál es la misión de la organización? ¿Sus valores y su cultura son compatibles con los </w:t>
      </w:r>
      <w:r w:rsidR="00816AA0" w:rsidRPr="009257E7">
        <w:t>s</w:t>
      </w:r>
      <w:r w:rsidRPr="009257E7">
        <w:t>uyos?</w:t>
      </w:r>
    </w:p>
    <w:p w14:paraId="53B7A985" w14:textId="77777777" w:rsidR="00BC51A6" w:rsidRPr="009257E7" w:rsidRDefault="00796D0D" w:rsidP="00BC51A6">
      <w:pPr>
        <w:pStyle w:val="NormalWeb"/>
        <w:numPr>
          <w:ilvl w:val="0"/>
          <w:numId w:val="15"/>
        </w:numPr>
      </w:pPr>
      <w:r w:rsidRPr="009257E7">
        <w:t xml:space="preserve">¿Cuál es la teoría o la práctica de cambio social de la organización? ¿La organización se dedica principalmente a prestar servicios jurídicos, </w:t>
      </w:r>
      <w:r w:rsidR="00816AA0" w:rsidRPr="009257E7">
        <w:t>a organizar e involucrar a sus integrantes en actividades de abogacía o de acción directa, a realizar investigaciones e informes, o a combinar</w:t>
      </w:r>
      <w:r w:rsidRPr="009257E7">
        <w:t xml:space="preserve"> algunas de estas actividades? ¿Se concentra principalmente en abusos de poder gubernamentales o en abusos de poder privados o corporativos, y de qué manera afectará ese enfoque a tu proyecto? </w:t>
      </w:r>
    </w:p>
    <w:p w14:paraId="64FAC4B5" w14:textId="2FC84120" w:rsidR="00BC51A6" w:rsidRPr="009257E7" w:rsidRDefault="00BC51A6" w:rsidP="00BC51A6">
      <w:pPr>
        <w:pStyle w:val="NormalWeb"/>
        <w:numPr>
          <w:ilvl w:val="0"/>
          <w:numId w:val="15"/>
        </w:numPr>
      </w:pPr>
      <w:r w:rsidRPr="009257E7">
        <w:t xml:space="preserve">¿Cómo se toman las decisiones dentro de la organización? ¿Quiénes integran la junta directiva u otro órgano de gobierno? ¿Son designados o elegidos? ¿Incluye ese órgano a </w:t>
      </w:r>
      <w:r w:rsidR="00A72842" w:rsidRPr="009257E7">
        <w:t xml:space="preserve">las </w:t>
      </w:r>
      <w:r w:rsidRPr="009257E7">
        <w:t>personas de las comunidades afectadas por los problemas que plan</w:t>
      </w:r>
      <w:r w:rsidR="00A72842" w:rsidRPr="009257E7">
        <w:t>ifica</w:t>
      </w:r>
      <w:r w:rsidRPr="009257E7">
        <w:t xml:space="preserve"> abordar?</w:t>
      </w:r>
    </w:p>
    <w:p w14:paraId="035933E4" w14:textId="307736DA" w:rsidR="00BC51A6" w:rsidRPr="009257E7" w:rsidRDefault="00BC51A6" w:rsidP="00BC51A6">
      <w:pPr>
        <w:pStyle w:val="NormalWeb"/>
        <w:numPr>
          <w:ilvl w:val="0"/>
          <w:numId w:val="16"/>
        </w:numPr>
      </w:pPr>
      <w:r w:rsidRPr="009257E7">
        <w:lastRenderedPageBreak/>
        <w:t xml:space="preserve">¿Tiene la organización experiencia como anfitriona de programas de becas, en la mentoría de graduades recientes y en el apoyo a líderes emergentes del ámbito del interés público? ¿Qué experiencias han tenido les becaries anteriores al desarrollar y sostener proyectos con esta organización y al aprender destrezas y estrategias de abogacía? ¿Ha destinado la organización recursos adecuados a proyectos recientes de becaries? ¿Les becaries han tendido a marcharse antes de finalizar el período de la beca, al concluirlo o a permanecer en la organización? </w:t>
      </w:r>
    </w:p>
    <w:p w14:paraId="10286708" w14:textId="57347D59" w:rsidR="00BC51A6" w:rsidRPr="009257E7" w:rsidRDefault="00BC51A6" w:rsidP="00A72842">
      <w:pPr>
        <w:pStyle w:val="NormalWeb"/>
        <w:numPr>
          <w:ilvl w:val="0"/>
          <w:numId w:val="14"/>
        </w:numPr>
      </w:pPr>
      <w:r w:rsidRPr="009257E7">
        <w:rPr>
          <w:rStyle w:val="Emphasis"/>
        </w:rPr>
        <w:t>Planifica</w:t>
      </w:r>
      <w:r w:rsidR="00A72842" w:rsidRPr="009257E7">
        <w:rPr>
          <w:rStyle w:val="Emphasis"/>
        </w:rPr>
        <w:t>r</w:t>
      </w:r>
      <w:r w:rsidRPr="009257E7">
        <w:rPr>
          <w:rStyle w:val="Emphasis"/>
        </w:rPr>
        <w:t xml:space="preserve"> el financiamiento y otros tipos de recursos materiales:</w:t>
      </w:r>
    </w:p>
    <w:p w14:paraId="79055008" w14:textId="197B07FA" w:rsidR="00BC51A6" w:rsidRPr="009257E7" w:rsidRDefault="00BC51A6" w:rsidP="00A72842">
      <w:pPr>
        <w:pStyle w:val="NormalWeb"/>
        <w:ind w:firstLine="720"/>
      </w:pPr>
      <w:r w:rsidRPr="009257E7">
        <w:t>Identifi</w:t>
      </w:r>
      <w:r w:rsidR="00A72842" w:rsidRPr="009257E7">
        <w:t>que</w:t>
      </w:r>
      <w:r w:rsidRPr="009257E7">
        <w:t xml:space="preserve"> posibles fuentes de financiamiento para </w:t>
      </w:r>
      <w:r w:rsidR="00A72842" w:rsidRPr="009257E7">
        <w:t>s</w:t>
      </w:r>
      <w:r w:rsidRPr="009257E7">
        <w:t xml:space="preserve">u proyecto. Aunque los programas de becas suelen cubrir el salario de le becarie, con frecuencia la organización anfitriona debe conseguir fondos para cubrir costos adicionales. Por ejemplo, los gastos de litigio, desarrollo profesional, espacio de oficina, materiales y otros costos suelen recaer sobre la organización anfitriona. ¿Cómo se financia </w:t>
      </w:r>
      <w:r w:rsidR="00A72842" w:rsidRPr="009257E7">
        <w:t>s</w:t>
      </w:r>
      <w:r w:rsidRPr="009257E7">
        <w:t xml:space="preserve">u organización anfitriona: mediante donaciones, subvenciones, honorarios o cuotas de membresía? ¿Quiénes son sus principales financiadores? ¿Qué compromisos de recursos por parte de la organización anfitriona podrían ser importantes para el éxito de </w:t>
      </w:r>
      <w:r w:rsidR="00A72842" w:rsidRPr="009257E7">
        <w:t>s</w:t>
      </w:r>
      <w:r w:rsidRPr="009257E7">
        <w:t>u proyecto? Consider</w:t>
      </w:r>
      <w:r w:rsidR="00A72842" w:rsidRPr="009257E7">
        <w:t>e</w:t>
      </w:r>
      <w:r w:rsidRPr="009257E7">
        <w:t xml:space="preserve"> los gastos específicos del proyecto además de los gastos generales. Consider</w:t>
      </w:r>
      <w:r w:rsidR="00A72842" w:rsidRPr="009257E7">
        <w:t>e</w:t>
      </w:r>
      <w:r w:rsidRPr="009257E7">
        <w:t xml:space="preserve"> los costos de personal y los beneficios correspondientes, tanto para </w:t>
      </w:r>
      <w:r w:rsidR="00A72842" w:rsidRPr="009257E7">
        <w:t>usted</w:t>
      </w:r>
      <w:r w:rsidRPr="009257E7">
        <w:t xml:space="preserve"> como para otras personas, así como los costos de los servicios o herramientas necesarios, que pueden incluir interpretación, traducción, alcance comunitario o personal de apoyo administrativo. </w:t>
      </w:r>
    </w:p>
    <w:p w14:paraId="5BDC309A" w14:textId="3EF8047F" w:rsidR="00BC51A6" w:rsidRPr="009257E7" w:rsidRDefault="00BC51A6" w:rsidP="00A72842">
      <w:pPr>
        <w:pStyle w:val="NormalWeb"/>
        <w:numPr>
          <w:ilvl w:val="0"/>
          <w:numId w:val="14"/>
        </w:numPr>
      </w:pPr>
      <w:r w:rsidRPr="009257E7">
        <w:rPr>
          <w:rStyle w:val="Emphasis"/>
        </w:rPr>
        <w:t>Identifica</w:t>
      </w:r>
      <w:r w:rsidR="00A72842" w:rsidRPr="009257E7">
        <w:rPr>
          <w:rStyle w:val="Emphasis"/>
        </w:rPr>
        <w:t>r</w:t>
      </w:r>
      <w:r w:rsidRPr="009257E7">
        <w:rPr>
          <w:rStyle w:val="Emphasis"/>
        </w:rPr>
        <w:t xml:space="preserve"> amistades, aliados y coaliciones:</w:t>
      </w:r>
    </w:p>
    <w:p w14:paraId="29415ACA" w14:textId="744E154B" w:rsidR="00BC51A6" w:rsidRPr="009257E7" w:rsidRDefault="00BC51A6" w:rsidP="00A72842">
      <w:pPr>
        <w:pStyle w:val="NormalWeb"/>
        <w:ind w:firstLine="360"/>
      </w:pPr>
      <w:r w:rsidRPr="009257E7">
        <w:t>Identifi</w:t>
      </w:r>
      <w:r w:rsidR="00A72842" w:rsidRPr="009257E7">
        <w:t>que</w:t>
      </w:r>
      <w:r w:rsidRPr="009257E7">
        <w:t xml:space="preserve"> coaliciones existentes que incluyan grupos </w:t>
      </w:r>
      <w:r w:rsidR="00A72842" w:rsidRPr="009257E7">
        <w:t>con</w:t>
      </w:r>
      <w:r w:rsidRPr="009257E7">
        <w:t xml:space="preserve"> intereses y objetivos</w:t>
      </w:r>
      <w:r w:rsidR="00A72842" w:rsidRPr="009257E7">
        <w:t xml:space="preserve"> en común</w:t>
      </w:r>
      <w:r w:rsidRPr="009257E7">
        <w:t>. ¿Son coaliciones o grupos consolidados o de reciente creación? ¿Cómo establecería vínculos con ellos? ¿Qué puede aprender sobre sus teorías o prácticas de cambio social y sus objetivos principales? ¿Qué tipo de función podría desempeñar un proyecto de abogacía en relación con esos grupos o con la coalición? Evalú</w:t>
      </w:r>
      <w:r w:rsidR="00A72842" w:rsidRPr="009257E7">
        <w:t>e</w:t>
      </w:r>
      <w:r w:rsidRPr="009257E7">
        <w:t xml:space="preserve"> específicamente qué diferencias podrían existir entre estas coaliciones y </w:t>
      </w:r>
      <w:r w:rsidR="00A72842" w:rsidRPr="009257E7">
        <w:t xml:space="preserve">estos </w:t>
      </w:r>
      <w:r w:rsidRPr="009257E7">
        <w:t xml:space="preserve">grupos en cuanto a objetivos, estructuras </w:t>
      </w:r>
      <w:r w:rsidR="00A72842" w:rsidRPr="009257E7">
        <w:t>de</w:t>
      </w:r>
      <w:r w:rsidRPr="009257E7">
        <w:t xml:space="preserve"> toma de decisiones, membresía u otras características, como las identidades sociales. Reflexion</w:t>
      </w:r>
      <w:r w:rsidR="00A72842" w:rsidRPr="009257E7">
        <w:t>e</w:t>
      </w:r>
      <w:r w:rsidRPr="009257E7">
        <w:t xml:space="preserve"> sobre cómo podría aprovechar las diferencias previsibles o conocidas como un recurso positivo para fortalecer </w:t>
      </w:r>
      <w:r w:rsidR="00A72842" w:rsidRPr="009257E7">
        <w:t>s</w:t>
      </w:r>
      <w:r w:rsidRPr="009257E7">
        <w:t xml:space="preserve">u trabajo en equipo y </w:t>
      </w:r>
      <w:r w:rsidR="00A72842" w:rsidRPr="009257E7">
        <w:t>s</w:t>
      </w:r>
      <w:r w:rsidRPr="009257E7">
        <w:t xml:space="preserve">u abogacía, así como para contribuir a la construcción de coaliciones. </w:t>
      </w:r>
    </w:p>
    <w:p w14:paraId="4B44BEDD" w14:textId="77777777" w:rsidR="00BC51A6" w:rsidRPr="009257E7" w:rsidRDefault="00BC51A6" w:rsidP="00BC51A6">
      <w:pPr>
        <w:pStyle w:val="NormalWeb"/>
        <w:rPr>
          <w:b/>
          <w:bCs/>
        </w:rPr>
      </w:pPr>
      <w:r w:rsidRPr="009257E7">
        <w:rPr>
          <w:b/>
          <w:bCs/>
        </w:rPr>
        <w:t>D. Determina la naturaleza y la medida del “progreso”</w:t>
      </w:r>
    </w:p>
    <w:p w14:paraId="275B0911" w14:textId="6032E882" w:rsidR="00BC51A6" w:rsidRPr="009257E7" w:rsidRDefault="00BC51A6" w:rsidP="00A72842">
      <w:pPr>
        <w:pStyle w:val="NormalWeb"/>
        <w:numPr>
          <w:ilvl w:val="0"/>
          <w:numId w:val="14"/>
        </w:numPr>
      </w:pPr>
      <w:r w:rsidRPr="009257E7">
        <w:rPr>
          <w:rStyle w:val="Emphasis"/>
        </w:rPr>
        <w:t>Establece</w:t>
      </w:r>
      <w:r w:rsidR="00A72842" w:rsidRPr="009257E7">
        <w:rPr>
          <w:rStyle w:val="Emphasis"/>
        </w:rPr>
        <w:t>r</w:t>
      </w:r>
      <w:r w:rsidRPr="009257E7">
        <w:rPr>
          <w:rStyle w:val="Emphasis"/>
        </w:rPr>
        <w:t xml:space="preserve"> métricas para medir avances graduales a lo largo del tiempo:</w:t>
      </w:r>
    </w:p>
    <w:p w14:paraId="6A77906A" w14:textId="765003D7" w:rsidR="00BC51A6" w:rsidRPr="009257E7" w:rsidRDefault="00BC51A6" w:rsidP="00BC51A6">
      <w:pPr>
        <w:pStyle w:val="NormalWeb"/>
      </w:pPr>
      <w:r w:rsidRPr="009257E7">
        <w:t xml:space="preserve">Dado que no todo “cambio” constituye progreso, les abogades deben tener una idea clara del progreso que pretenden alcanzar —a lo largo de los tres niveles de objetivos de la abogacía sistémica— de manera medible y a través del tiempo. Decidir cómo medir el progreso continuo es fundamental para </w:t>
      </w:r>
      <w:r w:rsidR="00A72842" w:rsidRPr="009257E7">
        <w:t>impulsar el</w:t>
      </w:r>
      <w:r w:rsidRPr="009257E7">
        <w:t xml:space="preserve"> cambio social. Para preparar</w:t>
      </w:r>
      <w:r w:rsidR="00A72842" w:rsidRPr="009257E7">
        <w:t>s</w:t>
      </w:r>
      <w:r w:rsidRPr="009257E7">
        <w:t>e desde el comienzo para el largo plazo, como abogade debe:</w:t>
      </w:r>
    </w:p>
    <w:p w14:paraId="07EC180A" w14:textId="29722586" w:rsidR="00BC51A6" w:rsidRPr="009257E7" w:rsidRDefault="00BC51A6" w:rsidP="00BC51A6">
      <w:pPr>
        <w:pStyle w:val="NormalWeb"/>
        <w:numPr>
          <w:ilvl w:val="0"/>
          <w:numId w:val="17"/>
        </w:numPr>
      </w:pPr>
      <w:r w:rsidRPr="009257E7">
        <w:lastRenderedPageBreak/>
        <w:t xml:space="preserve">Identificar las métricas específicas de impacto social más pertinentes para </w:t>
      </w:r>
      <w:r w:rsidR="00A72842" w:rsidRPr="009257E7">
        <w:t>s</w:t>
      </w:r>
      <w:r w:rsidRPr="009257E7">
        <w:t>u proyecto en los tres niveles de objetivos: ¿qué cambios concretos desea alcanzar?</w:t>
      </w:r>
    </w:p>
    <w:p w14:paraId="0762EFD5" w14:textId="7E13CB8D" w:rsidR="00BC51A6" w:rsidRPr="009257E7" w:rsidRDefault="00BC51A6" w:rsidP="00BC51A6">
      <w:pPr>
        <w:pStyle w:val="NormalWeb"/>
        <w:numPr>
          <w:ilvl w:val="0"/>
          <w:numId w:val="17"/>
        </w:numPr>
      </w:pPr>
      <w:r w:rsidRPr="009257E7">
        <w:t>Describir los mecanismos de evaluación continua del progreso y de las reacciones que est</w:t>
      </w:r>
      <w:r w:rsidR="00A72842" w:rsidRPr="009257E7">
        <w:t>a</w:t>
      </w:r>
      <w:r w:rsidRPr="009257E7">
        <w:t xml:space="preserve"> genere: ¿cómo puede medir de la mejor manera si está logrando o no lo que desea?</w:t>
      </w:r>
    </w:p>
    <w:p w14:paraId="79977AB1" w14:textId="66E5D819" w:rsidR="00BC51A6" w:rsidRPr="009257E7" w:rsidRDefault="00BC51A6" w:rsidP="00BC51A6">
      <w:pPr>
        <w:pStyle w:val="NormalWeb"/>
        <w:numPr>
          <w:ilvl w:val="0"/>
          <w:numId w:val="17"/>
        </w:numPr>
      </w:pPr>
      <w:r w:rsidRPr="009257E7">
        <w:t>Determinar y registrar la línea de base desde la cual com</w:t>
      </w:r>
      <w:r w:rsidR="00A72842" w:rsidRPr="009257E7">
        <w:t>enzará</w:t>
      </w:r>
      <w:r w:rsidRPr="009257E7">
        <w:t>: ¿</w:t>
      </w:r>
      <w:r w:rsidR="00A72842" w:rsidRPr="009257E7">
        <w:t>C</w:t>
      </w:r>
      <w:r w:rsidRPr="009257E7">
        <w:t xml:space="preserve">uáles son las condiciones actuales en relación con </w:t>
      </w:r>
      <w:r w:rsidR="00A72842" w:rsidRPr="009257E7">
        <w:t>s</w:t>
      </w:r>
      <w:r w:rsidRPr="009257E7">
        <w:t>us métricas?</w:t>
      </w:r>
    </w:p>
    <w:p w14:paraId="434AE0F8" w14:textId="0DE62F2C" w:rsidR="00BC51A6" w:rsidRPr="009257E7" w:rsidRDefault="00BC51A6" w:rsidP="00BC51A6">
      <w:pPr>
        <w:pStyle w:val="NormalWeb"/>
        <w:numPr>
          <w:ilvl w:val="0"/>
          <w:numId w:val="17"/>
        </w:numPr>
      </w:pPr>
      <w:r w:rsidRPr="009257E7">
        <w:t xml:space="preserve">Establecer prácticas y mecanismos para monitorear y defender cada logro: ¿qué puede hacer desde ahora para aumentar las probabilidades de que cada avance se mantenga a largo plazo? </w:t>
      </w:r>
    </w:p>
    <w:p w14:paraId="2AA56FEC" w14:textId="5A9A88F3" w:rsidR="00BC51A6" w:rsidRPr="009257E7" w:rsidRDefault="00BC51A6" w:rsidP="00A72842">
      <w:pPr>
        <w:pStyle w:val="NormalWeb"/>
        <w:numPr>
          <w:ilvl w:val="0"/>
          <w:numId w:val="14"/>
        </w:numPr>
      </w:pPr>
      <w:r w:rsidRPr="009257E7">
        <w:rPr>
          <w:rStyle w:val="Emphasis"/>
        </w:rPr>
        <w:t>Crea</w:t>
      </w:r>
      <w:r w:rsidR="00A72842" w:rsidRPr="009257E7">
        <w:rPr>
          <w:rStyle w:val="Emphasis"/>
        </w:rPr>
        <w:t>r</w:t>
      </w:r>
      <w:r w:rsidRPr="009257E7">
        <w:rPr>
          <w:rStyle w:val="Emphasis"/>
        </w:rPr>
        <w:t xml:space="preserve"> un plan de acción con plazos específicos y productos concretos de trabajo:</w:t>
      </w:r>
    </w:p>
    <w:p w14:paraId="27C384CE" w14:textId="7DF6EBE6" w:rsidR="00BC51A6" w:rsidRPr="009257E7" w:rsidRDefault="00BC51A6" w:rsidP="00A72842">
      <w:pPr>
        <w:pStyle w:val="NormalWeb"/>
        <w:ind w:firstLine="720"/>
      </w:pPr>
      <w:r w:rsidRPr="009257E7">
        <w:t>Consider</w:t>
      </w:r>
      <w:r w:rsidR="00A72842" w:rsidRPr="009257E7">
        <w:t>e</w:t>
      </w:r>
      <w:r w:rsidRPr="009257E7">
        <w:t xml:space="preserve"> cómo elaborar un plan de acción. Puede utilizar la solicitud de beca de Equal Justice Works como guía para algunos elementos necesarios que requier</w:t>
      </w:r>
      <w:r w:rsidR="00A72842" w:rsidRPr="009257E7">
        <w:t>a</w:t>
      </w:r>
      <w:r w:rsidRPr="009257E7">
        <w:t xml:space="preserve">n </w:t>
      </w:r>
      <w:r w:rsidR="00A72842" w:rsidRPr="009257E7">
        <w:t>s</w:t>
      </w:r>
      <w:r w:rsidRPr="009257E7">
        <w:t>u atención y reflexión:</w:t>
      </w:r>
    </w:p>
    <w:p w14:paraId="12CAA509" w14:textId="4BBAD5D2" w:rsidR="00BC51A6" w:rsidRPr="009257E7" w:rsidRDefault="00BC51A6" w:rsidP="00A72842">
      <w:pPr>
        <w:pStyle w:val="NormalWeb"/>
        <w:ind w:left="720"/>
      </w:pPr>
      <w:r w:rsidRPr="009257E7">
        <w:t xml:space="preserve">La propuesta del proyecto debe lograr un equilibrio entre ser distintiva y realista, sin ser </w:t>
      </w:r>
      <w:r w:rsidR="00A72842" w:rsidRPr="009257E7">
        <w:t xml:space="preserve">ni </w:t>
      </w:r>
      <w:r w:rsidRPr="009257E7">
        <w:t>demasiado limitada ni poco destacada. Consider</w:t>
      </w:r>
      <w:r w:rsidR="00A72842" w:rsidRPr="009257E7">
        <w:t>e</w:t>
      </w:r>
      <w:r w:rsidRPr="009257E7">
        <w:t xml:space="preserve"> si el proyecto </w:t>
      </w:r>
      <w:r w:rsidR="00A72842" w:rsidRPr="009257E7">
        <w:t>genera</w:t>
      </w:r>
      <w:r w:rsidRPr="009257E7">
        <w:t xml:space="preserve">rá una diferencia real en el área temática. </w:t>
      </w:r>
      <w:r w:rsidRPr="009257E7">
        <w:rPr>
          <w:rStyle w:val="Emphasis"/>
        </w:rPr>
        <w:t>¿Tienen sentido las estrategias propuestas? ¿Reflejan los objetivos y el cronograma un buen criterio y una evaluación realista de cómo se llevará a cabo el proyecto?</w:t>
      </w:r>
      <w:r w:rsidRPr="009257E7">
        <w:t xml:space="preserve"> Además, ten</w:t>
      </w:r>
      <w:r w:rsidR="00A72842" w:rsidRPr="009257E7">
        <w:t>ga</w:t>
      </w:r>
      <w:r w:rsidRPr="009257E7">
        <w:t xml:space="preserve"> presente que las estrategias deben tener sentido a la luz de la organización anfitriona que haya elegido. Por ejemplo, si propone presentar una acción de clase en nombre de trabajadores agrícolas migrantes, la propuesta debe demostrar que </w:t>
      </w:r>
      <w:r w:rsidR="00A72842" w:rsidRPr="009257E7">
        <w:t>s</w:t>
      </w:r>
      <w:r w:rsidRPr="009257E7">
        <w:t xml:space="preserve">u organización anfitriona cuenta con los recursos necesarios para litigar acciones de clase, la experiencia necesaria para proporcionar </w:t>
      </w:r>
      <w:r w:rsidR="00A72842" w:rsidRPr="009257E7">
        <w:t xml:space="preserve">una </w:t>
      </w:r>
      <w:r w:rsidRPr="009257E7">
        <w:t xml:space="preserve">supervisión adecuada y una trayectoria o interés en trabajar en favor de los derechos de los trabajadores agrícolas. Por último, </w:t>
      </w:r>
      <w:r w:rsidR="00A72842" w:rsidRPr="009257E7">
        <w:t>s</w:t>
      </w:r>
      <w:r w:rsidRPr="009257E7">
        <w:t>us estrategias deben tener sentido para la comunidad a la que propone</w:t>
      </w:r>
      <w:r w:rsidR="00A72842" w:rsidRPr="009257E7">
        <w:t>n</w:t>
      </w:r>
      <w:r w:rsidRPr="009257E7">
        <w:t xml:space="preserve"> servir. Investig</w:t>
      </w:r>
      <w:r w:rsidR="00A72842" w:rsidRPr="009257E7">
        <w:t>ue</w:t>
      </w:r>
      <w:r w:rsidRPr="009257E7">
        <w:t xml:space="preserve"> qué estrategias ya se han utilizado y determin</w:t>
      </w:r>
      <w:r w:rsidR="00A72842" w:rsidRPr="009257E7">
        <w:t>e</w:t>
      </w:r>
      <w:r w:rsidRPr="009257E7">
        <w:t xml:space="preserve"> qué modelos exitosos se han empleado en otros lugares. </w:t>
      </w:r>
    </w:p>
    <w:p w14:paraId="032A07B7" w14:textId="332BC1A3" w:rsidR="00BC51A6" w:rsidRPr="009257E7" w:rsidRDefault="00BC51A6" w:rsidP="00A72842">
      <w:pPr>
        <w:pStyle w:val="NormalWeb"/>
        <w:ind w:firstLine="720"/>
      </w:pPr>
      <w:r w:rsidRPr="009257E7">
        <w:t>Ten</w:t>
      </w:r>
      <w:r w:rsidR="00A72842" w:rsidRPr="009257E7">
        <w:t>ga</w:t>
      </w:r>
      <w:r w:rsidRPr="009257E7">
        <w:t xml:space="preserve"> en cuenta que implementará </w:t>
      </w:r>
      <w:r w:rsidR="003B3129" w:rsidRPr="009257E7">
        <w:t>s</w:t>
      </w:r>
      <w:r w:rsidRPr="009257E7">
        <w:t>u plan de acción y</w:t>
      </w:r>
      <w:r w:rsidR="003B3129" w:rsidRPr="009257E7">
        <w:t>,</w:t>
      </w:r>
      <w:r w:rsidRPr="009257E7">
        <w:t xml:space="preserve"> posteriormente</w:t>
      </w:r>
      <w:r w:rsidR="003B3129" w:rsidRPr="009257E7">
        <w:t>,</w:t>
      </w:r>
      <w:r w:rsidRPr="009257E7">
        <w:t xml:space="preserve"> lo evaluará. Es importante que esa evaluación incluya tanto los “productos” </w:t>
      </w:r>
      <w:r w:rsidR="003B3129" w:rsidRPr="009257E7">
        <w:t>(</w:t>
      </w:r>
      <w:r w:rsidRPr="009257E7">
        <w:t>es decir, las actividades clave realizadas</w:t>
      </w:r>
      <w:r w:rsidR="003B3129" w:rsidRPr="009257E7">
        <w:t>)</w:t>
      </w:r>
      <w:r w:rsidRPr="009257E7">
        <w:t xml:space="preserve"> como los resultados </w:t>
      </w:r>
      <w:r w:rsidR="003B3129" w:rsidRPr="009257E7">
        <w:t>(</w:t>
      </w:r>
      <w:r w:rsidRPr="009257E7">
        <w:t>es decir, los avances significativos en relación con los objetivos de tres niveles</w:t>
      </w:r>
      <w:r w:rsidR="003B3129" w:rsidRPr="009257E7">
        <w:t>)</w:t>
      </w:r>
      <w:r w:rsidRPr="009257E7">
        <w:t>.</w:t>
      </w:r>
    </w:p>
    <w:p w14:paraId="7E76A8DB" w14:textId="0191DCC4" w:rsidR="00BC51A6" w:rsidRPr="009257E7" w:rsidRDefault="00BC51A6" w:rsidP="00BC51A6">
      <w:pPr>
        <w:pStyle w:val="NormalWeb"/>
        <w:rPr>
          <w:b/>
          <w:bCs/>
        </w:rPr>
      </w:pPr>
      <w:r w:rsidRPr="009257E7">
        <w:rPr>
          <w:b/>
          <w:bCs/>
        </w:rPr>
        <w:t>E. Prep</w:t>
      </w:r>
      <w:r w:rsidR="003B3129" w:rsidRPr="009257E7">
        <w:rPr>
          <w:b/>
          <w:bCs/>
        </w:rPr>
        <w:t>a</w:t>
      </w:r>
      <w:r w:rsidRPr="009257E7">
        <w:rPr>
          <w:b/>
          <w:bCs/>
        </w:rPr>
        <w:t>ra</w:t>
      </w:r>
      <w:r w:rsidR="003B3129" w:rsidRPr="009257E7">
        <w:rPr>
          <w:b/>
          <w:bCs/>
        </w:rPr>
        <w:t>rse</w:t>
      </w:r>
      <w:r w:rsidRPr="009257E7">
        <w:rPr>
          <w:b/>
          <w:bCs/>
        </w:rPr>
        <w:t xml:space="preserve"> para el largo plazo: una maratón crítica</w:t>
      </w:r>
    </w:p>
    <w:p w14:paraId="2938CE4D" w14:textId="196DB470" w:rsidR="00BC51A6" w:rsidRPr="009257E7" w:rsidRDefault="00BC51A6" w:rsidP="003B3129">
      <w:pPr>
        <w:pStyle w:val="NormalWeb"/>
        <w:ind w:firstLine="720"/>
      </w:pPr>
      <w:r w:rsidRPr="009257E7">
        <w:t>Por último, como paso final de este ejercicio inicial, reflexion</w:t>
      </w:r>
      <w:r w:rsidR="003B3129" w:rsidRPr="009257E7">
        <w:t>e</w:t>
      </w:r>
      <w:r w:rsidRPr="009257E7">
        <w:t xml:space="preserve"> sobre cómo </w:t>
      </w:r>
      <w:r w:rsidR="003B3129" w:rsidRPr="009257E7">
        <w:t>s</w:t>
      </w:r>
      <w:r w:rsidRPr="009257E7">
        <w:t xml:space="preserve">u proyecto puede </w:t>
      </w:r>
      <w:r w:rsidR="003B3129" w:rsidRPr="009257E7">
        <w:t>mantener su</w:t>
      </w:r>
      <w:r w:rsidRPr="009257E7">
        <w:t xml:space="preserve"> continuidad y viabilidad más allá de la finalización de este semestre académico, del período de la beca o de cualquier otro plazo limitado. Consider</w:t>
      </w:r>
      <w:r w:rsidR="003B3129" w:rsidRPr="009257E7">
        <w:t>e</w:t>
      </w:r>
      <w:r w:rsidRPr="009257E7">
        <w:t xml:space="preserve"> cómo podría</w:t>
      </w:r>
      <w:r w:rsidR="003B3129" w:rsidRPr="009257E7">
        <w:t xml:space="preserve"> </w:t>
      </w:r>
      <w:r w:rsidRPr="009257E7">
        <w:t xml:space="preserve">continuar desarrollando parte o la totalidad del proyecto, así como sus objetivos, temas o misión, en </w:t>
      </w:r>
      <w:r w:rsidR="003B3129" w:rsidRPr="009257E7">
        <w:t>s</w:t>
      </w:r>
      <w:r w:rsidRPr="009257E7">
        <w:t xml:space="preserve">u trabajo y carrera futuros. ¿Cómo deberían estas u otras consideraciones similares influir desde ahora en </w:t>
      </w:r>
      <w:r w:rsidR="003B3129" w:rsidRPr="009257E7">
        <w:t>s</w:t>
      </w:r>
      <w:r w:rsidRPr="009257E7">
        <w:t>us decisiones sobre el diseño del proyecto? ¿Cómo puede maximizar desde el inicio la s</w:t>
      </w:r>
      <w:r w:rsidR="003B3129" w:rsidRPr="009257E7">
        <w:t>u</w:t>
      </w:r>
      <w:r w:rsidRPr="009257E7">
        <w:t>sten</w:t>
      </w:r>
      <w:r w:rsidR="003B3129" w:rsidRPr="009257E7">
        <w:t>ta</w:t>
      </w:r>
      <w:r w:rsidRPr="009257E7">
        <w:t xml:space="preserve">bilidad de </w:t>
      </w:r>
      <w:r w:rsidR="003B3129" w:rsidRPr="009257E7">
        <w:t>s</w:t>
      </w:r>
      <w:r w:rsidRPr="009257E7">
        <w:t xml:space="preserve">u proyecto para perseguir tanto la mejora como la transformación? ¿Cómo puede el trabajo que realiza hoy servir de andamiaje para el trabajo que debería y deberá </w:t>
      </w:r>
      <w:r w:rsidRPr="009257E7">
        <w:lastRenderedPageBreak/>
        <w:t>realizarse mañana? Revis</w:t>
      </w:r>
      <w:r w:rsidR="003B3129" w:rsidRPr="009257E7">
        <w:t>e</w:t>
      </w:r>
      <w:r w:rsidRPr="009257E7">
        <w:t xml:space="preserve"> el trabajo realizado hasta e</w:t>
      </w:r>
      <w:r w:rsidR="003B3129" w:rsidRPr="009257E7">
        <w:t>l</w:t>
      </w:r>
      <w:r w:rsidRPr="009257E7">
        <w:t xml:space="preserve"> momento y luego refínalo o amplí</w:t>
      </w:r>
      <w:r w:rsidR="003B3129" w:rsidRPr="009257E7">
        <w:t>e</w:t>
      </w:r>
      <w:r w:rsidRPr="009257E7">
        <w:t xml:space="preserve">lo según sea necesario. </w:t>
      </w:r>
    </w:p>
    <w:p w14:paraId="034F2A3B" w14:textId="77777777" w:rsidR="00BC51A6" w:rsidRPr="009257E7" w:rsidRDefault="00BC51A6" w:rsidP="003B3129">
      <w:pPr>
        <w:pStyle w:val="NormalWeb"/>
        <w:jc w:val="center"/>
      </w:pPr>
      <w:r w:rsidRPr="009257E7">
        <w:t>———————</w:t>
      </w:r>
    </w:p>
    <w:p w14:paraId="0F13CD23" w14:textId="3123F2DE" w:rsidR="00BC51A6" w:rsidRPr="009257E7" w:rsidRDefault="00BC51A6" w:rsidP="003B3129">
      <w:pPr>
        <w:pStyle w:val="NormalWeb"/>
        <w:ind w:firstLine="720"/>
      </w:pPr>
      <w:r w:rsidRPr="009257E7">
        <w:t xml:space="preserve">La plantilla anterior constituye apenas un punto de partida para desarrollar </w:t>
      </w:r>
      <w:r w:rsidR="003B3129" w:rsidRPr="009257E7">
        <w:t>s</w:t>
      </w:r>
      <w:r w:rsidRPr="009257E7">
        <w:t xml:space="preserve">u capacidad de diseñar e implementar proyectos. Por supuesto, diseñar y construir un proyecto serio de abogacía —y mucho más un trabajo soñado y un equipo soñado— requiere tiempo y herramientas conceptuales, materiales y prácticas. </w:t>
      </w:r>
      <w:r w:rsidR="003B3129" w:rsidRPr="009257E7">
        <w:t>L</w:t>
      </w:r>
      <w:r w:rsidRPr="009257E7">
        <w:t>os detalles siempre dependerán del contexto.</w:t>
      </w:r>
    </w:p>
    <w:p w14:paraId="56F9EBAD" w14:textId="74AFC819" w:rsidR="00BC51A6" w:rsidRPr="009257E7" w:rsidRDefault="00BC51A6" w:rsidP="003B3129">
      <w:pPr>
        <w:pStyle w:val="NormalWeb"/>
        <w:ind w:firstLine="720"/>
      </w:pPr>
      <w:r w:rsidRPr="009257E7">
        <w:t xml:space="preserve">Pero todes tenemos que comenzar en algún lugar y, por lo general, debemos partir del lugar en el que nos encontramos actualmente y de lo que sabemos en este momento. El conocimiento sobre la injusticia sistémica al que </w:t>
      </w:r>
      <w:r w:rsidR="003B3129" w:rsidRPr="009257E7">
        <w:t>usted</w:t>
      </w:r>
      <w:r w:rsidRPr="009257E7">
        <w:t xml:space="preserve"> —u otras personas— tiene acceso gracias a </w:t>
      </w:r>
      <w:r w:rsidR="003B3129" w:rsidRPr="009257E7">
        <w:t>s</w:t>
      </w:r>
      <w:r w:rsidRPr="009257E7">
        <w:t xml:space="preserve">u propia experiencia y a la de quienes </w:t>
      </w:r>
      <w:r w:rsidR="003B3129" w:rsidRPr="009257E7">
        <w:t>l</w:t>
      </w:r>
      <w:r w:rsidRPr="009257E7">
        <w:t xml:space="preserve">e rodean es necesariamente incompleto. Esta limitación se aplica a todas las personas, incluso a quienes están abajo y poseen conocimiento personal de la injusticia sistémica. Para complementar estas fuentes directas de reflexión y conocimiento, en los capítulos siguientes presentamos herramientas concretas de “diagnóstico” y de “estrategia” para la abogacía. Por ahora, esta plantilla para el desarrollo de proyectos ofrece un resumen y un punto de partida práctico para concebir un proyecto de abogacía con objetivos de tres niveles —o incluso una carrera— </w:t>
      </w:r>
      <w:r w:rsidR="003B3129" w:rsidRPr="009257E7">
        <w:t>en</w:t>
      </w:r>
      <w:r w:rsidRPr="009257E7">
        <w:t xml:space="preserve"> la abogacía sistémica. Es importante destacar que los derechos jurídicos suelen ser </w:t>
      </w:r>
      <w:r w:rsidR="003B3129" w:rsidRPr="009257E7">
        <w:t>relev</w:t>
      </w:r>
      <w:r w:rsidRPr="009257E7">
        <w:t xml:space="preserve">antes, pero normalmente no son suficientes para alcanzar la justicia sistémica. </w:t>
      </w:r>
    </w:p>
    <w:p w14:paraId="08CBB1ED" w14:textId="619BBA67" w:rsidR="003B3129" w:rsidRPr="009257E7" w:rsidRDefault="00CC6DC7" w:rsidP="001213D6">
      <w:pPr>
        <w:spacing w:after="0" w:line="240" w:lineRule="auto"/>
        <w:rPr>
          <w:rFonts w:ascii="Times New Roman" w:eastAsia="Times New Roman" w:hAnsi="Times New Roman" w:cs="Times New Roman"/>
          <w:b/>
          <w:bCs/>
          <w:kern w:val="0"/>
          <w:lang w:val="es-ES"/>
          <w14:ligatures w14:val="none"/>
        </w:rPr>
      </w:pPr>
      <w:r w:rsidRPr="009257E7">
        <w:rPr>
          <w:rFonts w:ascii="Times New Roman" w:eastAsia="Times New Roman" w:hAnsi="Times New Roman" w:cs="Times New Roman"/>
          <w:b/>
          <w:bCs/>
          <w:kern w:val="0"/>
          <w:lang w:val="es-ES"/>
          <w14:ligatures w14:val="none"/>
        </w:rPr>
        <w:t>7.4 Los derechos son importantes para la resistencia o la mejora, pero insuficientes para la transformación</w:t>
      </w:r>
    </w:p>
    <w:p w14:paraId="43FF6F7C" w14:textId="4E2C255F" w:rsidR="003B3129" w:rsidRPr="009257E7" w:rsidRDefault="003B3129" w:rsidP="003B3129">
      <w:pPr>
        <w:pStyle w:val="NormalWeb"/>
        <w:ind w:firstLine="720"/>
      </w:pPr>
      <w:r w:rsidRPr="009257E7">
        <w:t xml:space="preserve">Hemos señalado que el derecho es necesario, pero no suficiente, para superar el Desafío Crítico de utilizar el derecho en favor de la justicia igualitaria. Esta dualidad sistémica hace que los derechos jurídicos formales, aunque importantes, resulten conceptos controvertidos y susceptibles de manipulación. Ya sea en las luchas por los derechos civiles, la igualdad matrimonial, la justicia reproductiva, la justicia ambiental o la identidad transgénero, los derechos formales pueden parecer una cosa sobre el papel y resultar muy distintos en la práctica. Además, el reconocimiento formal de los derechos permite a las élites proclamar que “el problema está resuelto” y decirles a los grupos desde abajo que “lo superen”. Aunque las palabras escritas en el papel no cambian los hechos sobre el terreno, sí pueden utilizarse para disipar el impulso del progreso. El reconocimiento formal de los derechos jurídicos puede ser apenas un paso hacia su preservación mediante la transformación. </w:t>
      </w:r>
    </w:p>
    <w:p w14:paraId="3964C2B6" w14:textId="5E82A1A8" w:rsidR="003B3129" w:rsidRPr="009257E7" w:rsidRDefault="003B3129" w:rsidP="003B3129">
      <w:pPr>
        <w:pStyle w:val="NormalWeb"/>
        <w:ind w:firstLine="720"/>
      </w:pPr>
      <w:r w:rsidRPr="009257E7">
        <w:t xml:space="preserve">Sin embargo, la propia noción o el reconocimiento de los derechos proporciona, al mismo tiempo, un vocabulario para expresar resistencia y exigir justicia, como subrayó la académica de la teoría crítica de la raza, Patricia Williams, desde una perspectiva negra: </w:t>
      </w:r>
    </w:p>
    <w:p w14:paraId="698E91B6" w14:textId="3F1DB649" w:rsidR="003B3129" w:rsidRPr="009257E7" w:rsidRDefault="003B3129" w:rsidP="003B3129">
      <w:pPr>
        <w:pStyle w:val="NormalWeb"/>
        <w:ind w:left="720"/>
      </w:pPr>
      <w:r w:rsidRPr="009257E7">
        <w:t>Aunque los derechos quizá no sean fines en sí mismos, … [e]l vocabulario de los derechos se dirige a una estructura de poder que valora la apariencia de estabilidad y de la cual debe provenir el cambio social para mejorar las condiciones —ya sea que ese cambio se conceda, se tome o se introduzca a escondidas—…</w:t>
      </w:r>
    </w:p>
    <w:p w14:paraId="1D78EBE7" w14:textId="1E41F8D0" w:rsidR="003B3129" w:rsidRPr="009257E7" w:rsidRDefault="003B3129" w:rsidP="003B3129">
      <w:pPr>
        <w:pStyle w:val="NormalWeb"/>
        <w:ind w:firstLine="720"/>
      </w:pPr>
      <w:r w:rsidRPr="009257E7">
        <w:lastRenderedPageBreak/>
        <w:t>Para las personas negras, por tanto, la lucha no consiste en deconstruir los derechos…</w:t>
      </w:r>
    </w:p>
    <w:p w14:paraId="42FECF44" w14:textId="7E3DA6CC" w:rsidR="003B3129" w:rsidRPr="009257E7" w:rsidRDefault="003B3129" w:rsidP="003B3129">
      <w:pPr>
        <w:pStyle w:val="NormalWeb"/>
        <w:ind w:left="720"/>
      </w:pPr>
      <w:r w:rsidRPr="009257E7">
        <w:t>Para las personas negras, la posibilidad de alcanzar la plena vigencia de los derechos conforme a la ley siempre ha sido una fuente de esperanza intensamente motivadora, casi religiosa.</w:t>
      </w:r>
    </w:p>
    <w:p w14:paraId="44622F15" w14:textId="2EF53E73" w:rsidR="003B3129" w:rsidRPr="009257E7" w:rsidRDefault="003B3129" w:rsidP="003B3129">
      <w:pPr>
        <w:pStyle w:val="NormalWeb"/>
        <w:ind w:left="720"/>
      </w:pPr>
      <w:r w:rsidRPr="009257E7">
        <w:t xml:space="preserve">… [L]os derechos son para el derecho lo que los compromisos conscientes son para la psique. Los peores momentos históricos de este país no pueden atribuirse a la </w:t>
      </w:r>
      <w:r w:rsidRPr="009257E7">
        <w:rPr>
          <w:rStyle w:val="Emphasis"/>
        </w:rPr>
        <w:t>reivindicación</w:t>
      </w:r>
      <w:r w:rsidRPr="009257E7">
        <w:t xml:space="preserve"> de derechos, sino a la falta de </w:t>
      </w:r>
      <w:r w:rsidRPr="009257E7">
        <w:rPr>
          <w:rStyle w:val="Emphasis"/>
        </w:rPr>
        <w:t>compromiso</w:t>
      </w:r>
      <w:r w:rsidRPr="009257E7">
        <w:t xml:space="preserve"> con los derechos. Desde esta perspectiva, [...] el conjunto del derecho privado representado por el contrato, incluidos los contratos de esclavitud, es problemático no solo porque confiere derechos a determinadas partes, sino también porque niega por completo cualquier derecho al objeto del contrato.</w:t>
      </w:r>
    </w:p>
    <w:p w14:paraId="05B50822" w14:textId="4A98D453" w:rsidR="003B3129" w:rsidRPr="009257E7" w:rsidRDefault="003B3129" w:rsidP="003B3129">
      <w:pPr>
        <w:pStyle w:val="NormalWeb"/>
        <w:ind w:left="720"/>
      </w:pPr>
      <w:r w:rsidRPr="009257E7">
        <w:t xml:space="preserve">… Lo cierto es que cada vez que surge un movimiento para conferir derechos a alguna nueva “entidad”, la propuesta suena inevitablemente extraña, aterradora o ridícula. Esto se debe, en parte, a que hasta que aquello que carece de derechos recibe derechos propios, no podemos verlo sino como una </w:t>
      </w:r>
      <w:r w:rsidRPr="009257E7">
        <w:rPr>
          <w:rStyle w:val="Emphasis"/>
        </w:rPr>
        <w:t>cosa</w:t>
      </w:r>
      <w:r w:rsidRPr="009257E7">
        <w:t xml:space="preserve"> para el uso de “nosotros”, quienes en ese momento poseemos derechos.</w:t>
      </w:r>
    </w:p>
    <w:p w14:paraId="0D05A91E" w14:textId="2FD04102" w:rsidR="003B3129" w:rsidRPr="009257E7" w:rsidRDefault="003B3129" w:rsidP="003B3129">
      <w:pPr>
        <w:pStyle w:val="NormalWeb"/>
        <w:ind w:left="720"/>
      </w:pPr>
      <w:r w:rsidRPr="009257E7">
        <w:t>… Es cierto que las personas negras nunca creyeron plenamente en los derechos; pero también es cierto que creyeron en ellos con tanta intensidad y firmeza que les dimos vida allí donde antes no la había.</w:t>
      </w:r>
      <w:r w:rsidRPr="009257E7">
        <w:rPr>
          <w:rStyle w:val="FootnoteReference"/>
        </w:rPr>
        <w:footnoteReference w:id="258"/>
      </w:r>
    </w:p>
    <w:p w14:paraId="2D35902F" w14:textId="69C4F53D" w:rsidR="003B3129" w:rsidRPr="009257E7" w:rsidRDefault="003B3129" w:rsidP="003B3129">
      <w:pPr>
        <w:pStyle w:val="NormalWeb"/>
        <w:ind w:firstLine="720"/>
      </w:pPr>
      <w:r w:rsidRPr="009257E7">
        <w:t xml:space="preserve">Al igual que la ley, los derechos pueden ser importantes o no, según el contexto. En su mejor expresión, proporcionan una plataforma para formular reclamaciones destinadas a prevenir, limitar y reparar la injusticia sistémica. En el diseño de su proyecto, los derechos jurídicos formales pueden ocupar un lugar central o no en su abogacía. Además, su proyecto de abogacía puede tener alcance local, regional, nacional y/o internacional. </w:t>
      </w:r>
    </w:p>
    <w:p w14:paraId="06E68A2C" w14:textId="77777777" w:rsidR="000859AB" w:rsidRPr="009257E7" w:rsidRDefault="00CC6DC7" w:rsidP="000859AB">
      <w:pPr>
        <w:spacing w:after="0" w:line="240" w:lineRule="auto"/>
        <w:rPr>
          <w:rFonts w:ascii="Times New Roman" w:eastAsia="Times New Roman" w:hAnsi="Times New Roman" w:cs="Times New Roman"/>
          <w:b/>
          <w:bCs/>
          <w:kern w:val="0"/>
          <w:lang w:val="es-ES"/>
          <w14:ligatures w14:val="none"/>
        </w:rPr>
      </w:pPr>
      <w:r w:rsidRPr="009257E7">
        <w:rPr>
          <w:rFonts w:ascii="Times New Roman" w:eastAsia="Times New Roman" w:hAnsi="Times New Roman" w:cs="Times New Roman"/>
          <w:b/>
          <w:bCs/>
          <w:kern w:val="0"/>
          <w:lang w:val="es-ES"/>
          <w14:ligatures w14:val="none"/>
        </w:rPr>
        <w:t>7.5 Situar los derechos humanos internacionales en la abogacía sistémica local</w:t>
      </w:r>
      <w:r w:rsidRPr="009257E7">
        <w:rPr>
          <w:rFonts w:ascii="Times New Roman" w:eastAsia="Times New Roman" w:hAnsi="Times New Roman" w:cs="Times New Roman"/>
          <w:b/>
          <w:bCs/>
          <w:kern w:val="0"/>
          <w:lang w:val="es-ES"/>
          <w14:ligatures w14:val="none"/>
        </w:rPr>
        <w:br/>
      </w:r>
    </w:p>
    <w:p w14:paraId="13284046" w14:textId="2055DE89" w:rsidR="000859AB" w:rsidRPr="009257E7" w:rsidRDefault="000859AB" w:rsidP="000859AB">
      <w:pPr>
        <w:spacing w:after="0" w:line="240" w:lineRule="auto"/>
        <w:ind w:firstLine="720"/>
        <w:rPr>
          <w:rFonts w:ascii="Times New Roman" w:eastAsia="Times New Roman" w:hAnsi="Times New Roman" w:cs="Times New Roman"/>
          <w:b/>
          <w:bCs/>
          <w:kern w:val="0"/>
          <w:lang w:val="es-ES"/>
          <w14:ligatures w14:val="none"/>
        </w:rPr>
      </w:pPr>
      <w:r w:rsidRPr="009257E7">
        <w:rPr>
          <w:rFonts w:ascii="Times New Roman" w:eastAsia="Times New Roman" w:hAnsi="Times New Roman" w:cs="Times New Roman"/>
          <w:kern w:val="0"/>
          <w14:ligatures w14:val="none"/>
        </w:rPr>
        <w:t xml:space="preserve">La experiencia histórica de Estados Unidos ha llevado a muchos analistas y abogades a mostrarse escépticos ante las estrategias que se concentran principalmente, o de manera exclusiva, en obtener nuevos derechos civiles sobre el papel. En respuesta, buscan formas más profundas de garantizar que mejoren las condiciones de vida de quienes se encuentran en la base del orden social y económico. Estos esfuerzos incluyen derechos humanos o normas derivadas del derecho internacional, así como otras provenientes de distintas fuentes del derecho. En particular, los derechos humanos pueden ser fundamentales en ámbitos donde ni siquiera existen derechos civiles internos. Les abogades procuran “traer los derechos humanos a casa” utilizándolos como fundamento para reclamaciones de justicia o luchas grupales que, de otro modo, quizá no podrían plantear en absoluto. </w:t>
      </w:r>
    </w:p>
    <w:p w14:paraId="0A367627" w14:textId="0AA7C7D0" w:rsidR="000859AB" w:rsidRPr="009257E7" w:rsidRDefault="000859AB" w:rsidP="000859AB">
      <w:pPr>
        <w:spacing w:before="100" w:beforeAutospacing="1" w:after="100" w:afterAutospacing="1" w:line="240" w:lineRule="auto"/>
        <w:ind w:firstLine="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lastRenderedPageBreak/>
        <w:t>Los derechos humanos surgieron como un elemento del derecho y de las relaciones internacionales a raíz de la experiencia de la Segunda Guerra Mundial, marcada por el genocidio y el Holocausto. Los Aliados libraron esa guerra como una lucha democrática en defensa de la libertad frente a una tiranía basada en la identidad grupal, representada por la ideología de la supremacía aria propagada por el Estado nazi. En 1946, después de la guerra, las Naciones Unidas encargaron a una Comisión de Derechos Humanos que sintetizara los derechos básicos “universales” de todos los seres humanos a partir de una humanidad y una experiencia compartidas. Bajo el liderazgo de Eleanor Roosevelt, este grupo examinó tradiciones, costumbres y leyes de sociedades de todo el mundo y de los siglos pasados para identificar aquellas que aparecían de manera recurrente. El resultado fue la Declaración Universal de Derechos Humanos, adoptada por la Asamblea General de las Naciones Unidas el 10 de diciembre de 1948.</w:t>
      </w:r>
      <w:r w:rsidRPr="009257E7">
        <w:rPr>
          <w:rStyle w:val="FootnoteReference"/>
          <w:rFonts w:ascii="Times New Roman" w:eastAsia="Times New Roman" w:hAnsi="Times New Roman" w:cs="Times New Roman"/>
          <w:kern w:val="0"/>
          <w14:ligatures w14:val="none"/>
        </w:rPr>
        <w:footnoteReference w:id="259"/>
      </w:r>
    </w:p>
    <w:p w14:paraId="665F7CE6" w14:textId="5710FCC2" w:rsidR="000859AB" w:rsidRPr="009257E7" w:rsidRDefault="000859AB" w:rsidP="000859AB">
      <w:pPr>
        <w:spacing w:before="100" w:beforeAutospacing="1" w:after="100" w:afterAutospacing="1" w:line="240" w:lineRule="auto"/>
        <w:ind w:firstLine="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 xml:space="preserve">La Declaración Universal establece tres “generaciones” de derechos humanos internacionales, “interdependientes e indivisibles”, que todos los gobiernos deberían respetar. La primera generación se refiere a derechos individuales “civiles y políticos”, más conocidos en las sociedades occidentales, como los derechos a la libertad de expresión, de religión y de asociación. La segunda generación se refiere a derechos individuales “sociales y económicos”, más conocidos en las culturas y sociedades socialistas, como los derechos al trabajo, a la educación y a la salud. La tercera generación aborda derechos colectivos que todavía son poco familiares para la mayoría de los sistemas jurídicos, entre ellos el derecho a vivir en un entorno pacífico y libre de sustancias tóxicas. </w:t>
      </w:r>
    </w:p>
    <w:p w14:paraId="78476F60" w14:textId="6FC529C6" w:rsidR="000859AB" w:rsidRPr="009257E7" w:rsidRDefault="000859AB" w:rsidP="000859AB">
      <w:pPr>
        <w:spacing w:before="100" w:beforeAutospacing="1" w:after="100" w:afterAutospacing="1" w:line="240" w:lineRule="auto"/>
        <w:ind w:firstLine="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 xml:space="preserve">Tal como fueron adoptados por las Naciones Unidas, los derechos humanos no son automáticamente exigibles: no constituyen un derecho vinculante a menos que los incorporen países específicos a su legislación. En lugar de tratarlos como interdependientes e indivisibles, muchos países escogen qué derechos incorporar, si es que incorporan alguno; incluso entonces, con frecuencia formulan “reservas” destinadas a limitar la exigibilidad interna de esos derechos y a debilitarlos tanto como sea posible. Además, cada país conserva la libertad de interpretar internamente el significado de los derechos humanos. Por ello, al igual que ocurre con todos los derechos, el sabotaje judicial o la falta de aplicación sistémica siguen siendo posibilidades constantes. </w:t>
      </w:r>
    </w:p>
    <w:p w14:paraId="67889E53" w14:textId="47A94A9F" w:rsidR="000859AB" w:rsidRPr="009257E7" w:rsidRDefault="000859AB" w:rsidP="000859AB">
      <w:pPr>
        <w:spacing w:before="100" w:beforeAutospacing="1" w:after="100" w:afterAutospacing="1" w:line="240" w:lineRule="auto"/>
        <w:ind w:firstLine="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 xml:space="preserve">Desde el comienzo, los derechos humanos fueron criticados por considerarse proyecciones de valores occidentales judeocristianos. Una razón de esta crítica es que muchos pueblos o países no occidentales no estaban representados en las Naciones Unidas en ese momento, incluidos muchos que se encontraban bajo dominio colonial occidental y, por tanto, no pudieron participar en el proceso de redacción y ratificación. Una segunda razón es que la primera generación de derechos se concentra en los derechos más conocidos y mejor protegidos en los países occidentales. Ambas críticas son históricamente correctas como cuestiones de hecho y continúan siendo objeto de debate. </w:t>
      </w:r>
    </w:p>
    <w:p w14:paraId="7F2EB7EE" w14:textId="051BA488" w:rsidR="000859AB" w:rsidRPr="009257E7" w:rsidRDefault="000859AB" w:rsidP="000859AB">
      <w:pPr>
        <w:spacing w:before="100" w:beforeAutospacing="1" w:after="100" w:afterAutospacing="1" w:line="240" w:lineRule="auto"/>
        <w:ind w:firstLine="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 xml:space="preserve">No obstante, desde 1948, diversos grupos y les abogades han utilizado en ocasiones los derechos humanos con éxito como plataformas para reclamaciones y movimientos por la justicia. </w:t>
      </w:r>
      <w:r w:rsidRPr="009257E7">
        <w:rPr>
          <w:rFonts w:ascii="Times New Roman" w:eastAsia="Times New Roman" w:hAnsi="Times New Roman" w:cs="Times New Roman"/>
          <w:kern w:val="0"/>
          <w14:ligatures w14:val="none"/>
        </w:rPr>
        <w:lastRenderedPageBreak/>
        <w:t xml:space="preserve">Los derechos humanos, al igual que todos los derechos formales, pueden ayudar a iniciar y sostener la resistencia frente a la injusticia. Proporcionan un vocabulario para exigir justicia y pueden contribuir a resolver problemas sociales persistentes. O quizá no. Al igual que los derechos civiles, son importantes, pero insuficientes. La pregunta contextual para cada abogade es cuál es la mejor manera de incorporar los derechos humanos en el ámbito nacional, en una estrategia local más amplia de tres niveles orientada a lograr justicia vivida por quienes están abajo. En ocasiones, este análisis conducirá a dar mayor énfasis a los derechos humanos, especialmente cuando no existan derechos internos similares que puedan hacerse valer o de los que se pueda aprovechar. En otras ocasiones, los derechos humanos desempeñarán un papel secundario. Al igual que la ley y los derechos en general, los derechos humanos son una herramienta que les abogades sistémiques utilizan, según sea necesario, para lograr progreso en los tres niveles. </w:t>
      </w:r>
    </w:p>
    <w:p w14:paraId="3E53273D" w14:textId="3F1EFF7F" w:rsidR="000859AB" w:rsidRPr="009257E7" w:rsidRDefault="000859AB" w:rsidP="000859AB">
      <w:pPr>
        <w:spacing w:before="100" w:beforeAutospacing="1" w:after="100" w:afterAutospacing="1" w:line="240" w:lineRule="auto"/>
        <w:ind w:firstLine="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 xml:space="preserve">Al igual que ocurre con todos los aspectos del diseño de un proyecto de abogacía, el papel de los derechos —tanto civiles como humanos— debe derivarse del conocimiento crítico y del análisis contextualizado. Los derechos humanos, como otras herramientas del oficio, deben utilizarse de manera contextual y en conjunto con otras herramientas del conjunto crítico para complementar las fuentes nacionales u otras fuentes del derecho, tanto “en casa” como en el extranjero. Debido a que los derechos humanos pueden invalidar o limitar políticas locales o nacionales opresivas, su aplicación puede generar tensiones con otras normas jurídicas nacionales o internacionales. Y debido a que en la mayoría de los países no se han establecido mecanismos confiables de aplicación, en este tipo de casos los gobiernos pueden violar los derechos humanos de su propia población simplemente ignorando sus obligaciones en materia de derechos humanos. </w:t>
      </w:r>
    </w:p>
    <w:p w14:paraId="171519B7" w14:textId="5E45E1BA" w:rsidR="000859AB" w:rsidRPr="009257E7" w:rsidRDefault="000859AB" w:rsidP="000859AB">
      <w:pPr>
        <w:spacing w:before="100" w:beforeAutospacing="1" w:after="100" w:afterAutospacing="1" w:line="240" w:lineRule="auto"/>
        <w:ind w:firstLine="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La migración ilustra estas tensiones y deficiencias. La académica jurídica, Raquel Aldana, ha examinado por qué los dos países que reciben el mayor número de migrantes en las Américas —Estados Unidos y Canadá— no han ratificado la Convención Internacional sobre la Protección de los Derechos de Todos los Trabajadores Migratorios y de sus Familiares (ICMW, por sus siglas en inglés - International Convention on the Protection of Migrant Workers and Members of Their Families):</w:t>
      </w:r>
    </w:p>
    <w:p w14:paraId="1F88510E" w14:textId="10315DBD" w:rsidR="000859AB" w:rsidRPr="009257E7" w:rsidRDefault="000859AB" w:rsidP="000859AB">
      <w:pPr>
        <w:spacing w:before="100" w:beforeAutospacing="1" w:after="100" w:afterAutospacing="1" w:line="240" w:lineRule="auto"/>
        <w:ind w:left="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 xml:space="preserve">La ICMW hace al menos dos cosas que responden directamente a las preocupaciones de los países receptores. En primer lugar, el tratado no codifica un régimen transnacional de libertad de movimiento. Por el contrario, el artículo 34 impone a les trabajadores migratorios el deber de cumplir con todas las leyes del país receptor, mientras que el artículo 35 establece expresamente que ninguno de los derechos contenidos en la ICMW debe interpretarse como un derecho a la regularización de trabajadores en situación irregular [indocumentada], ni debe menoscabar de manera alguna los esfuerzos del derecho internacional dirigidos a controlar los flujos migratorios. [...] [Por tanto], no existe [...] un derecho a entrar en el territorio de otro Estado o a permanecer en él sin el consentimiento de la autoridad soberana. [...] En segundo lugar, la ICMW se limita a proteger a un subgrupo de migrantes: les trabajadores migratorios y sus familiares, no a todas las personas migrantes. Además, el concepto de familiares se define de manera restrictiva e incluye únicamente los matrimonios reconocidos legalmente y les hijes dependientes (artículo 4). [...] [E]s poco probable que las personas mayores, les menores </w:t>
      </w:r>
      <w:r w:rsidRPr="009257E7">
        <w:rPr>
          <w:rFonts w:ascii="Times New Roman" w:eastAsia="Times New Roman" w:hAnsi="Times New Roman" w:cs="Times New Roman"/>
          <w:kern w:val="0"/>
          <w14:ligatures w14:val="none"/>
        </w:rPr>
        <w:lastRenderedPageBreak/>
        <w:t>no acompañados y otras personas incapaces de trabajar [...] estén protegids por la ICMW. Esta exclusión resulta perfectamente comprensible desde la perspectiva de los países receptores, cuyo principal interés se centra en la migración de trabajadores considerados deseables que contribuirán a la economía mediante su trabajo, su consumo y sus impuestos. [...]</w:t>
      </w:r>
    </w:p>
    <w:p w14:paraId="4B9A5C2E" w14:textId="007A10ED" w:rsidR="000859AB" w:rsidRPr="009257E7" w:rsidRDefault="000859AB" w:rsidP="00E7507A">
      <w:pPr>
        <w:spacing w:before="100" w:beforeAutospacing="1" w:after="100" w:afterAutospacing="1" w:line="240" w:lineRule="auto"/>
        <w:ind w:left="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 xml:space="preserve">A pesar de que la ICMW respeta </w:t>
      </w:r>
      <w:r w:rsidR="00E7507A" w:rsidRPr="009257E7">
        <w:rPr>
          <w:rFonts w:ascii="Times New Roman" w:eastAsia="Times New Roman" w:hAnsi="Times New Roman" w:cs="Times New Roman"/>
          <w:kern w:val="0"/>
          <w14:ligatures w14:val="none"/>
        </w:rPr>
        <w:t xml:space="preserve">las </w:t>
      </w:r>
      <w:r w:rsidRPr="009257E7">
        <w:rPr>
          <w:rFonts w:ascii="Times New Roman" w:eastAsia="Times New Roman" w:hAnsi="Times New Roman" w:cs="Times New Roman"/>
          <w:kern w:val="0"/>
          <w14:ligatures w14:val="none"/>
        </w:rPr>
        <w:t>preocupaciones fundamentales de los países receptores, casi todos los derechos contenidos en el tratado se aplican a tod</w:t>
      </w:r>
      <w:r w:rsidR="00E7507A" w:rsidRPr="009257E7">
        <w:rPr>
          <w:rFonts w:ascii="Times New Roman" w:eastAsia="Times New Roman" w:hAnsi="Times New Roman" w:cs="Times New Roman"/>
          <w:kern w:val="0"/>
          <w14:ligatures w14:val="none"/>
        </w:rPr>
        <w:t>o</w:t>
      </w:r>
      <w:r w:rsidRPr="009257E7">
        <w:rPr>
          <w:rFonts w:ascii="Times New Roman" w:eastAsia="Times New Roman" w:hAnsi="Times New Roman" w:cs="Times New Roman"/>
          <w:kern w:val="0"/>
          <w14:ligatures w14:val="none"/>
        </w:rPr>
        <w:t>s l</w:t>
      </w:r>
      <w:r w:rsidR="00E7507A" w:rsidRPr="009257E7">
        <w:rPr>
          <w:rFonts w:ascii="Times New Roman" w:eastAsia="Times New Roman" w:hAnsi="Times New Roman" w:cs="Times New Roman"/>
          <w:kern w:val="0"/>
          <w14:ligatures w14:val="none"/>
        </w:rPr>
        <w:t>o</w:t>
      </w:r>
      <w:r w:rsidRPr="009257E7">
        <w:rPr>
          <w:rFonts w:ascii="Times New Roman" w:eastAsia="Times New Roman" w:hAnsi="Times New Roman" w:cs="Times New Roman"/>
          <w:kern w:val="0"/>
          <w14:ligatures w14:val="none"/>
        </w:rPr>
        <w:t xml:space="preserve">s trabajadores migratorios y a sus familiares, independientemente de su estatus [documentado]. Esta posición del tratado se aparta significativamente de las preferencias de los países receptores, que habrían </w:t>
      </w:r>
      <w:r w:rsidR="00E7507A" w:rsidRPr="009257E7">
        <w:rPr>
          <w:rFonts w:ascii="Times New Roman" w:eastAsia="Times New Roman" w:hAnsi="Times New Roman" w:cs="Times New Roman"/>
          <w:kern w:val="0"/>
          <w14:ligatures w14:val="none"/>
        </w:rPr>
        <w:t>pref</w:t>
      </w:r>
      <w:r w:rsidRPr="009257E7">
        <w:rPr>
          <w:rFonts w:ascii="Times New Roman" w:eastAsia="Times New Roman" w:hAnsi="Times New Roman" w:cs="Times New Roman"/>
          <w:kern w:val="0"/>
          <w14:ligatures w14:val="none"/>
        </w:rPr>
        <w:t>erido reservar la mayoría de los derechos del tratado exclusivamente para trabajadores en situación regular [documentada]. [...] Estos derechos incluyen [...] la prohibición de la tortura y otros tratos o penas crueles, inhumanos o degradantes (artículo 10); la protección contra la esclavitud o el trabajo forzoso [...] (artículo 11); la libertad de pensamiento y religión (artículo 12); la libertad de expresión (artículo 13) [...] y el derecho a sindicalizarse (artículo 26).</w:t>
      </w:r>
      <w:r w:rsidR="00E7507A" w:rsidRPr="009257E7">
        <w:rPr>
          <w:rStyle w:val="FootnoteReference"/>
          <w:rFonts w:ascii="Times New Roman" w:eastAsia="Times New Roman" w:hAnsi="Times New Roman" w:cs="Times New Roman"/>
          <w:kern w:val="0"/>
          <w14:ligatures w14:val="none"/>
        </w:rPr>
        <w:footnoteReference w:id="260"/>
      </w:r>
    </w:p>
    <w:p w14:paraId="7BCF1F3C" w14:textId="20777770" w:rsidR="000859AB" w:rsidRPr="009257E7" w:rsidRDefault="000859AB" w:rsidP="00E7507A">
      <w:pPr>
        <w:spacing w:before="100" w:beforeAutospacing="1" w:after="100" w:afterAutospacing="1" w:line="240" w:lineRule="auto"/>
        <w:ind w:firstLine="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 xml:space="preserve">Aldana </w:t>
      </w:r>
      <w:r w:rsidR="00E7507A" w:rsidRPr="009257E7">
        <w:rPr>
          <w:rFonts w:ascii="Times New Roman" w:eastAsia="Times New Roman" w:hAnsi="Times New Roman" w:cs="Times New Roman"/>
          <w:kern w:val="0"/>
          <w14:ligatures w14:val="none"/>
        </w:rPr>
        <w:t>coloca</w:t>
      </w:r>
      <w:r w:rsidRPr="009257E7">
        <w:rPr>
          <w:rFonts w:ascii="Times New Roman" w:eastAsia="Times New Roman" w:hAnsi="Times New Roman" w:cs="Times New Roman"/>
          <w:kern w:val="0"/>
          <w14:ligatures w14:val="none"/>
        </w:rPr>
        <w:t xml:space="preserve"> de relieve las concesiones incorporadas en las normas de derechos humanos que permiten mantener intactos </w:t>
      </w:r>
      <w:r w:rsidR="00E7507A" w:rsidRPr="009257E7">
        <w:rPr>
          <w:rFonts w:ascii="Times New Roman" w:eastAsia="Times New Roman" w:hAnsi="Times New Roman" w:cs="Times New Roman"/>
          <w:kern w:val="0"/>
          <w14:ligatures w14:val="none"/>
        </w:rPr>
        <w:t xml:space="preserve">los </w:t>
      </w:r>
      <w:r w:rsidRPr="009257E7">
        <w:rPr>
          <w:rFonts w:ascii="Times New Roman" w:eastAsia="Times New Roman" w:hAnsi="Times New Roman" w:cs="Times New Roman"/>
          <w:kern w:val="0"/>
          <w14:ligatures w14:val="none"/>
        </w:rPr>
        <w:t xml:space="preserve">sistemas que producen violencia contra determinados grupos, en este caso, personas inmigrantes indocumentadas en las zonas fronterizas y más allá de ellas. Aunque se mantiene intacta su soberanía para hacer cumplir las normas en sus fronteras y </w:t>
      </w:r>
      <w:r w:rsidR="00E7507A" w:rsidRPr="009257E7">
        <w:rPr>
          <w:rFonts w:ascii="Times New Roman" w:eastAsia="Times New Roman" w:hAnsi="Times New Roman" w:cs="Times New Roman"/>
          <w:kern w:val="0"/>
          <w14:ligatures w14:val="none"/>
        </w:rPr>
        <w:t xml:space="preserve">en sus </w:t>
      </w:r>
      <w:r w:rsidRPr="009257E7">
        <w:rPr>
          <w:rFonts w:ascii="Times New Roman" w:eastAsia="Times New Roman" w:hAnsi="Times New Roman" w:cs="Times New Roman"/>
          <w:kern w:val="0"/>
          <w14:ligatures w14:val="none"/>
        </w:rPr>
        <w:t xml:space="preserve">lugares de trabajo, Estados Unidos no ha ratificado la ICMW porque esta incluye derechos de primera generación para todes les trabajadores, incluidas las personas sin estatus migratorio documentado. Como ilustra este ejemplo, los objetivos de tres niveles deben formar parte integral del diseño de su proyecto. </w:t>
      </w:r>
    </w:p>
    <w:p w14:paraId="50E0E085" w14:textId="0F35F05E" w:rsidR="00E7507A" w:rsidRPr="009257E7" w:rsidRDefault="00CC6DC7" w:rsidP="001213D6">
      <w:pPr>
        <w:spacing w:after="0" w:line="240" w:lineRule="auto"/>
        <w:rPr>
          <w:rFonts w:ascii="Times New Roman" w:eastAsia="Times New Roman" w:hAnsi="Times New Roman" w:cs="Times New Roman"/>
          <w:b/>
          <w:bCs/>
          <w:kern w:val="0"/>
          <w:lang w:val="es-ES"/>
          <w14:ligatures w14:val="none"/>
        </w:rPr>
      </w:pPr>
      <w:r w:rsidRPr="009257E7">
        <w:rPr>
          <w:rFonts w:ascii="Times New Roman" w:eastAsia="Times New Roman" w:hAnsi="Times New Roman" w:cs="Times New Roman"/>
          <w:b/>
          <w:bCs/>
          <w:kern w:val="0"/>
          <w:lang w:val="es-ES"/>
          <w14:ligatures w14:val="none"/>
        </w:rPr>
        <w:t>7.6 L</w:t>
      </w:r>
      <w:r w:rsidR="00E7507A" w:rsidRPr="009257E7">
        <w:rPr>
          <w:rFonts w:ascii="Times New Roman" w:eastAsia="Times New Roman" w:hAnsi="Times New Roman" w:cs="Times New Roman"/>
          <w:b/>
          <w:bCs/>
          <w:kern w:val="0"/>
          <w:lang w:val="es-ES"/>
          <w14:ligatures w14:val="none"/>
        </w:rPr>
        <w:t xml:space="preserve">os objetivos de tres niveles </w:t>
      </w:r>
      <w:r w:rsidRPr="009257E7">
        <w:rPr>
          <w:rFonts w:ascii="Times New Roman" w:eastAsia="Times New Roman" w:hAnsi="Times New Roman" w:cs="Times New Roman"/>
          <w:b/>
          <w:bCs/>
          <w:kern w:val="0"/>
          <w:lang w:val="es-ES"/>
          <w14:ligatures w14:val="none"/>
        </w:rPr>
        <w:t>deben ser parte integral del diseño de proyectos</w:t>
      </w:r>
    </w:p>
    <w:p w14:paraId="70C11E57" w14:textId="41C4E098" w:rsidR="00E7507A" w:rsidRPr="009257E7" w:rsidRDefault="00E7507A" w:rsidP="00E7507A">
      <w:pPr>
        <w:pStyle w:val="NormalWeb"/>
        <w:ind w:firstLine="720"/>
      </w:pPr>
      <w:r w:rsidRPr="009257E7">
        <w:t xml:space="preserve">Como se señaló anteriormente, las necesidades jurídicas y los problemas sociales no son piedritas dispersas al azar que simplemente puedan recogerse y apartarse una por una, sino montones de piedras creados por el deslizamiento provocado por una falla sistémica. Ayudar a personas —o a grupos de personas— que enfrentan problemas es de importancia vital, pero ese trabajo debe complementarse con otros esfuerzos que reduzcan la probabilidad o el volumen de las rocas que puedan caer después. Una vez que se desaprende la idea tradicional de una necesidad jurídica atomizada y de corto plazo, les abogades pueden reaprender concepciones críticas sobre remedios y soluciones. Como enfatizamos aquí, este reaprendizaje, orientado a la solución sistémica de problemas y, por tanto, a la abogacía sistémica, se centra en objetivos de tres niveles y en las actividades colaborativas derivadas de un proyecto sistémico. </w:t>
      </w:r>
    </w:p>
    <w:p w14:paraId="3BB5ED69" w14:textId="66C15E5D" w:rsidR="00E7507A" w:rsidRPr="009257E7" w:rsidRDefault="00E7507A" w:rsidP="00E7507A">
      <w:pPr>
        <w:pStyle w:val="NormalWeb"/>
        <w:ind w:firstLine="720"/>
      </w:pPr>
      <w:r w:rsidRPr="009257E7">
        <w:t xml:space="preserve">En consecuencia, cada uno de los tres niveles debe formar parte integral del diseño del proyecto. Como explicamos con mayor detalle en el capítulo 6, estos objetivos ampliados son: (1) lograr soluciones técnicas a problemas sociales específicos; (2) construir poder grupal organizado para sostener la lucha; y (3) transformar la conciencia y la cultura. Estos objetivos </w:t>
      </w:r>
      <w:r w:rsidRPr="009257E7">
        <w:lastRenderedPageBreak/>
        <w:t xml:space="preserve">están diseñados para ayudar a les abogades a tomar mejor en cuenta el papel de las identidades, los grupos, los intereses y el poder dentro de los sistemas desde arriba y de las luchas desde abajo. Al diseñar proyectos, les abogades buscan maneras de lograr que los tres niveles se superpongan y actúen de manera sinérgica. </w:t>
      </w:r>
    </w:p>
    <w:p w14:paraId="4D61AE15" w14:textId="032799AF" w:rsidR="00E7507A" w:rsidRPr="009257E7" w:rsidRDefault="00E7507A" w:rsidP="00E7507A">
      <w:pPr>
        <w:pStyle w:val="NormalWeb"/>
        <w:ind w:firstLine="720"/>
      </w:pPr>
      <w:r w:rsidRPr="009257E7">
        <w:t xml:space="preserve">El objetivo del primer nivel se parece mucho a la abogacía tradicional: se procura obtener remedios jurídicos orientados a la mejora, con frecuencia centrados en los tribunales, para clientes individuales, acciones de clase o grupos de clientes. El segundo nivel —la construcción de poder grupal— requiere un análisis sistémico de la dominación entre grupos y soluciones sistémicas basadas, por lo general, en capacidades colectivas ya existentes. El tercer nivel procura transformar las concepciones culturales o dominantes sobre “el problema”, lo que, a su vez, permite ampliar las soluciones orientadas a transformaciones sociales de mayor alcance. Para avanzar en los tres niveles, les abogades y los grupos comunitarios evalúan cómo combinar estrategias jurisdiccionales con estrategias democráticas para maximizar sus efectos conjuntos dentro de un contexto particular. </w:t>
      </w:r>
    </w:p>
    <w:p w14:paraId="37604CC5" w14:textId="44C77AA4" w:rsidR="00E7507A" w:rsidRPr="009257E7" w:rsidRDefault="00E7507A" w:rsidP="00E7507A">
      <w:pPr>
        <w:pStyle w:val="NormalWeb"/>
        <w:ind w:firstLine="720"/>
      </w:pPr>
      <w:r w:rsidRPr="009257E7">
        <w:t xml:space="preserve">Dentro de este esquema, los grupos y les abogades coordinan acciones para crear ventanas de oportunidad que permitan ampliar los logros alcanzados anteriormente o, cuando sea necesario, defenderlos. Este trabajo ofensivo y defensivo depende de la capacidad o el poder de un grupo para invertir el guion del sistema: utilizar, para lograr avances desde abajo, el tipo de herramientas que las élites emplean para dominar la sociedad: organizar, organizar, organizar. En este proceso, la construcción de poder y la transformación de la cultura y de la conciencia van de la mano. </w:t>
      </w:r>
    </w:p>
    <w:p w14:paraId="046E060D" w14:textId="0720236F" w:rsidR="00E7507A" w:rsidRPr="009257E7" w:rsidRDefault="00E7507A" w:rsidP="00E7507A">
      <w:pPr>
        <w:pStyle w:val="NormalWeb"/>
        <w:ind w:firstLine="720"/>
      </w:pPr>
      <w:r w:rsidRPr="009257E7">
        <w:t xml:space="preserve">La transformación de la conciencia es un proceso personal y, al mismo tiempo, colectivo. Por supuesto, las personas reflexionan de manera continua e individual, pero las concepciones establecidas e internalizadas sobre las condiciones sociales solo pueden cuestionarse y transformarse colectivamente. A medida que les integrantes de un grupo diagnostican problemas y elaboran estrategias de acción de manera conjunta, escuchan las experiencias de las demás personas. Toman en cuenta las identidades, los grupos, los intereses y el poder de maneras que alteran las ilusiones producidas por las ideologías dominantes. También crean nuevas formas de comprender las realidades sociales y de pensar cómo mejorarlas de maneras basadas en principios y sujetas a rendición de cuentas. La ampliación de la membresía del grupo y la construcción de una conciencia crítica colectiva ocurren a medida que los grupos luchan y reflexionan, desaprenden y reaprenden, investigan y analizan y, posteriormente, actúan juntos y con una perspectiva a largo plazo. Esto ayuda a explicar el poder de la narración analítica y de la reflexión colectiva para “diagnosticar” problemas y “elaborar estrategias” de solución en las luchas de antisubordinación. </w:t>
      </w:r>
    </w:p>
    <w:p w14:paraId="0BEAC418" w14:textId="551841B9" w:rsidR="00E7507A" w:rsidRPr="009257E7" w:rsidRDefault="00E7507A" w:rsidP="00E7507A">
      <w:pPr>
        <w:pStyle w:val="NormalWeb"/>
        <w:ind w:firstLine="720"/>
      </w:pPr>
      <w:r w:rsidRPr="009257E7">
        <w:t xml:space="preserve">Por ejemplo, un grupo de apenas 100 integrantes centrado en la violencia doméstica podría solicitar a les abogades que representen a quienes buscan órdenes de protección. Sin embargo, el grupo también podría movilizar a sus integrantes para realizar observaciones en tribunales, monitoreando cómo se trata a las personas víctimas de violencia doméstica durante las vistas, pertenezcan o no al grupo. Si el grupo detecta un patrón de discriminación o de fallas, el grupo y les abogades podrían ayudar a personas a presentar una demanda o a redactar y promover cambios en las reglas judiciales o en las leyes. Al mismo tiempo, el grupo procuraría </w:t>
      </w:r>
      <w:r w:rsidRPr="009257E7">
        <w:lastRenderedPageBreak/>
        <w:t xml:space="preserve">activamente crecer como parte de estas actividades: invitaría a personas a integrarse al grupo durante y después de cada sesión de observación de tribunales; prepararía peticiones en apoyo de demandas o acciones legislativas y pediría a quienes las firmen que se integren al grupo; buscaría donaciones para ampliar los recursos; o celebraría una manifestación y movilizaría a personas más allá de su base de membresía, tanto para ejercer presión sobre los responsables de la toma de decisiones a quienes se dirige la acción como para aumentar la membresía del grupo. De este modo, el grupo desarrolla estrategias que revelan patrones de exclusión o de fallas y, al mismo tiempo, </w:t>
      </w:r>
      <w:r w:rsidR="003B1F9A" w:rsidRPr="009257E7">
        <w:t>l</w:t>
      </w:r>
      <w:r w:rsidRPr="009257E7">
        <w:t xml:space="preserve">as </w:t>
      </w:r>
      <w:r w:rsidR="003B1F9A" w:rsidRPr="009257E7">
        <w:t>utiliza</w:t>
      </w:r>
      <w:r w:rsidRPr="009257E7">
        <w:t xml:space="preserve"> para fortalecer su base y sus capacidades, es decir, su poder. Se desarrolla un análisis político compartido de los problemas y las soluciones que sirve para orientar estas actividades, y este proceso crea un diálogo interno que transforma, construye y articula la conciencia entre les integrantes del grupo. </w:t>
      </w:r>
    </w:p>
    <w:p w14:paraId="48717601" w14:textId="5D3815C2" w:rsidR="00E7507A" w:rsidRPr="009257E7" w:rsidRDefault="00E7507A" w:rsidP="003B1F9A">
      <w:pPr>
        <w:pStyle w:val="NormalWeb"/>
        <w:ind w:firstLine="720"/>
      </w:pPr>
      <w:r w:rsidRPr="009257E7">
        <w:t xml:space="preserve">Considere, en este sentido, la manera en que los grupos dedicados a la violencia doméstica han transformado el lenguaje dominante al insistir en que las personas sean identificadas como “sobrevivientes” y no permanezcan etiquetadas para siempre como “víctimas”. Se trata de una transformación de la conciencia que comienza con el diálogo dentro del grupo y se expande hacia la cultura más amplia mediante la lucha, que con frecuencia incluye estrategias de abogacía jurisdiccional y democrática. Este tercer nivel de objetivos —los objetivos de transformación de la conciencia y de la cultura— ayuda a “estimular” nuevas fuentes de conciencia grupal y nuevos recursos culturales para sostener la lucha colectiva a largo plazo. Ver </w:t>
      </w:r>
      <w:r w:rsidR="003B1F9A" w:rsidRPr="009257E7">
        <w:t xml:space="preserve">a </w:t>
      </w:r>
      <w:r w:rsidRPr="009257E7">
        <w:t xml:space="preserve">la propia persona, sus problemas y las posibles soluciones desde una perspectiva distinta suele ser necesario antes de actuar colectivamente para alcanzar esas soluciones. Les abogades procuran definir objetivos —al menos de manera provisional— en los tres niveles para lograr cambios que mejoren y, a la vez, transformen las realidades de sus clientes </w:t>
      </w:r>
      <w:r w:rsidR="003B1F9A" w:rsidRPr="009257E7">
        <w:t>en</w:t>
      </w:r>
      <w:r w:rsidRPr="009257E7">
        <w:t xml:space="preserve"> un contexto específico. Así, la noción de “objetivos de tres niveles” proporciona una lista de comprobación</w:t>
      </w:r>
      <w:r w:rsidR="003B1F9A" w:rsidRPr="009257E7">
        <w:t>,</w:t>
      </w:r>
      <w:r w:rsidRPr="009257E7">
        <w:t xml:space="preserve"> preparada para la práctica</w:t>
      </w:r>
      <w:r w:rsidR="003B1F9A" w:rsidRPr="009257E7">
        <w:t>,</w:t>
      </w:r>
      <w:r w:rsidRPr="009257E7">
        <w:t xml:space="preserve"> que puede aplicarse en contextos diversos y que se nutre tanto de la experiencia histórica como de la actual. </w:t>
      </w:r>
    </w:p>
    <w:p w14:paraId="632E1A6F" w14:textId="28F1BCA1" w:rsidR="003B1F9A" w:rsidRPr="009257E7" w:rsidRDefault="003B1F9A" w:rsidP="003B1F9A">
      <w:pPr>
        <w:spacing w:before="100" w:beforeAutospacing="1" w:after="100" w:afterAutospacing="1" w:line="240" w:lineRule="auto"/>
        <w:ind w:firstLine="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 xml:space="preserve">A modo de ejemplo, considere una solicitud de beca presentada por Nejla Calvo, quien entonces era estudiante de derecho, para trabajar con Legal Services of Greater Miami (LSGMI) y abordar los problemas que enfrentaban los residentes de bajos ingresos en parques de casas móviles. La solicitud de Calvo se basó en el trabajo iniciado por Kit Rafferty, organizadora comunitaria que trabajaba con residentes de parques de casas móviles, y por Evian White de León, abogada de vivienda en LSGMI que identificó patrones en los problemas que enfrentaban les residentes de esos parques, y posteriormente también en el trabajo de Miami Homes for All, grupo de políticas públicas centrado en la vivienda asequible y la falta de vivienda entre jóvenes. White de León identificó un patrón según el cual las personas eran desalojadas por motivos recurrentes que no guardaban relación con el pago del alquiler por parte de les propietaries de las viviendas. En este contexto, les residentes —propietaries de casas móviles— recibían notificaciones de desalojo basadas en alegaciones falsas de que ocupaban ilegalmente los terrenos porque se les habían retenido los títulos de propiedad o porque estos contenían errores; en alegaciones, falsas o verdaderas, sobre infracciones del código municipal, sin que se les ofreciera oportunidad alguna de corregirlas; o en la venta del parque de casas móviles a propietaries nuevos que pretendían cerrar el parque completo. Debido a que los parques de casas móviles suelen estar ubicados en zonas urbanas centrales de gran valor en Miami y en muchas </w:t>
      </w:r>
      <w:r w:rsidRPr="009257E7">
        <w:rPr>
          <w:rFonts w:ascii="Times New Roman" w:eastAsia="Times New Roman" w:hAnsi="Times New Roman" w:cs="Times New Roman"/>
          <w:kern w:val="0"/>
          <w14:ligatures w14:val="none"/>
        </w:rPr>
        <w:lastRenderedPageBreak/>
        <w:t xml:space="preserve">otras ciudades, muches propietaries de estos parques prefieren cerrarlos y vender los terrenos en lugar de mantener este tipo de vivienda asequible. </w:t>
      </w:r>
    </w:p>
    <w:p w14:paraId="7AB8FAB6" w14:textId="3535CFC9" w:rsidR="003B1F9A" w:rsidRPr="009257E7" w:rsidRDefault="003B1F9A" w:rsidP="003B1F9A">
      <w:pPr>
        <w:spacing w:before="100" w:beforeAutospacing="1" w:after="100" w:afterAutospacing="1" w:line="240" w:lineRule="auto"/>
        <w:ind w:firstLine="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En caso de cierre de un parque, la ley de Florida ofrece cierta compensación a les propietaries de las viviendas por el costo de trasladarlas a otro lugar o cuando abandonan la vivienda dentro del parque; sin embargo, les propietaries del parque no tienen que pagar esa compensación si le propietarie de la vivienda es desalojado legalmente. La respuesta de le abogade podría incluir representación individual para impugnar el desalojo, apoyo a les propietaries de las viviendas para formar una asociación de propietaries o litigios dirigidos a hacer valer derechos jurídicos individuales o colectivos. Como señala White de León: “Los parques de casas móviles ofrecen precios razonables para quienes no reciben asistencia pública… Cuando perdemos una propiedad como esa, también perdemos viviendas que se alquilan a precios asequibles y que no están siendo reemplazadas”</w:t>
      </w:r>
      <w:r w:rsidRPr="009257E7">
        <w:rPr>
          <w:rStyle w:val="FootnoteReference"/>
          <w:rFonts w:ascii="Times New Roman" w:eastAsia="Times New Roman" w:hAnsi="Times New Roman" w:cs="Times New Roman"/>
          <w:kern w:val="0"/>
          <w14:ligatures w14:val="none"/>
        </w:rPr>
        <w:footnoteReference w:id="261"/>
      </w:r>
      <w:r w:rsidRPr="009257E7">
        <w:rPr>
          <w:rFonts w:ascii="Times New Roman" w:eastAsia="Times New Roman" w:hAnsi="Times New Roman" w:cs="Times New Roman"/>
          <w:kern w:val="0"/>
          <w14:ligatures w14:val="none"/>
        </w:rPr>
        <w:t xml:space="preserve">. Impugnar los desalojos uno por uno es una labor vital y difícil, pero no garantiza detener siquiera un desalojo individual y resulta aun menos adecuada para impedir desalojos masivos. </w:t>
      </w:r>
      <w:r w:rsidRPr="009257E7">
        <w:rPr>
          <w:rFonts w:ascii="Times New Roman" w:eastAsia="Times New Roman" w:hAnsi="Times New Roman" w:cs="Times New Roman"/>
          <w:kern w:val="0"/>
          <w14:ligatures w14:val="none"/>
        </w:rPr>
        <w:tab/>
      </w:r>
    </w:p>
    <w:p w14:paraId="25770D4F" w14:textId="32BD2397" w:rsidR="003B1F9A" w:rsidRPr="009257E7" w:rsidRDefault="003B1F9A" w:rsidP="003B1F9A">
      <w:pPr>
        <w:spacing w:before="100" w:beforeAutospacing="1" w:after="100" w:afterAutospacing="1" w:line="240" w:lineRule="auto"/>
        <w:ind w:firstLine="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 xml:space="preserve">Las asociaciones de propietaries de casas móviles, sin embargo, cuentan con mayor capacidad de presión mediante acciones jurídicas y extrajurídicas colectivas. Una asociación posee legalmente derechos importantes y puede desarrollar capacidades organizativas fundamentales: el derecho de tanteo cuando los parques se ponen a la venta, la capacidad para impugnar aumentos de alquiler aplicables a todo el parque o para negociar cierres de parques, y la capacidad para responder a operativos de cumplimiento del código utilizados para justificar notificaciones de desalojo masivo. Con una asociación de propietaries, las compensaciones pagadas a les propietaries podrían elevarse considerablemente por encima del mínimo establecido por ley. Por ello, White de León y Calvo desarrollaron un nuevo proyecto de abogacía destinado a ayudar a les residentes a organizar asociaciones antes de que se emitieran avisos de cierre de los parques, con el fin de estar mejor preparados para impugnar desalojos, influir en las decisiones de venta de les propietaries de los parques de casas móviles y colocar a les residentes en condiciones de comprar y administrar colectivamente los parques. </w:t>
      </w:r>
    </w:p>
    <w:p w14:paraId="63464678" w14:textId="5F338139" w:rsidR="003B1F9A" w:rsidRPr="009257E7" w:rsidRDefault="003B1F9A" w:rsidP="003B1F9A">
      <w:pPr>
        <w:spacing w:before="100" w:beforeAutospacing="1" w:after="100" w:afterAutospacing="1" w:line="240" w:lineRule="auto"/>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 xml:space="preserve">Presentamos este ejemplo para que usted pueda observar de manera concreta cómo podría desarrollarse una concepción crítica y autocrítica de la “necesidad” jurídica y, con ello, un proyecto de abogacía que responda a esa necesidad y comience a generar progreso en los tres niveles de objetivos. Calvo cuestionó la idea de que la prestación de servicios directos orientados únicamente al primer nivel —defender un desalojo ya está en curso— sea suficiente para abordar la inseguridad que afecta a una comunidad de personas con ingresos muy bajos. Observe la diferencia entre concentrarse únicamente en las piedritas y entenderlas como parte de sistemas de deslizamiento de rocas; es decir, entre ver particularidades aisladas y entenderlas como parte de patrones. </w:t>
      </w:r>
    </w:p>
    <w:p w14:paraId="3A81E7E5" w14:textId="77777777" w:rsidR="003B1F9A" w:rsidRPr="009257E7" w:rsidRDefault="003B1F9A" w:rsidP="003B1F9A">
      <w:pPr>
        <w:spacing w:before="100" w:beforeAutospacing="1" w:after="100" w:afterAutospacing="1" w:line="240" w:lineRule="auto"/>
        <w:ind w:firstLine="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 xml:space="preserve">Las identidades de quienes integran esta comunidad de casas móviles representan la intersección de varias jerarquías entrelazadas de privilegio y subordinación: personas de color, predominantemente mujeres; muchas personas con discapacidad; muchas personas vulnerables por tener una edad muy avanzada o muy corta; en su mayoría personas inmigrantes y, con </w:t>
      </w:r>
      <w:r w:rsidRPr="009257E7">
        <w:rPr>
          <w:rFonts w:ascii="Times New Roman" w:eastAsia="Times New Roman" w:hAnsi="Times New Roman" w:cs="Times New Roman"/>
          <w:kern w:val="0"/>
          <w14:ligatures w14:val="none"/>
        </w:rPr>
        <w:lastRenderedPageBreak/>
        <w:t xml:space="preserve">frecuencia, con dominio limitado del inglés; y muchas personas indocumentadas. Por tanto, los objetivos del segundo nivel, relacionados con la construcción de poder grupal, se estructuran en torno a la función comunitaria que comparten como residentes; sin embargo, esa función está, a su vez, vinculada a vulnerabilidades derivadas de la subordinación basada en la identidad. Los objetivos del tercer nivel, relacionados con la concientización y la transformación cultural, aparecen implícitamente en la educación y la movilización comunitarias, aunque quizá resulte más difícil formularlos explícitamente. Considere cómo cambiará su concepción inicial de un proyecto de abogacía sistémica a medida que incorpore objetivos en los tres niveles: solución de problemas, construcción de poder y transformación de la cultura y la conciencia. Considere también qué tipos de coaliciones críticas pueden ayudar a fortalecer su trabajo a largo plazo, así como los medios y mecanismos necesarios para financiar y sostener su proyecto con el paso del tiempo. </w:t>
      </w:r>
    </w:p>
    <w:p w14:paraId="54720D8D" w14:textId="5F5AD3F3" w:rsidR="00CC6DC7" w:rsidRPr="009257E7" w:rsidRDefault="00CC6DC7" w:rsidP="003B1F9A">
      <w:pPr>
        <w:spacing w:before="100" w:beforeAutospacing="1" w:after="100" w:afterAutospacing="1" w:line="240" w:lineRule="auto"/>
        <w:rPr>
          <w:rFonts w:ascii="Times New Roman" w:eastAsia="Times New Roman" w:hAnsi="Times New Roman" w:cs="Times New Roman"/>
          <w:b/>
          <w:bCs/>
          <w:kern w:val="0"/>
          <w14:ligatures w14:val="none"/>
        </w:rPr>
      </w:pPr>
      <w:r w:rsidRPr="009257E7">
        <w:rPr>
          <w:rFonts w:ascii="Times New Roman" w:eastAsia="Times New Roman" w:hAnsi="Times New Roman" w:cs="Times New Roman"/>
          <w:b/>
          <w:bCs/>
          <w:kern w:val="0"/>
          <w:lang w:val="es-ES"/>
          <w14:ligatures w14:val="none"/>
        </w:rPr>
        <w:t>7.7 Las políticas del financiamiento requieren múltiples formas y medios</w:t>
      </w:r>
    </w:p>
    <w:p w14:paraId="49A16B8E" w14:textId="1196B687" w:rsidR="00C872F6" w:rsidRPr="009257E7" w:rsidRDefault="00C872F6" w:rsidP="00C872F6">
      <w:pPr>
        <w:spacing w:before="100" w:beforeAutospacing="1" w:after="100" w:afterAutospacing="1" w:line="240" w:lineRule="auto"/>
        <w:ind w:firstLine="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 xml:space="preserve">Ningún espacio de práctica —ya sea con fines de lucro o sin fines de lucro— está exento de las restricciones creadas por las vendas, las esposas y las jerarquías que impregnan la industria jurídica descrita en el capítulo 3, incluida la política del financiamiento. El financiamiento es una condición previa para la acción colectiva sostenible. Ningune abogade es inmune a la necesidad de financiamiento ni, por tanto, a su política. Todo diseño de proyecto debe considerar el financiamiento y la sustentabilidad. Como saben las élites, el financiamiento puede generar ventajas. En la abogacía, el financiamiento suele provenir de fuentes que se superponen: honorarios de abogades, fondos públicos, cuotas de membresía, donantes, subvenciones filantrópicas o alguna combinación de estas fuentes. Todas vienen acompañadas de condiciones que moldean —o distorsionan— las posibilidades de la abogacía. </w:t>
      </w:r>
    </w:p>
    <w:p w14:paraId="50A80F69" w14:textId="31251C00" w:rsidR="00C872F6" w:rsidRPr="009257E7" w:rsidRDefault="00C872F6" w:rsidP="00C872F6">
      <w:pPr>
        <w:spacing w:before="100" w:beforeAutospacing="1" w:after="100" w:afterAutospacing="1" w:line="240" w:lineRule="auto"/>
        <w:ind w:firstLine="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 xml:space="preserve">Los espacios de práctica sin fines de lucro o les abogades gubernamentales pueden afirmar que están en gran medida libres de restricciones, y los bufetes con fines de lucro pueden afirmar que brindan apoyo </w:t>
      </w:r>
      <w:r w:rsidRPr="009257E7">
        <w:rPr>
          <w:rFonts w:ascii="Times New Roman" w:eastAsia="Times New Roman" w:hAnsi="Times New Roman" w:cs="Times New Roman"/>
          <w:i/>
          <w:iCs/>
          <w:kern w:val="0"/>
          <w14:ligatures w14:val="none"/>
        </w:rPr>
        <w:t>pro bono</w:t>
      </w:r>
      <w:r w:rsidRPr="009257E7">
        <w:rPr>
          <w:rFonts w:ascii="Times New Roman" w:eastAsia="Times New Roman" w:hAnsi="Times New Roman" w:cs="Times New Roman"/>
          <w:kern w:val="0"/>
          <w14:ligatures w14:val="none"/>
        </w:rPr>
        <w:t xml:space="preserve"> para atender necesidades jurídicas no atendidas o atendidas de manera insuficiente. Sin embargo, todos están sujetos a las restricciones de sus financiadores, que generan incentivos y sanciones profesionales, materiales e ideológicos capaces de vendar los ojos y esposar la toma de decisiones cotidiana. Además de maximizar los recursos y minimizar las “condiciones”, les abogades también deben “seguir el dinero” para comprender la influencia y el poder dentro de ese contexto. </w:t>
      </w:r>
    </w:p>
    <w:p w14:paraId="5A640D67" w14:textId="013E0CB6" w:rsidR="00C872F6" w:rsidRPr="009257E7" w:rsidRDefault="00C872F6" w:rsidP="00C872F6">
      <w:pPr>
        <w:spacing w:before="100" w:beforeAutospacing="1" w:after="100" w:afterAutospacing="1" w:line="240" w:lineRule="auto"/>
        <w:ind w:firstLine="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 xml:space="preserve">Los bufetes grandes, por ejemplo, adoptan de manera explícita normas y jerarquías profesionales que priorizan los servicios prestados a las élites, incluidos incentivos financieros y sistemas de supervisión que controlan el tiempo de les actores jurídicos hasta en incrementos de seis minutos. Los bufetes pequeños prestan servicios a clientes de ingresos bajos y moderados de maneras que deberían valorarse mucho más, pero enfrentan las restricciones de la competencia, del tiempo y de los recursos limitados. Tanto los bufetes grandes como los pequeños con fines de lucro dependen principalmente de los honorarios para financiarse y, en consecuencia, actúan de acuerdo con ello. Les abogades gubernamentales también enfrentan restricciones, no solo porque sus funciones pueden exigir la administración o la aplicación de leyes que limitan la justicia tanto como la promueven, sino también por los cambios en la supervisión política, la multitud de normas y los reglamentos y la incertidumbre de los recursos. Las normas y las prácticas </w:t>
      </w:r>
      <w:r w:rsidRPr="009257E7">
        <w:rPr>
          <w:rFonts w:ascii="Times New Roman" w:eastAsia="Times New Roman" w:hAnsi="Times New Roman" w:cs="Times New Roman"/>
          <w:kern w:val="0"/>
          <w14:ligatures w14:val="none"/>
        </w:rPr>
        <w:lastRenderedPageBreak/>
        <w:t xml:space="preserve">institucionales, los beneficios o las ambiciones personales y otras consideraciones pueden orientar a les abogades en estos distintos espacios de práctica. </w:t>
      </w:r>
    </w:p>
    <w:p w14:paraId="4B631597" w14:textId="3D32E7A6" w:rsidR="00C872F6" w:rsidRPr="009257E7" w:rsidRDefault="00C872F6" w:rsidP="00C872F6">
      <w:pPr>
        <w:spacing w:before="100" w:beforeAutospacing="1" w:after="100" w:afterAutospacing="1" w:line="240" w:lineRule="auto"/>
        <w:ind w:firstLine="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 xml:space="preserve">Muchos bufetes aportan una cantidad considerable de horas </w:t>
      </w:r>
      <w:r w:rsidRPr="009257E7">
        <w:rPr>
          <w:rFonts w:ascii="Times New Roman" w:eastAsia="Times New Roman" w:hAnsi="Times New Roman" w:cs="Times New Roman"/>
          <w:i/>
          <w:iCs/>
          <w:kern w:val="0"/>
          <w14:ligatures w14:val="none"/>
        </w:rPr>
        <w:t>pro bono</w:t>
      </w:r>
      <w:r w:rsidRPr="009257E7">
        <w:rPr>
          <w:rFonts w:ascii="Times New Roman" w:eastAsia="Times New Roman" w:hAnsi="Times New Roman" w:cs="Times New Roman"/>
          <w:kern w:val="0"/>
          <w14:ligatures w14:val="none"/>
        </w:rPr>
        <w:t xml:space="preserve"> para atender necesidades jurídicas no atendidas o atendidas de manera insuficiente. Estas contribuciones representan tanto un compromiso con las normas profesionales como los límites de </w:t>
      </w:r>
      <w:r w:rsidR="00FE64AA" w:rsidRPr="009257E7">
        <w:rPr>
          <w:rFonts w:ascii="Times New Roman" w:eastAsia="Times New Roman" w:hAnsi="Times New Roman" w:cs="Times New Roman"/>
          <w:kern w:val="0"/>
          <w14:ligatures w14:val="none"/>
        </w:rPr>
        <w:t>dich</w:t>
      </w:r>
      <w:r w:rsidRPr="009257E7">
        <w:rPr>
          <w:rFonts w:ascii="Times New Roman" w:eastAsia="Times New Roman" w:hAnsi="Times New Roman" w:cs="Times New Roman"/>
          <w:kern w:val="0"/>
          <w14:ligatures w14:val="none"/>
        </w:rPr>
        <w:t xml:space="preserve">as normas </w:t>
      </w:r>
      <w:r w:rsidR="00FE64AA" w:rsidRPr="009257E7">
        <w:rPr>
          <w:rFonts w:ascii="Times New Roman" w:eastAsia="Times New Roman" w:hAnsi="Times New Roman" w:cs="Times New Roman"/>
          <w:kern w:val="0"/>
          <w14:ligatures w14:val="none"/>
        </w:rPr>
        <w:t>en</w:t>
      </w:r>
      <w:r w:rsidRPr="009257E7">
        <w:rPr>
          <w:rFonts w:ascii="Times New Roman" w:eastAsia="Times New Roman" w:hAnsi="Times New Roman" w:cs="Times New Roman"/>
          <w:kern w:val="0"/>
          <w14:ligatures w14:val="none"/>
        </w:rPr>
        <w:t xml:space="preserve"> un sistema de capitalismo racializado. En un ejemplo destacado, el bufete internacional Skadden, Arps, Slate, Meagher &amp; Flom LLP, con sede en la ciudad de Nueva York, aportó más de un millón de horas </w:t>
      </w:r>
      <w:r w:rsidRPr="009257E7">
        <w:rPr>
          <w:rFonts w:ascii="Times New Roman" w:eastAsia="Times New Roman" w:hAnsi="Times New Roman" w:cs="Times New Roman"/>
          <w:i/>
          <w:iCs/>
          <w:kern w:val="0"/>
          <w14:ligatures w14:val="none"/>
        </w:rPr>
        <w:t>pro bono</w:t>
      </w:r>
      <w:r w:rsidRPr="009257E7">
        <w:rPr>
          <w:rFonts w:ascii="Times New Roman" w:eastAsia="Times New Roman" w:hAnsi="Times New Roman" w:cs="Times New Roman"/>
          <w:kern w:val="0"/>
          <w14:ligatures w14:val="none"/>
        </w:rPr>
        <w:t xml:space="preserve"> durante siete años y creó la prestigiosa Skadden Fellowship Foundation, que financia becas de dos años en el ámbito del interés público; el 90 % de quienes reciben estas becas continúan posteriormente en el sector sin fines de lucro, en empleos de servicio público o en labores educativas. Sin embargo, las restricciones impuestas por las élites </w:t>
      </w:r>
      <w:r w:rsidR="00FE64AA" w:rsidRPr="009257E7">
        <w:rPr>
          <w:rFonts w:ascii="Times New Roman" w:eastAsia="Times New Roman" w:hAnsi="Times New Roman" w:cs="Times New Roman"/>
          <w:kern w:val="0"/>
          <w14:ligatures w14:val="none"/>
        </w:rPr>
        <w:t>persisten</w:t>
      </w:r>
      <w:r w:rsidRPr="009257E7">
        <w:rPr>
          <w:rFonts w:ascii="Times New Roman" w:eastAsia="Times New Roman" w:hAnsi="Times New Roman" w:cs="Times New Roman"/>
          <w:kern w:val="0"/>
          <w14:ligatures w14:val="none"/>
        </w:rPr>
        <w:t>. La administración Trump afirmó, a comienzos de 2025, que varios bufetes grandes habían incurrido en conductas ilegales simplemente por promover medidas de diversidad, equidad e inclusión y amenazó con imponer restricciones costosas a sus contratos gubernamentales y a su acceso al gobierno. Skadden fue uno de varios bufetes estadounidenses que cedieron ante estas amenazas al aceptar prestar servicios jurídicos gratuitos —en el caso de Skadden, por un valor de al menos 100 millones de dólares— a clientes y causas apoyados tanto por Trump como por el propio bufete; según se informó, estos compromisos incluían nuevos</w:t>
      </w:r>
      <w:r w:rsidR="00FE64AA" w:rsidRPr="009257E7">
        <w:rPr>
          <w:rFonts w:ascii="Times New Roman" w:eastAsia="Times New Roman" w:hAnsi="Times New Roman" w:cs="Times New Roman"/>
          <w:kern w:val="0"/>
          <w14:ligatures w14:val="none"/>
        </w:rPr>
        <w:t xml:space="preserve"> grupos</w:t>
      </w:r>
      <w:r w:rsidRPr="009257E7">
        <w:rPr>
          <w:rFonts w:ascii="Times New Roman" w:eastAsia="Times New Roman" w:hAnsi="Times New Roman" w:cs="Times New Roman"/>
          <w:kern w:val="0"/>
          <w14:ligatures w14:val="none"/>
        </w:rPr>
        <w:t xml:space="preserve"> de clientes, como agentes de policía acusados de brutalidad, y proyectos adicionales dedicados a veteranos militares. Kathleen Rubenstein renunció a su cargo como directora ejecutiva de la Skadden Foundation y criticó al bufete por no defender los principios de justicia igualitaria ni a les abogades del interés público. El “momento actual”, afirmó Rubenstein, exige que l</w:t>
      </w:r>
      <w:r w:rsidR="00FE64AA" w:rsidRPr="009257E7">
        <w:rPr>
          <w:rFonts w:ascii="Times New Roman" w:eastAsia="Times New Roman" w:hAnsi="Times New Roman" w:cs="Times New Roman"/>
          <w:kern w:val="0"/>
          <w14:ligatures w14:val="none"/>
        </w:rPr>
        <w:t>o</w:t>
      </w:r>
      <w:r w:rsidRPr="009257E7">
        <w:rPr>
          <w:rFonts w:ascii="Times New Roman" w:eastAsia="Times New Roman" w:hAnsi="Times New Roman" w:cs="Times New Roman"/>
          <w:kern w:val="0"/>
          <w14:ligatures w14:val="none"/>
        </w:rPr>
        <w:t>s financiadores demuestren la misma “urgencia y valentía” que demuestran les becaries a quienes apoyan y las comunidades marginadas de clientes a quienes sirven</w:t>
      </w:r>
      <w:r w:rsidR="00FE64AA" w:rsidRPr="009257E7">
        <w:rPr>
          <w:rStyle w:val="FootnoteReference"/>
          <w:rFonts w:ascii="Times New Roman" w:eastAsia="Times New Roman" w:hAnsi="Times New Roman" w:cs="Times New Roman"/>
          <w:kern w:val="0"/>
          <w14:ligatures w14:val="none"/>
        </w:rPr>
        <w:footnoteReference w:id="262"/>
      </w:r>
      <w:r w:rsidRPr="009257E7">
        <w:rPr>
          <w:rFonts w:ascii="Times New Roman" w:eastAsia="Times New Roman" w:hAnsi="Times New Roman" w:cs="Times New Roman"/>
          <w:kern w:val="0"/>
          <w14:ligatures w14:val="none"/>
        </w:rPr>
        <w:t>.</w:t>
      </w:r>
    </w:p>
    <w:p w14:paraId="33400E49" w14:textId="4B509C50" w:rsidR="00C872F6" w:rsidRPr="009257E7" w:rsidRDefault="00C872F6" w:rsidP="00FE64AA">
      <w:pPr>
        <w:spacing w:before="100" w:beforeAutospacing="1" w:after="100" w:afterAutospacing="1" w:line="240" w:lineRule="auto"/>
        <w:ind w:firstLine="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Les critiques han señalado que el trabajo centrado en la igualdad dentro de las organizaciones sin fines de lucro recibe un financiamiento sumamente insuficiente. La organización sin fines de lucro Candid, por ejemplo, señaló que apenas el 0,6 % de las subvenciones principales otorgadas a organizaciones sin fines de lucro en 2016 abordaba la equidad racial para las mujeres de color</w:t>
      </w:r>
      <w:r w:rsidR="00FE64AA" w:rsidRPr="009257E7">
        <w:rPr>
          <w:rStyle w:val="FootnoteReference"/>
          <w:rFonts w:ascii="Times New Roman" w:eastAsia="Times New Roman" w:hAnsi="Times New Roman" w:cs="Times New Roman"/>
          <w:kern w:val="0"/>
          <w14:ligatures w14:val="none"/>
        </w:rPr>
        <w:footnoteReference w:id="263"/>
      </w:r>
      <w:r w:rsidRPr="009257E7">
        <w:rPr>
          <w:rFonts w:ascii="Times New Roman" w:eastAsia="Times New Roman" w:hAnsi="Times New Roman" w:cs="Times New Roman"/>
          <w:kern w:val="0"/>
          <w14:ligatures w14:val="none"/>
        </w:rPr>
        <w:t xml:space="preserve">. Según </w:t>
      </w:r>
      <w:r w:rsidRPr="009257E7">
        <w:rPr>
          <w:rFonts w:ascii="Times New Roman" w:eastAsia="Times New Roman" w:hAnsi="Times New Roman" w:cs="Times New Roman"/>
          <w:i/>
          <w:iCs/>
          <w:kern w:val="0"/>
          <w14:ligatures w14:val="none"/>
        </w:rPr>
        <w:t>The Nonprofit Quarterly</w:t>
      </w:r>
      <w:r w:rsidRPr="009257E7">
        <w:rPr>
          <w:rFonts w:ascii="Times New Roman" w:eastAsia="Times New Roman" w:hAnsi="Times New Roman" w:cs="Times New Roman"/>
          <w:kern w:val="0"/>
          <w14:ligatures w14:val="none"/>
        </w:rPr>
        <w:t>, solo el 0,2 % de las subvenciones de fundaciones otorgadas en 2015 se destinó a programas LGBTQ+</w:t>
      </w:r>
      <w:r w:rsidR="00FE64AA" w:rsidRPr="009257E7">
        <w:rPr>
          <w:rStyle w:val="FootnoteReference"/>
          <w:rFonts w:ascii="Times New Roman" w:eastAsia="Times New Roman" w:hAnsi="Times New Roman" w:cs="Times New Roman"/>
          <w:kern w:val="0"/>
          <w14:ligatures w14:val="none"/>
        </w:rPr>
        <w:footnoteReference w:id="264"/>
      </w:r>
      <w:r w:rsidRPr="009257E7">
        <w:rPr>
          <w:rFonts w:ascii="Times New Roman" w:eastAsia="Times New Roman" w:hAnsi="Times New Roman" w:cs="Times New Roman"/>
          <w:kern w:val="0"/>
          <w14:ligatures w14:val="none"/>
        </w:rPr>
        <w:t xml:space="preserve">. El financiamiento destinado a organizaciones y causas de los pueblos indígenas estadounidenses disminuyó en años recientes, y solo el 0,23 % de los fondos filantrópicos se destinó a organizaciones dirigidas por personas indígenas, aunque se </w:t>
      </w:r>
      <w:r w:rsidR="00FE64AA" w:rsidRPr="009257E7">
        <w:rPr>
          <w:rFonts w:ascii="Times New Roman" w:eastAsia="Times New Roman" w:hAnsi="Times New Roman" w:cs="Times New Roman"/>
          <w:kern w:val="0"/>
          <w14:ligatures w14:val="none"/>
        </w:rPr>
        <w:t>registró</w:t>
      </w:r>
      <w:r w:rsidRPr="009257E7">
        <w:rPr>
          <w:rFonts w:ascii="Times New Roman" w:eastAsia="Times New Roman" w:hAnsi="Times New Roman" w:cs="Times New Roman"/>
          <w:kern w:val="0"/>
          <w14:ligatures w14:val="none"/>
        </w:rPr>
        <w:t xml:space="preserve"> un </w:t>
      </w:r>
      <w:r w:rsidR="00FE64AA" w:rsidRPr="009257E7">
        <w:rPr>
          <w:rFonts w:ascii="Times New Roman" w:eastAsia="Times New Roman" w:hAnsi="Times New Roman" w:cs="Times New Roman"/>
          <w:kern w:val="0"/>
          <w14:ligatures w14:val="none"/>
        </w:rPr>
        <w:t>leve</w:t>
      </w:r>
      <w:r w:rsidRPr="009257E7">
        <w:rPr>
          <w:rFonts w:ascii="Times New Roman" w:eastAsia="Times New Roman" w:hAnsi="Times New Roman" w:cs="Times New Roman"/>
          <w:kern w:val="0"/>
          <w14:ligatures w14:val="none"/>
        </w:rPr>
        <w:t xml:space="preserve"> </w:t>
      </w:r>
      <w:r w:rsidR="00FE64AA" w:rsidRPr="009257E7">
        <w:rPr>
          <w:rFonts w:ascii="Times New Roman" w:eastAsia="Times New Roman" w:hAnsi="Times New Roman" w:cs="Times New Roman"/>
          <w:kern w:val="0"/>
          <w14:ligatures w14:val="none"/>
        </w:rPr>
        <w:t>aumento</w:t>
      </w:r>
      <w:r w:rsidRPr="009257E7">
        <w:rPr>
          <w:rFonts w:ascii="Times New Roman" w:eastAsia="Times New Roman" w:hAnsi="Times New Roman" w:cs="Times New Roman"/>
          <w:kern w:val="0"/>
          <w14:ligatures w14:val="none"/>
        </w:rPr>
        <w:t xml:space="preserve"> después del </w:t>
      </w:r>
      <w:r w:rsidRPr="009257E7">
        <w:rPr>
          <w:rFonts w:ascii="Times New Roman" w:eastAsia="Times New Roman" w:hAnsi="Times New Roman" w:cs="Times New Roman"/>
          <w:kern w:val="0"/>
          <w14:ligatures w14:val="none"/>
        </w:rPr>
        <w:lastRenderedPageBreak/>
        <w:t>comienzo de la pandemia</w:t>
      </w:r>
      <w:r w:rsidR="00FE64AA" w:rsidRPr="009257E7">
        <w:rPr>
          <w:rStyle w:val="FootnoteReference"/>
          <w:rFonts w:ascii="Times New Roman" w:eastAsia="Times New Roman" w:hAnsi="Times New Roman" w:cs="Times New Roman"/>
          <w:kern w:val="0"/>
          <w14:ligatures w14:val="none"/>
        </w:rPr>
        <w:footnoteReference w:id="265"/>
      </w:r>
      <w:r w:rsidRPr="009257E7">
        <w:rPr>
          <w:rFonts w:ascii="Times New Roman" w:eastAsia="Times New Roman" w:hAnsi="Times New Roman" w:cs="Times New Roman"/>
          <w:kern w:val="0"/>
          <w14:ligatures w14:val="none"/>
        </w:rPr>
        <w:t>. De manera similar, aunque las personas latin</w:t>
      </w:r>
      <w:r w:rsidR="00FE64AA" w:rsidRPr="009257E7">
        <w:rPr>
          <w:rFonts w:ascii="Times New Roman" w:eastAsia="Times New Roman" w:hAnsi="Times New Roman" w:cs="Times New Roman"/>
          <w:kern w:val="0"/>
          <w14:ligatures w14:val="none"/>
        </w:rPr>
        <w:t>es</w:t>
      </w:r>
      <w:r w:rsidRPr="009257E7">
        <w:rPr>
          <w:rFonts w:ascii="Times New Roman" w:eastAsia="Times New Roman" w:hAnsi="Times New Roman" w:cs="Times New Roman"/>
          <w:kern w:val="0"/>
          <w14:ligatures w14:val="none"/>
        </w:rPr>
        <w:t xml:space="preserve"> representaban el 16 % de la población estadounidense en 2011, solo el 1 % del financiamiento total de las fundaciones se destinó a programas dirigidos a beneficiar a comunidades latinx; desde entonces, esa proporción ha aumentado únicamente a un ritmo lento</w:t>
      </w:r>
      <w:r w:rsidR="00FE64AA" w:rsidRPr="009257E7">
        <w:rPr>
          <w:rStyle w:val="FootnoteReference"/>
          <w:rFonts w:ascii="Times New Roman" w:eastAsia="Times New Roman" w:hAnsi="Times New Roman" w:cs="Times New Roman"/>
          <w:kern w:val="0"/>
          <w14:ligatures w14:val="none"/>
        </w:rPr>
        <w:footnoteReference w:id="266"/>
      </w:r>
      <w:r w:rsidRPr="009257E7">
        <w:rPr>
          <w:rFonts w:ascii="Times New Roman" w:eastAsia="Times New Roman" w:hAnsi="Times New Roman" w:cs="Times New Roman"/>
          <w:kern w:val="0"/>
          <w14:ligatures w14:val="none"/>
        </w:rPr>
        <w:t>. Según el Women’s Philanthropy Institute, apenas el 1,2 % de todas las donaciones individuales superiores a un millón de dólares realizadas en 2018 se destinó a la igualdad de género</w:t>
      </w:r>
      <w:r w:rsidR="00FE64AA" w:rsidRPr="009257E7">
        <w:rPr>
          <w:rStyle w:val="FootnoteReference"/>
          <w:rFonts w:ascii="Times New Roman" w:eastAsia="Times New Roman" w:hAnsi="Times New Roman" w:cs="Times New Roman"/>
          <w:kern w:val="0"/>
          <w14:ligatures w14:val="none"/>
        </w:rPr>
        <w:footnoteReference w:id="267"/>
      </w:r>
      <w:r w:rsidRPr="009257E7">
        <w:rPr>
          <w:rFonts w:ascii="Times New Roman" w:eastAsia="Times New Roman" w:hAnsi="Times New Roman" w:cs="Times New Roman"/>
          <w:kern w:val="0"/>
          <w14:ligatures w14:val="none"/>
        </w:rPr>
        <w:t>.</w:t>
      </w:r>
    </w:p>
    <w:p w14:paraId="3B70C47C" w14:textId="18959B75" w:rsidR="00C872F6" w:rsidRPr="009257E7" w:rsidRDefault="00C872F6" w:rsidP="00FE64AA">
      <w:pPr>
        <w:spacing w:before="100" w:beforeAutospacing="1" w:after="100" w:afterAutospacing="1" w:line="240" w:lineRule="auto"/>
        <w:ind w:firstLine="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Además, much</w:t>
      </w:r>
      <w:r w:rsidR="00FE64AA" w:rsidRPr="009257E7">
        <w:rPr>
          <w:rFonts w:ascii="Times New Roman" w:eastAsia="Times New Roman" w:hAnsi="Times New Roman" w:cs="Times New Roman"/>
          <w:kern w:val="0"/>
          <w14:ligatures w14:val="none"/>
        </w:rPr>
        <w:t>o</w:t>
      </w:r>
      <w:r w:rsidRPr="009257E7">
        <w:rPr>
          <w:rFonts w:ascii="Times New Roman" w:eastAsia="Times New Roman" w:hAnsi="Times New Roman" w:cs="Times New Roman"/>
          <w:kern w:val="0"/>
          <w14:ligatures w14:val="none"/>
        </w:rPr>
        <w:t>s financiadores utilizan un marco de ceguera al color o a la identidad para comprender los problemas sociales y, por ello, no financian las estrategias ni los equipos necesarios para abordarlos de manera efectiva. Como señaló un informe de 2020</w:t>
      </w:r>
      <w:r w:rsidR="00FE64AA" w:rsidRPr="009257E7">
        <w:rPr>
          <w:rFonts w:ascii="Times New Roman" w:eastAsia="Times New Roman" w:hAnsi="Times New Roman" w:cs="Times New Roman"/>
          <w:kern w:val="0"/>
          <w14:ligatures w14:val="none"/>
        </w:rPr>
        <w:t>,</w:t>
      </w:r>
      <w:r w:rsidRPr="009257E7">
        <w:rPr>
          <w:rFonts w:ascii="Times New Roman" w:eastAsia="Times New Roman" w:hAnsi="Times New Roman" w:cs="Times New Roman"/>
          <w:kern w:val="0"/>
          <w14:ligatures w14:val="none"/>
        </w:rPr>
        <w:t xml:space="preserve"> elaborado por Echoing Green, entidad financiadora de becas de abogacía, y Bridgespan Group, grupo consultor que asesora a filántropos, l</w:t>
      </w:r>
      <w:r w:rsidR="00FE64AA" w:rsidRPr="009257E7">
        <w:rPr>
          <w:rFonts w:ascii="Times New Roman" w:eastAsia="Times New Roman" w:hAnsi="Times New Roman" w:cs="Times New Roman"/>
          <w:kern w:val="0"/>
          <w14:ligatures w14:val="none"/>
        </w:rPr>
        <w:t>o</w:t>
      </w:r>
      <w:r w:rsidRPr="009257E7">
        <w:rPr>
          <w:rFonts w:ascii="Times New Roman" w:eastAsia="Times New Roman" w:hAnsi="Times New Roman" w:cs="Times New Roman"/>
          <w:kern w:val="0"/>
          <w14:ligatures w14:val="none"/>
        </w:rPr>
        <w:t>s financiadores que respaldan enfoques de ceguera al color y a la identidad malinterpretan de manera fundamental los problemas sociales. Con frecuencia, estos financiadores consideran que los problemas materiales —las “necesidades”— no guardan relación con las identidades sociales —en particular, con la raza— ni con las cuestiones de igualdad. Como resultado, no apoyan a líderes, organizaciones, coaliciones, estrategias ni soluciones arraigadas en comunidades marginadas y sujetas a rendición de cuentas ante ellas</w:t>
      </w:r>
      <w:r w:rsidR="00FE64AA" w:rsidRPr="009257E7">
        <w:rPr>
          <w:rStyle w:val="FootnoteReference"/>
          <w:rFonts w:ascii="Times New Roman" w:eastAsia="Times New Roman" w:hAnsi="Times New Roman" w:cs="Times New Roman"/>
          <w:kern w:val="0"/>
          <w14:ligatures w14:val="none"/>
        </w:rPr>
        <w:footnoteReference w:id="268"/>
      </w:r>
      <w:r w:rsidRPr="009257E7">
        <w:rPr>
          <w:rFonts w:ascii="Times New Roman" w:eastAsia="Times New Roman" w:hAnsi="Times New Roman" w:cs="Times New Roman"/>
          <w:kern w:val="0"/>
          <w14:ligatures w14:val="none"/>
        </w:rPr>
        <w:t>.</w:t>
      </w:r>
    </w:p>
    <w:p w14:paraId="05A33266" w14:textId="7C2F5B42" w:rsidR="00041F56" w:rsidRPr="009257E7" w:rsidRDefault="00C872F6" w:rsidP="006E63F1">
      <w:pPr>
        <w:spacing w:before="100" w:beforeAutospacing="1" w:after="100" w:afterAutospacing="1" w:line="240" w:lineRule="auto"/>
        <w:ind w:firstLine="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 xml:space="preserve">En lugar de iniciativas estratégicas y colaborativas, estos financiadores crean “silos estratégicos”. Financian servicios directos prestados de manera aislada de las colaboraciones sostenidas, interdisciplinarias y desde abajo entre les abogades, les clientes, les organizadores, les proveedores de servicios humanos y otras personas, y los financian en sustitución de esas colaboraciones. El National Committee for Responsive Philanthropy (NCRP) identifica cuatro tipos de trabajo programático importantes para el financiamiento de la justicia social: </w:t>
      </w:r>
      <w:r w:rsidRPr="009257E7">
        <w:rPr>
          <w:rFonts w:ascii="Times New Roman" w:eastAsia="Times New Roman" w:hAnsi="Times New Roman" w:cs="Times New Roman"/>
          <w:i/>
          <w:iCs/>
          <w:kern w:val="0"/>
          <w14:ligatures w14:val="none"/>
        </w:rPr>
        <w:t>servicios sociales o jurídicos directos</w:t>
      </w:r>
      <w:r w:rsidRPr="009257E7">
        <w:rPr>
          <w:rFonts w:ascii="Times New Roman" w:eastAsia="Times New Roman" w:hAnsi="Times New Roman" w:cs="Times New Roman"/>
          <w:kern w:val="0"/>
          <w14:ligatures w14:val="none"/>
        </w:rPr>
        <w:t xml:space="preserve"> para atender necesidades inmediatas, generalmente individuales; </w:t>
      </w:r>
      <w:r w:rsidRPr="009257E7">
        <w:rPr>
          <w:rFonts w:ascii="Times New Roman" w:eastAsia="Times New Roman" w:hAnsi="Times New Roman" w:cs="Times New Roman"/>
          <w:i/>
          <w:iCs/>
          <w:kern w:val="0"/>
          <w14:ligatures w14:val="none"/>
        </w:rPr>
        <w:t>organización comunitaria</w:t>
      </w:r>
      <w:r w:rsidRPr="009257E7">
        <w:rPr>
          <w:rFonts w:ascii="Times New Roman" w:eastAsia="Times New Roman" w:hAnsi="Times New Roman" w:cs="Times New Roman"/>
          <w:kern w:val="0"/>
          <w14:ligatures w14:val="none"/>
        </w:rPr>
        <w:t xml:space="preserve"> para construir una voz colectiva; </w:t>
      </w:r>
      <w:r w:rsidRPr="009257E7">
        <w:rPr>
          <w:rFonts w:ascii="Times New Roman" w:eastAsia="Times New Roman" w:hAnsi="Times New Roman" w:cs="Times New Roman"/>
          <w:i/>
          <w:iCs/>
          <w:kern w:val="0"/>
          <w14:ligatures w14:val="none"/>
        </w:rPr>
        <w:t>abogacía jurídica</w:t>
      </w:r>
      <w:r w:rsidRPr="009257E7">
        <w:rPr>
          <w:rFonts w:ascii="Times New Roman" w:eastAsia="Times New Roman" w:hAnsi="Times New Roman" w:cs="Times New Roman"/>
          <w:kern w:val="0"/>
          <w14:ligatures w14:val="none"/>
        </w:rPr>
        <w:t xml:space="preserve"> para transformar decisiones de políticas públicas</w:t>
      </w:r>
      <w:r w:rsidR="00FE64AA" w:rsidRPr="009257E7">
        <w:rPr>
          <w:rStyle w:val="FootnoteReference"/>
          <w:rFonts w:ascii="Times New Roman" w:eastAsia="Times New Roman" w:hAnsi="Times New Roman" w:cs="Times New Roman"/>
          <w:kern w:val="0"/>
          <w14:ligatures w14:val="none"/>
        </w:rPr>
        <w:footnoteReference w:id="269"/>
      </w:r>
      <w:r w:rsidRPr="009257E7">
        <w:rPr>
          <w:rFonts w:ascii="Times New Roman" w:eastAsia="Times New Roman" w:hAnsi="Times New Roman" w:cs="Times New Roman"/>
          <w:kern w:val="0"/>
          <w14:ligatures w14:val="none"/>
        </w:rPr>
        <w:t xml:space="preserve">; y </w:t>
      </w:r>
      <w:r w:rsidRPr="009257E7">
        <w:rPr>
          <w:rFonts w:ascii="Times New Roman" w:eastAsia="Times New Roman" w:hAnsi="Times New Roman" w:cs="Times New Roman"/>
          <w:i/>
          <w:iCs/>
          <w:kern w:val="0"/>
          <w14:ligatures w14:val="none"/>
        </w:rPr>
        <w:t>participación cívica</w:t>
      </w:r>
      <w:r w:rsidRPr="009257E7">
        <w:rPr>
          <w:rFonts w:ascii="Times New Roman" w:eastAsia="Times New Roman" w:hAnsi="Times New Roman" w:cs="Times New Roman"/>
          <w:kern w:val="0"/>
          <w14:ligatures w14:val="none"/>
        </w:rPr>
        <w:t xml:space="preserve"> para aumentar la participación pública. Solo el 12 % de las subvenciones recientes de fundaciones que afirmaban promover la igualdad apoy</w:t>
      </w:r>
      <w:r w:rsidR="006E63F1" w:rsidRPr="009257E7">
        <w:rPr>
          <w:rFonts w:ascii="Times New Roman" w:eastAsia="Times New Roman" w:hAnsi="Times New Roman" w:cs="Times New Roman"/>
          <w:kern w:val="0"/>
          <w14:ligatures w14:val="none"/>
        </w:rPr>
        <w:t>aron</w:t>
      </w:r>
      <w:r w:rsidRPr="009257E7">
        <w:rPr>
          <w:rFonts w:ascii="Times New Roman" w:eastAsia="Times New Roman" w:hAnsi="Times New Roman" w:cs="Times New Roman"/>
          <w:kern w:val="0"/>
          <w14:ligatures w14:val="none"/>
        </w:rPr>
        <w:t xml:space="preserve"> algo distinto de los servicios sociales y jurídicos directos, lo que limita d</w:t>
      </w:r>
      <w:r w:rsidR="006E63F1" w:rsidRPr="009257E7">
        <w:rPr>
          <w:rFonts w:ascii="Times New Roman" w:eastAsia="Times New Roman" w:hAnsi="Times New Roman" w:cs="Times New Roman"/>
          <w:kern w:val="0"/>
          <w14:ligatures w14:val="none"/>
        </w:rPr>
        <w:t>rásticamente</w:t>
      </w:r>
      <w:r w:rsidRPr="009257E7">
        <w:rPr>
          <w:rFonts w:ascii="Times New Roman" w:eastAsia="Times New Roman" w:hAnsi="Times New Roman" w:cs="Times New Roman"/>
          <w:kern w:val="0"/>
          <w14:ligatures w14:val="none"/>
        </w:rPr>
        <w:t xml:space="preserve"> las colaboraciones con estrategias múltiples que permiten perseguir de manera coordinada </w:t>
      </w:r>
      <w:r w:rsidRPr="009257E7">
        <w:rPr>
          <w:rFonts w:ascii="Times New Roman" w:eastAsia="Times New Roman" w:hAnsi="Times New Roman" w:cs="Times New Roman"/>
          <w:kern w:val="0"/>
          <w14:ligatures w14:val="none"/>
        </w:rPr>
        <w:lastRenderedPageBreak/>
        <w:t xml:space="preserve">objetivos orientados tanto a la mejora </w:t>
      </w:r>
      <w:r w:rsidRPr="009257E7">
        <w:rPr>
          <w:rFonts w:ascii="Times New Roman" w:eastAsia="Times New Roman" w:hAnsi="Times New Roman" w:cs="Times New Roman"/>
          <w:i/>
          <w:iCs/>
          <w:kern w:val="0"/>
          <w14:ligatures w14:val="none"/>
        </w:rPr>
        <w:t>como</w:t>
      </w:r>
      <w:r w:rsidRPr="009257E7">
        <w:rPr>
          <w:rFonts w:ascii="Times New Roman" w:eastAsia="Times New Roman" w:hAnsi="Times New Roman" w:cs="Times New Roman"/>
          <w:kern w:val="0"/>
          <w14:ligatures w14:val="none"/>
        </w:rPr>
        <w:t xml:space="preserve"> a la transformación</w:t>
      </w:r>
      <w:r w:rsidR="006E63F1" w:rsidRPr="009257E7">
        <w:rPr>
          <w:rStyle w:val="FootnoteReference"/>
          <w:rFonts w:ascii="Times New Roman" w:eastAsia="Times New Roman" w:hAnsi="Times New Roman" w:cs="Times New Roman"/>
          <w:kern w:val="0"/>
          <w14:ligatures w14:val="none"/>
        </w:rPr>
        <w:footnoteReference w:id="270"/>
      </w:r>
      <w:r w:rsidRPr="009257E7">
        <w:rPr>
          <w:rFonts w:ascii="Times New Roman" w:eastAsia="Times New Roman" w:hAnsi="Times New Roman" w:cs="Times New Roman"/>
          <w:kern w:val="0"/>
          <w14:ligatures w14:val="none"/>
        </w:rPr>
        <w:t>. Sin embargo, las inversiones en colaboraciones estratégicas —especialmente las sostenidas— generan resultados: según el NCRP, producen 115 dólares en beneficios por cada dólar invertido</w:t>
      </w:r>
      <w:r w:rsidR="006E63F1" w:rsidRPr="009257E7">
        <w:rPr>
          <w:rStyle w:val="FootnoteReference"/>
          <w:rFonts w:ascii="Times New Roman" w:eastAsia="Times New Roman" w:hAnsi="Times New Roman" w:cs="Times New Roman"/>
          <w:kern w:val="0"/>
          <w14:ligatures w14:val="none"/>
        </w:rPr>
        <w:footnoteReference w:id="271"/>
      </w:r>
      <w:r w:rsidRPr="009257E7">
        <w:rPr>
          <w:rFonts w:ascii="Times New Roman" w:eastAsia="Times New Roman" w:hAnsi="Times New Roman" w:cs="Times New Roman"/>
          <w:kern w:val="0"/>
          <w14:ligatures w14:val="none"/>
        </w:rPr>
        <w:t xml:space="preserve">. Y, como hemos visto, constituyen la única manera de comenzar a enfrentar patrones arraigados de castas identitarias. </w:t>
      </w:r>
    </w:p>
    <w:p w14:paraId="7DE5FF58" w14:textId="1F82F99B" w:rsidR="006E63F1" w:rsidRPr="009257E7" w:rsidRDefault="006E63F1" w:rsidP="007168CD">
      <w:pPr>
        <w:pStyle w:val="NormalWeb"/>
        <w:ind w:firstLine="720"/>
      </w:pPr>
      <w:r w:rsidRPr="009257E7">
        <w:t>L</w:t>
      </w:r>
      <w:r w:rsidR="007168CD" w:rsidRPr="009257E7">
        <w:t>o</w:t>
      </w:r>
      <w:r w:rsidRPr="009257E7">
        <w:t xml:space="preserve">s financiadores también reproducen las desigualdades sociales al devaluar las ocupaciones en las que predominan las mujeres. Las personas que se identifican como mujeres </w:t>
      </w:r>
      <w:r w:rsidR="007168CD" w:rsidRPr="009257E7">
        <w:t>representa</w:t>
      </w:r>
      <w:r w:rsidRPr="009257E7">
        <w:t xml:space="preserve">n aproximadamente tres cuartas partes del personal </w:t>
      </w:r>
      <w:r w:rsidR="007168CD" w:rsidRPr="009257E7">
        <w:t>de</w:t>
      </w:r>
      <w:r w:rsidRPr="009257E7">
        <w:t xml:space="preserve"> </w:t>
      </w:r>
      <w:r w:rsidR="007168CD" w:rsidRPr="009257E7">
        <w:t>las</w:t>
      </w:r>
      <w:r w:rsidRPr="009257E7">
        <w:t xml:space="preserve"> organizaciones sin fines de lucro. “Esto se traduce en salarios bajos, una carga emocional mayor y en que los puestos con los salarios más altos hayan sido ocupados históricamente por hombres, aunque sean una minoría dentro del sector”</w:t>
      </w:r>
      <w:r w:rsidR="007168CD" w:rsidRPr="009257E7">
        <w:rPr>
          <w:rStyle w:val="FootnoteReference"/>
        </w:rPr>
        <w:footnoteReference w:id="272"/>
      </w:r>
      <w:r w:rsidRPr="009257E7">
        <w:t xml:space="preserve">. Las mujeres de color son las más afectadas porque se concentran en empleos </w:t>
      </w:r>
      <w:r w:rsidR="007168CD" w:rsidRPr="009257E7">
        <w:t>de</w:t>
      </w:r>
      <w:r w:rsidRPr="009257E7">
        <w:t xml:space="preserve"> m</w:t>
      </w:r>
      <w:r w:rsidR="007168CD" w:rsidRPr="009257E7">
        <w:t>enor</w:t>
      </w:r>
      <w:r w:rsidRPr="009257E7">
        <w:t xml:space="preserve"> </w:t>
      </w:r>
      <w:r w:rsidR="007168CD" w:rsidRPr="009257E7">
        <w:t>salario</w:t>
      </w:r>
      <w:r w:rsidRPr="009257E7">
        <w:t xml:space="preserve"> y enfrentan barreras significativas para avanzar profesionalmente</w:t>
      </w:r>
      <w:r w:rsidR="007168CD" w:rsidRPr="009257E7">
        <w:rPr>
          <w:rStyle w:val="FootnoteReference"/>
        </w:rPr>
        <w:footnoteReference w:id="273"/>
      </w:r>
      <w:r w:rsidRPr="009257E7">
        <w:t>. Las abogadas, por ejemplo, tienen “más del doble de probabilidades que los hombres de trabajar en áreas de interés público con salarios más bajos”</w:t>
      </w:r>
      <w:r w:rsidR="007168CD" w:rsidRPr="009257E7">
        <w:rPr>
          <w:rStyle w:val="FootnoteReference"/>
        </w:rPr>
        <w:footnoteReference w:id="274"/>
      </w:r>
      <w:r w:rsidRPr="009257E7">
        <w:t>. Los salarios medianos dentro del derecho de interés público equivalen aproximadamente a la mitad de los salarios de la práctica privada —aunque la propia práctica privada sigue un patrón bimodal, con una brecha amplia entre los</w:t>
      </w:r>
      <w:r w:rsidR="007168CD" w:rsidRPr="009257E7">
        <w:t xml:space="preserve"> (</w:t>
      </w:r>
      <w:r w:rsidRPr="009257E7">
        <w:t>salarios de los bufetes pequeños y los grandes</w:t>
      </w:r>
      <w:r w:rsidR="007168CD" w:rsidRPr="009257E7">
        <w:t>)</w:t>
      </w:r>
      <w:r w:rsidR="007168CD" w:rsidRPr="009257E7">
        <w:rPr>
          <w:rStyle w:val="FootnoteReference"/>
        </w:rPr>
        <w:footnoteReference w:id="275"/>
      </w:r>
      <w:r w:rsidRPr="009257E7">
        <w:t>. Les abogades afroamericanes, latin</w:t>
      </w:r>
      <w:r w:rsidR="007168CD" w:rsidRPr="009257E7">
        <w:t>es</w:t>
      </w:r>
      <w:r w:rsidRPr="009257E7">
        <w:t xml:space="preserve"> e indígenas estadounidenses reciben salarios inferiores a los de sus colegas anglos dentro de los espacios de interés público, al igual que ocurre en los bufetes privados y las agencias gubernamentales</w:t>
      </w:r>
      <w:r w:rsidR="007168CD" w:rsidRPr="009257E7">
        <w:rPr>
          <w:rStyle w:val="FootnoteReference"/>
        </w:rPr>
        <w:footnoteReference w:id="276"/>
      </w:r>
      <w:r w:rsidRPr="009257E7">
        <w:t xml:space="preserve">. El “descuento del sector sin fines de lucro” en salarios y beneficios se explica como la compensación entre “hacer el bien” y “prosperar”, pero tanto la segregación ocupacional como la discriminación contribuyen a devaluar el trabajo </w:t>
      </w:r>
      <w:r w:rsidR="009811A7" w:rsidRPr="009257E7">
        <w:t>en</w:t>
      </w:r>
      <w:r w:rsidRPr="009257E7">
        <w:t xml:space="preserve"> d</w:t>
      </w:r>
      <w:r w:rsidR="009811A7" w:rsidRPr="009257E7">
        <w:t>icho</w:t>
      </w:r>
      <w:r w:rsidRPr="009257E7">
        <w:t xml:space="preserve"> sector. </w:t>
      </w:r>
    </w:p>
    <w:p w14:paraId="7B81D232" w14:textId="48212966" w:rsidR="006E63F1" w:rsidRPr="009257E7" w:rsidRDefault="006E63F1" w:rsidP="009811A7">
      <w:pPr>
        <w:pStyle w:val="NormalWeb"/>
        <w:ind w:firstLine="720"/>
      </w:pPr>
      <w:r w:rsidRPr="009257E7">
        <w:t xml:space="preserve">Estos problemas crean barreras de entrada para muches trabajadores nueves o jóvenes, así como barreras para el progreso profesional y la estabilidad económica del personal con experiencia. Cada vez con mayor frecuencia, integrantes del personal de organizaciones de servicios jurídicos, </w:t>
      </w:r>
      <w:r w:rsidR="009811A7" w:rsidRPr="009257E7">
        <w:t xml:space="preserve">de </w:t>
      </w:r>
      <w:r w:rsidRPr="009257E7">
        <w:t xml:space="preserve">organizaciones de abogacía sobre asuntos específicos, </w:t>
      </w:r>
      <w:r w:rsidR="009811A7" w:rsidRPr="009257E7">
        <w:t xml:space="preserve">de </w:t>
      </w:r>
      <w:r w:rsidRPr="009257E7">
        <w:t>centros de investigación y</w:t>
      </w:r>
      <w:r w:rsidR="009811A7" w:rsidRPr="009257E7">
        <w:t xml:space="preserve"> de</w:t>
      </w:r>
      <w:r w:rsidRPr="009257E7">
        <w:t xml:space="preserve"> otras organizaciones sin fines de lucro han intentado sindicalizarse, pero con </w:t>
      </w:r>
      <w:r w:rsidRPr="009257E7">
        <w:lastRenderedPageBreak/>
        <w:t>frecuencia enfrentan la indignidad adicional de una oposición intensa por parte de sus empleadores cuando procuran ejercer el derecho fundamental a organizarse</w:t>
      </w:r>
      <w:r w:rsidR="009811A7" w:rsidRPr="009257E7">
        <w:rPr>
          <w:rStyle w:val="FootnoteReference"/>
        </w:rPr>
        <w:footnoteReference w:id="277"/>
      </w:r>
      <w:r w:rsidRPr="009257E7">
        <w:t xml:space="preserve">. </w:t>
      </w:r>
    </w:p>
    <w:p w14:paraId="3E69B256" w14:textId="3DABD78C" w:rsidR="006E63F1" w:rsidRPr="009257E7" w:rsidRDefault="006E63F1" w:rsidP="009811A7">
      <w:pPr>
        <w:pStyle w:val="NormalWeb"/>
        <w:ind w:firstLine="720"/>
      </w:pPr>
      <w:r w:rsidRPr="009257E7">
        <w:t>Estas críticas generales a l</w:t>
      </w:r>
      <w:r w:rsidR="009811A7" w:rsidRPr="009257E7">
        <w:t>o</w:t>
      </w:r>
      <w:r w:rsidRPr="009257E7">
        <w:t>s financiadores y a los patrones de financiamiento también se reflejan en la filantropía desde arriba</w:t>
      </w:r>
      <w:r w:rsidR="009811A7" w:rsidRPr="009257E7">
        <w:t>,</w:t>
      </w:r>
      <w:r w:rsidRPr="009257E7">
        <w:t xml:space="preserve"> dirigida específicamente a proveedores de servicios jurídicos y</w:t>
      </w:r>
      <w:r w:rsidR="009811A7" w:rsidRPr="009257E7">
        <w:t xml:space="preserve"> a</w:t>
      </w:r>
      <w:r w:rsidRPr="009257E7">
        <w:t xml:space="preserve"> organizaciones de abogacía </w:t>
      </w:r>
      <w:r w:rsidR="009811A7" w:rsidRPr="009257E7">
        <w:t>en</w:t>
      </w:r>
      <w:r w:rsidRPr="009257E7">
        <w:t xml:space="preserve"> asuntos específicos. Al centrarse en el subsector jurídico de la industria sin fines de lucro, las académicas jurídicas Catherine Albiston y Laura Beth Nielsen analizaron las organizaciones de derecho de interés público (PILOs, por sus siglas en inglés</w:t>
      </w:r>
      <w:r w:rsidR="009811A7" w:rsidRPr="009257E7">
        <w:t xml:space="preserve"> - </w:t>
      </w:r>
      <w:r w:rsidR="009811A7" w:rsidRPr="009257E7">
        <w:rPr>
          <w:szCs w:val="21"/>
        </w:rPr>
        <w:t>public interest law organizations</w:t>
      </w:r>
      <w:r w:rsidRPr="009257E7">
        <w:t xml:space="preserve">) teniendo presentes estas preocupaciones. Las PILOs son “organizaciones del sector voluntario cuyas actividades (1) procuran </w:t>
      </w:r>
      <w:r w:rsidR="009811A7" w:rsidRPr="009257E7">
        <w:t>genera</w:t>
      </w:r>
      <w:r w:rsidRPr="009257E7">
        <w:t xml:space="preserve">r beneficios significativos para personas externas a quienes participan en la organización </w:t>
      </w:r>
      <w:r w:rsidR="009811A7" w:rsidRPr="009257E7">
        <w:t>e</w:t>
      </w:r>
      <w:r w:rsidRPr="009257E7">
        <w:t xml:space="preserve"> (2) incluyen al menos una estrategia jurisdiccional”</w:t>
      </w:r>
      <w:r w:rsidR="009811A7" w:rsidRPr="009257E7">
        <w:rPr>
          <w:rStyle w:val="FootnoteReference"/>
        </w:rPr>
        <w:footnoteReference w:id="278"/>
      </w:r>
      <w:r w:rsidRPr="009257E7">
        <w:t>. Las organizaciones de servicios jurídicos, que constituyen un tipo de PILO, reciben financiamiento principalmente de la Legal Services Corporation (LSC), agencia federal, y de asociaciones estatales de abogades, en gran medida mediante fondos provenientes de los intereses generados por cuentas fiduciarias de abogades (IOLTA, por sus siglas en inglés</w:t>
      </w:r>
      <w:r w:rsidR="009811A7" w:rsidRPr="009257E7">
        <w:t xml:space="preserve"> - </w:t>
      </w:r>
      <w:r w:rsidR="009811A7" w:rsidRPr="009257E7">
        <w:rPr>
          <w:szCs w:val="21"/>
        </w:rPr>
        <w:t>interest collected on lawyer trust accounts</w:t>
      </w:r>
      <w:r w:rsidRPr="009257E7">
        <w:t xml:space="preserve">). Tanto las subvenciones de LSC como las de IOLTA se destinan a apoyar servicios jurídicos para personas pobres y ambas han sido objeto de controversias y cambios. Las organizaciones de servicios jurídicos también reciben apoyo de otras fuentes: fundaciones filantrópicas, donantes individuales y corporativos, cuotas de membresía, honorarios por servicios, subvenciones gubernamentales no provenientes de LSC, programas de becas jurídicas, fundaciones vinculadas a asociaciones de abogades y otras fuentes. Albiston y Nielsen concluyeron que estas y otras fuentes similares de financiamiento crean oportunidades y, al mismo tiempo, las restringen: </w:t>
      </w:r>
    </w:p>
    <w:p w14:paraId="166608DE" w14:textId="74CFB2FB" w:rsidR="006E63F1" w:rsidRPr="009257E7" w:rsidRDefault="006E63F1" w:rsidP="00B86A85">
      <w:pPr>
        <w:pStyle w:val="NormalWeb"/>
        <w:ind w:left="720"/>
      </w:pPr>
      <w:r w:rsidRPr="009257E7">
        <w:t xml:space="preserve">Hay razones para creer que las estructuras de financiamiento de las PILOs afectan no solo su viabilidad, sino también sus estrategias, su independencia y su vulnerabilidad </w:t>
      </w:r>
      <w:r w:rsidR="00B86A85" w:rsidRPr="009257E7">
        <w:t>ante</w:t>
      </w:r>
      <w:r w:rsidRPr="009257E7">
        <w:t xml:space="preserve"> la intimidación política. Por ejemplo, intereses políticos opuestos a la representación de interés público promovieron con éxito límites legislativos a las estrategias jurídicas de organizaciones financiadas con fondos federales, y esas limitaciones redujeron </w:t>
      </w:r>
      <w:r w:rsidR="00B86A85" w:rsidRPr="009257E7">
        <w:t>sustancialmente</w:t>
      </w:r>
      <w:r w:rsidRPr="009257E7">
        <w:t xml:space="preserve"> la representación disponible para las personas que dependen de la asistencia jurídica pública. De manera similar, las PILOs apoyadas por el sector privado de la abogacía enfrentaron repercusiones </w:t>
      </w:r>
      <w:r w:rsidR="00B86A85" w:rsidRPr="009257E7">
        <w:t>al</w:t>
      </w:r>
      <w:r w:rsidRPr="009257E7">
        <w:t xml:space="preserve"> impugnar judicialmente las actuaciones de clientes de ese mismo sector. Por tanto, los modelos de financiamiento afectan la independencia</w:t>
      </w:r>
      <w:r w:rsidR="00B86A85" w:rsidRPr="009257E7">
        <w:t>,</w:t>
      </w:r>
      <w:r w:rsidRPr="009257E7">
        <w:t xml:space="preserve"> las estrategias </w:t>
      </w:r>
      <w:r w:rsidR="00B86A85" w:rsidRPr="009257E7">
        <w:t>y</w:t>
      </w:r>
      <w:r w:rsidRPr="009257E7">
        <w:t xml:space="preserve"> la </w:t>
      </w:r>
      <w:r w:rsidR="00B86A85" w:rsidRPr="009257E7">
        <w:t>sostenibilidad</w:t>
      </w:r>
      <w:r w:rsidRPr="009257E7">
        <w:t xml:space="preserve"> </w:t>
      </w:r>
      <w:r w:rsidR="00B86A85" w:rsidRPr="009257E7">
        <w:t>de</w:t>
      </w:r>
      <w:r w:rsidRPr="009257E7">
        <w:t xml:space="preserve"> </w:t>
      </w:r>
      <w:r w:rsidR="00B86A85" w:rsidRPr="009257E7">
        <w:t>las</w:t>
      </w:r>
      <w:r w:rsidRPr="009257E7">
        <w:t xml:space="preserve"> </w:t>
      </w:r>
      <w:r w:rsidR="00B86A85" w:rsidRPr="009257E7">
        <w:t>PILOs</w:t>
      </w:r>
      <w:r w:rsidRPr="009257E7">
        <w:t>.</w:t>
      </w:r>
      <w:r w:rsidR="00B86A85" w:rsidRPr="009257E7">
        <w:rPr>
          <w:rStyle w:val="FootnoteReference"/>
        </w:rPr>
        <w:footnoteReference w:id="279"/>
      </w:r>
      <w:r w:rsidRPr="009257E7">
        <w:t xml:space="preserve"> </w:t>
      </w:r>
    </w:p>
    <w:p w14:paraId="0D8A2343" w14:textId="4B8D1F8D" w:rsidR="00B86A85" w:rsidRPr="009257E7" w:rsidRDefault="00B86A85" w:rsidP="00B86A85">
      <w:pPr>
        <w:pStyle w:val="NormalWeb"/>
      </w:pPr>
      <w:r w:rsidRPr="009257E7">
        <w:t xml:space="preserve">Las PILOs forman parte del “complejo industrial sin fines de lucro” más amplio (NPIC, por sus siglas en inglés - </w:t>
      </w:r>
      <w:r w:rsidRPr="009257E7">
        <w:rPr>
          <w:szCs w:val="21"/>
        </w:rPr>
        <w:t>nonprofit industrial complex</w:t>
      </w:r>
      <w:r w:rsidRPr="009257E7">
        <w:t xml:space="preserve">), expresión que se refiere al desarrollo del sector sin fines de lucro como parte del sistema económico capitalista neoliberal. Este sector incluye </w:t>
      </w:r>
      <w:r w:rsidRPr="009257E7">
        <w:lastRenderedPageBreak/>
        <w:t>numerosas instituciones organizadas formalmente como entidades sin fines de lucro para combatir la pobreza, la desigualdad u otros problemas sociales, así como organizaciones centradas en las artes, la educación y otros ámbitos. Sin embargo, muchas de ellas pueden socavar, en lugar de promover, los desafíos al poder y a la agenda económica de las élites gobernantes, ya sea de manera intencional o inadvertida</w:t>
      </w:r>
      <w:r w:rsidRPr="009257E7">
        <w:rPr>
          <w:rStyle w:val="FootnoteReference"/>
        </w:rPr>
        <w:footnoteReference w:id="280"/>
      </w:r>
      <w:r w:rsidRPr="009257E7">
        <w:t>.</w:t>
      </w:r>
    </w:p>
    <w:p w14:paraId="07776D1A" w14:textId="255145A1" w:rsidR="00B86A85" w:rsidRPr="009257E7" w:rsidRDefault="00B86A85" w:rsidP="00B86A85">
      <w:pPr>
        <w:pStyle w:val="NormalWeb"/>
        <w:ind w:firstLine="720"/>
      </w:pPr>
      <w:r w:rsidRPr="009257E7">
        <w:t>Rickke Mananzala y Dean Spade, abogades y autores dedicados a la justicia transgénero, examinan el impacto de los enfoques predominantes de financiamiento del NPIC en programas y organizaciones de abogacía centrados en personas trans, como Sylvia Rivera Law Project, Transgender Law Center, National Center for Transgender Equality y TGI Justice Project</w:t>
      </w:r>
      <w:r w:rsidRPr="009257E7">
        <w:rPr>
          <w:rStyle w:val="FootnoteReference"/>
        </w:rPr>
        <w:footnoteReference w:id="281"/>
      </w:r>
      <w:r w:rsidRPr="009257E7">
        <w:t>. Sylvia Rivera Law Project (SRLP) comenzó con una beca jurídica concedida a une graduade reciente de derecho —Spade— para brindar asistencia jurídica gratuita a personas transgénero y evolucionó hasta convertirse en una organización independiente. El proyecto se estructuró como un colectivo destinado a prestar servicios jurídicos gratuitos a personas transgénero, intersexuales y de género no conforme con ingresos bajos; a participar en actividades de organización por la justicia racial; y a sostener una abogacía sistémica en materia de políticas públicas y de acciones directas. El grupo recauda fondos de donantes de la comunidad a la que sirve, así como de aliados individuales. Sin embargo, la recaudación de fondos de base aportaba apenas alrededor del 30 % del financiamiento total del grupo; el resto provenía de becas jurídicas, subvenciones y otras donaciones.</w:t>
      </w:r>
    </w:p>
    <w:p w14:paraId="0BA134EC" w14:textId="0F1E0FF1" w:rsidR="00B86A85" w:rsidRPr="009257E7" w:rsidRDefault="00B86A85" w:rsidP="00B86A85">
      <w:pPr>
        <w:pStyle w:val="NormalWeb"/>
        <w:ind w:firstLine="720"/>
      </w:pPr>
      <w:r w:rsidRPr="009257E7">
        <w:t>De manera significativa, el grupo también mantuvo conversaciones con sus financiadores. Muchos financiadores alentaron al grupo a adoptar las “estrategias de las organizaciones de derechos de gays con mayor financiamiento —las llamadas organizaciones exitosas—”, que tienden a atender las necesidades de integrantes de la comunidad con privilegios económicos y raciales y a evitar un enfoque de estrategias múltiples que conecte los servicios directos con la abogacía y la organización</w:t>
      </w:r>
      <w:r w:rsidRPr="009257E7">
        <w:rPr>
          <w:rStyle w:val="FootnoteReference"/>
        </w:rPr>
        <w:footnoteReference w:id="282"/>
      </w:r>
      <w:r w:rsidRPr="009257E7">
        <w:t>. Mananzala y Spade plantean preguntas autocríticas sobre las consecuencias que tendría que todes les activistas, organizadores y abogades siguieran este modelo: ¿Quién se beneficia si los grupos emergentes reproducen los objetivos y las estrategias de “las organizaciones con mayores recursos dentro del ámbito de los derechos de gays y lesbianas… [que] han utilizado estructuras y tácticas que han dado lugar a la cooptación neoliberal de los objetivos políticos de lesbianas y gays”</w:t>
      </w:r>
      <w:r w:rsidRPr="009257E7">
        <w:rPr>
          <w:rStyle w:val="FootnoteReference"/>
        </w:rPr>
        <w:footnoteReference w:id="283"/>
      </w:r>
      <w:r w:rsidRPr="009257E7">
        <w:t>?</w:t>
      </w:r>
    </w:p>
    <w:p w14:paraId="4277F73C" w14:textId="7DCE32CA" w:rsidR="00B86A85" w:rsidRPr="009257E7" w:rsidRDefault="00B86A85" w:rsidP="00B86A85">
      <w:pPr>
        <w:pStyle w:val="NormalWeb"/>
        <w:ind w:firstLine="720"/>
      </w:pPr>
      <w:r w:rsidRPr="009257E7">
        <w:t>Las políticas neoliberales desde arriba han provocado que los gobiernos reduzcan en gran medida el financiamiento de los servicios sociales, creando una brecha que los grupos de movimientos sociales no han logrado enfrentar de manera efectiva. Muchos grupos han intentado llenar esa brecha mediante la filantropía convencional; como acabamos de ver, este cambio aleja a los grupos de la abogacía y la organización y los orienta hacia las preferencias de los donantes, en lugar de hacia las prioridades comunitarias y las estrategias de abogacía sistémica</w:t>
      </w:r>
      <w:r w:rsidRPr="009257E7">
        <w:rPr>
          <w:rStyle w:val="FootnoteReference"/>
        </w:rPr>
        <w:footnoteReference w:id="284"/>
      </w:r>
      <w:r w:rsidRPr="009257E7">
        <w:t xml:space="preserve">. Los recortes profundos y recientes de la administración Trump a los servicios sociales financiados </w:t>
      </w:r>
      <w:r w:rsidRPr="009257E7">
        <w:lastRenderedPageBreak/>
        <w:t>por el gobierno no han hecho sino agravar estas presiones y restricciones. Los recortes a los servicios proporcionados por el gobierno se han combinado con amenazas de revocar el estatus jurídico tanto de fundaciones como de organizaciones sin fines de lucro que apoyan la abogacía estratégica y la organización desde abajo.</w:t>
      </w:r>
    </w:p>
    <w:p w14:paraId="0F5486CD" w14:textId="77777777" w:rsidR="00B86A85" w:rsidRPr="009257E7" w:rsidRDefault="00B86A85" w:rsidP="00B86A85">
      <w:pPr>
        <w:pStyle w:val="NormalWeb"/>
        <w:ind w:firstLine="720"/>
      </w:pPr>
      <w:r w:rsidRPr="009257E7">
        <w:t>Sin embargo, por supuesto, en un mundo complejo nada es completamente sencillo. El financiamiento crea oportunidades y, al mismo tiempo, genera restricciones. Considere, por ejemplo, la Ford Foundation —derivada de la fortuna familiar de Ford Motor Company—, fundación privada influyente que define su misión como la promoción de:</w:t>
      </w:r>
    </w:p>
    <w:p w14:paraId="38C41D52" w14:textId="6B0C9616" w:rsidR="00B86A85" w:rsidRPr="009257E7" w:rsidRDefault="00B86A85" w:rsidP="00B86A85">
      <w:pPr>
        <w:pStyle w:val="NormalWeb"/>
        <w:ind w:left="720"/>
      </w:pPr>
      <w:r w:rsidRPr="009257E7">
        <w:t>una visión de justicia social —[crear] un mundo en el que todas las personas, comunidades y pueblos trabajen para proteger y expresar plenamente sus derechos humanos; participen activamente en las decisiones que les afectan; compartan de manera equitativa el conocimiento, la riqueza y los recursos de la sociedad; y tengan libertad para alcanzar todo su potencial.</w:t>
      </w:r>
      <w:r w:rsidRPr="009257E7">
        <w:rPr>
          <w:rStyle w:val="FootnoteReference"/>
        </w:rPr>
        <w:footnoteReference w:id="285"/>
      </w:r>
    </w:p>
    <w:p w14:paraId="56A5AB21" w14:textId="77777777" w:rsidR="00B86A85" w:rsidRPr="009257E7" w:rsidRDefault="00B86A85" w:rsidP="00B86A85">
      <w:pPr>
        <w:pStyle w:val="NormalWeb"/>
        <w:ind w:firstLine="720"/>
      </w:pPr>
      <w:r w:rsidRPr="009257E7">
        <w:t>No obstante, en 2019, Darren Walker, abogado negro y gay y exbanquero de inversiones que entonces se desempeñaba como presidente de la fundación, sugirió que era necesario un “cambio” transformador:</w:t>
      </w:r>
    </w:p>
    <w:p w14:paraId="2CA2F0C0" w14:textId="694A87CE" w:rsidR="00B86A85" w:rsidRPr="009257E7" w:rsidRDefault="00B86A85" w:rsidP="00B86A85">
      <w:pPr>
        <w:pStyle w:val="NormalWeb"/>
        <w:ind w:left="720"/>
      </w:pPr>
      <w:r w:rsidRPr="009257E7">
        <w:t>Debemos confiar en quienes financiamos y proporcionarles recursos suficientes para que hagan lo que consideran mejor, no lo que nosotros creemos que es mejor. Esto significa ponernos en el lugar de quienes podrían recibir nuestras subvenciones y de las comunidades, tratarlos como socios en lugar de contratistas y confiar a las organizaciones financiamiento general de apoyo a largo plazo y subvenciones para proyectos que incluyan recursos suficientes para cubrir los gastos generales. Significa reconocer el desequilibrio de poder que con frecuencia hace que quienes reciben nuestras subvenciones sean reacios a relacionarse con nosotros de manera honesta y auténtica.</w:t>
      </w:r>
      <w:r w:rsidRPr="009257E7">
        <w:rPr>
          <w:rStyle w:val="FootnoteReference"/>
        </w:rPr>
        <w:footnoteReference w:id="286"/>
      </w:r>
    </w:p>
    <w:p w14:paraId="01FAAE7A" w14:textId="3133E4ED" w:rsidR="00B86A85" w:rsidRPr="009257E7" w:rsidRDefault="00B86A85" w:rsidP="00B86A85">
      <w:pPr>
        <w:pStyle w:val="NormalWeb"/>
        <w:ind w:firstLine="720"/>
      </w:pPr>
      <w:r w:rsidRPr="009257E7">
        <w:t>Sin embargo, “a los financiadores que trabajan en favor de la equidad y contra la desigualdad les están dando una paliza”</w:t>
      </w:r>
      <w:r w:rsidRPr="009257E7">
        <w:rPr>
          <w:rStyle w:val="FootnoteReference"/>
        </w:rPr>
        <w:footnoteReference w:id="287"/>
      </w:r>
      <w:r w:rsidRPr="009257E7">
        <w:t xml:space="preserve"> si se les evalúa según los hechos sobre el terreno, que muestran un aumento de la desigualdad de ingresos y riqueza, recortes de programas sociales, una precariedad laboral creciente, pérdida de vivienda asequible y una aceleración de las tendencias del cambio climático extremo.</w:t>
      </w:r>
    </w:p>
    <w:p w14:paraId="09041EB1" w14:textId="2AEA96BA" w:rsidR="00B86A85" w:rsidRPr="009257E7" w:rsidRDefault="00B86A85" w:rsidP="000F3B69">
      <w:pPr>
        <w:pStyle w:val="NormalWeb"/>
        <w:ind w:firstLine="720"/>
      </w:pPr>
      <w:r w:rsidRPr="009257E7">
        <w:t xml:space="preserve">En esta línea, David Callahan escribe en </w:t>
      </w:r>
      <w:r w:rsidRPr="009257E7">
        <w:rPr>
          <w:rStyle w:val="Emphasis"/>
        </w:rPr>
        <w:t>Inside Philanthropy</w:t>
      </w:r>
      <w:r w:rsidRPr="009257E7">
        <w:t xml:space="preserve"> que promover la equidad</w:t>
      </w:r>
      <w:r w:rsidR="000F3B69" w:rsidRPr="009257E7">
        <w:t>,</w:t>
      </w:r>
      <w:r w:rsidR="000F3B69" w:rsidRPr="009257E7">
        <w:tab/>
      </w:r>
      <w:r w:rsidRPr="009257E7">
        <w:t xml:space="preserve"> tratando a los grupos locales como socios, tal como sugirió anteriormente Walker, de la Ford Foundation, resulta insuficiente frente al desequilibrio acumulado de poder y riqueza </w:t>
      </w:r>
      <w:r w:rsidR="000F3B69" w:rsidRPr="009257E7">
        <w:t>en</w:t>
      </w:r>
      <w:r w:rsidRPr="009257E7">
        <w:t xml:space="preserve"> la sociedad. Callahan sostiene que las fundaciones no enfrentan la “economía política” de la </w:t>
      </w:r>
      <w:r w:rsidRPr="009257E7">
        <w:lastRenderedPageBreak/>
        <w:t>equidad: la intersección del poder y los intereses privados dentro de la toma de decisiones públicas que establece las “reglas del juego” de la economía y la democracia:</w:t>
      </w:r>
      <w:r w:rsidR="000F3B69" w:rsidRPr="009257E7">
        <w:t xml:space="preserve"> </w:t>
      </w:r>
    </w:p>
    <w:p w14:paraId="7E1A31C2" w14:textId="657E3AA3" w:rsidR="00B86A85" w:rsidRPr="009257E7" w:rsidRDefault="00B86A85" w:rsidP="000F3B69">
      <w:pPr>
        <w:pStyle w:val="NormalWeb"/>
        <w:ind w:left="360"/>
      </w:pPr>
      <w:r w:rsidRPr="009257E7">
        <w:rPr>
          <w:rStyle w:val="Emphasis"/>
        </w:rPr>
        <w:t>Porque las fundaciones orientadas hacia la equidad siguen sin concentrarse en el ámbito de importancia decisiva de la economía política.</w:t>
      </w:r>
      <w:r w:rsidRPr="009257E7">
        <w:t xml:space="preserve"> La desigualdad surge principalmente de la manera en que funciona la economía estadounidense y, de forma fundamental, del conjunto de políticas públicas y </w:t>
      </w:r>
      <w:r w:rsidR="000F3B69" w:rsidRPr="009257E7">
        <w:t xml:space="preserve">de </w:t>
      </w:r>
      <w:r w:rsidRPr="009257E7">
        <w:t xml:space="preserve">estructuras de poder que </w:t>
      </w:r>
      <w:r w:rsidR="000F3B69" w:rsidRPr="009257E7">
        <w:t>rige</w:t>
      </w:r>
      <w:r w:rsidRPr="009257E7">
        <w:t>n la vida económica. Sin embargo, en lugar de concentrarse con precisión en esta realidad fundamental, l</w:t>
      </w:r>
      <w:r w:rsidR="000F3B69" w:rsidRPr="009257E7">
        <w:t>o</w:t>
      </w:r>
      <w:r w:rsidRPr="009257E7">
        <w:t>s financiadores adoptan estrategias excesivamente dispersas, con frecuencia localizadas, que producen pocos avances sistémicos de mayor alcance. Ganan algunas batallas aquí y allá, mientras pierden la guerra. [En particular, l</w:t>
      </w:r>
      <w:r w:rsidR="000F3B69" w:rsidRPr="009257E7">
        <w:t>o</w:t>
      </w:r>
      <w:r w:rsidRPr="009257E7">
        <w:t>s financiadores fracasan por los siguientes cuatro aspectos fundamentales:]</w:t>
      </w:r>
    </w:p>
    <w:p w14:paraId="4DF3DEEB" w14:textId="7AD02766" w:rsidR="00B86A85" w:rsidRPr="009257E7" w:rsidRDefault="00B86A85" w:rsidP="00B86A85">
      <w:pPr>
        <w:pStyle w:val="NormalWeb"/>
        <w:numPr>
          <w:ilvl w:val="0"/>
          <w:numId w:val="19"/>
        </w:numPr>
      </w:pPr>
      <w:r w:rsidRPr="009257E7">
        <w:t xml:space="preserve">Pocas fundaciones se concentran en los derechos de les trabajadores y en las políticas laborales </w:t>
      </w:r>
      <w:r w:rsidR="00AE6729" w:rsidRPr="009257E7">
        <w:t>…</w:t>
      </w:r>
    </w:p>
    <w:p w14:paraId="1FBBCD3E" w14:textId="7C317363" w:rsidR="00B86A85" w:rsidRPr="009257E7" w:rsidRDefault="00B86A85" w:rsidP="00B86A85">
      <w:pPr>
        <w:pStyle w:val="NormalWeb"/>
        <w:numPr>
          <w:ilvl w:val="0"/>
          <w:numId w:val="19"/>
        </w:numPr>
      </w:pPr>
      <w:r w:rsidRPr="009257E7">
        <w:t xml:space="preserve">Las políticas fiscales reciben muy poca atención </w:t>
      </w:r>
      <w:r w:rsidR="00AE6729" w:rsidRPr="009257E7">
        <w:t>…</w:t>
      </w:r>
    </w:p>
    <w:p w14:paraId="02BD7E45" w14:textId="321270DE" w:rsidR="00B86A85" w:rsidRPr="009257E7" w:rsidRDefault="00B86A85" w:rsidP="00B86A85">
      <w:pPr>
        <w:pStyle w:val="NormalWeb"/>
        <w:numPr>
          <w:ilvl w:val="0"/>
          <w:numId w:val="19"/>
        </w:numPr>
      </w:pPr>
      <w:r w:rsidRPr="009257E7">
        <w:t xml:space="preserve">Les financiadores orientados hacia la equidad ignoran a Wall Street </w:t>
      </w:r>
      <w:r w:rsidR="00AE6729" w:rsidRPr="009257E7">
        <w:t>…</w:t>
      </w:r>
      <w:r w:rsidRPr="009257E7">
        <w:t xml:space="preserve"> [y]</w:t>
      </w:r>
    </w:p>
    <w:p w14:paraId="3AA1E021" w14:textId="2688201F" w:rsidR="00B86A85" w:rsidRPr="009257E7" w:rsidRDefault="00B86A85" w:rsidP="00B86A85">
      <w:pPr>
        <w:pStyle w:val="NormalWeb"/>
        <w:numPr>
          <w:ilvl w:val="0"/>
          <w:numId w:val="19"/>
        </w:numPr>
      </w:pPr>
      <w:r w:rsidRPr="009257E7">
        <w:t xml:space="preserve">Las fundaciones apoyan muy poco </w:t>
      </w:r>
      <w:r w:rsidR="00AE6729" w:rsidRPr="009257E7">
        <w:t xml:space="preserve">el </w:t>
      </w:r>
      <w:r w:rsidRPr="009257E7">
        <w:t>trabajo relacionado con la globalización y la automatización.</w:t>
      </w:r>
      <w:r w:rsidR="00AE6729" w:rsidRPr="009257E7">
        <w:rPr>
          <w:rStyle w:val="FootnoteReference"/>
        </w:rPr>
        <w:footnoteReference w:id="288"/>
      </w:r>
    </w:p>
    <w:p w14:paraId="6F201B45" w14:textId="77777777" w:rsidR="00B86A85" w:rsidRPr="009257E7" w:rsidRDefault="00B86A85" w:rsidP="00AE6729">
      <w:pPr>
        <w:pStyle w:val="NormalWeb"/>
        <w:ind w:firstLine="720"/>
      </w:pPr>
      <w:r w:rsidRPr="009257E7">
        <w:t>Estas observaciones finales señalan maneras en que distintos tipos de financiadores pueden apoyar los esfuerzos desde abajo para utilizar el derecho en favor de la justicia. Sin embargo, la política del financiamiento siempre será compleja y objeto de disputa. Por esta razón, les abogades y los grupos deben estar preparados para recurrir a fuentes múltiples y utilizar medios diversos con el fin de obtener y mantener el financiamiento necesario para ejecutar proyectos de abogacía transformadora, tanto durante el diseño como durante la ejecución de sus proyectos y objetivos.</w:t>
      </w:r>
    </w:p>
    <w:p w14:paraId="796F0F5A" w14:textId="77777777" w:rsidR="00B86A85" w:rsidRPr="009257E7" w:rsidRDefault="00B86A85" w:rsidP="00B86A85">
      <w:pPr>
        <w:pStyle w:val="NormalWeb"/>
      </w:pPr>
    </w:p>
    <w:p w14:paraId="403613E5" w14:textId="6EECDC0B" w:rsidR="00021262" w:rsidRPr="009257E7" w:rsidRDefault="00021262">
      <w:pPr>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br w:type="page"/>
      </w:r>
    </w:p>
    <w:p w14:paraId="33E8BD4C" w14:textId="77777777" w:rsidR="00021262" w:rsidRPr="009257E7" w:rsidRDefault="00021262" w:rsidP="00021262">
      <w:pPr>
        <w:spacing w:before="100" w:beforeAutospacing="1" w:after="100" w:afterAutospacing="1" w:line="240" w:lineRule="auto"/>
        <w:outlineLvl w:val="2"/>
        <w:rPr>
          <w:rFonts w:ascii="Times New Roman" w:eastAsia="Times New Roman" w:hAnsi="Times New Roman" w:cs="Times New Roman"/>
          <w:b/>
          <w:bCs/>
          <w:kern w:val="0"/>
          <w:lang w:val="es-ES"/>
          <w14:ligatures w14:val="none"/>
        </w:rPr>
      </w:pPr>
      <w:r w:rsidRPr="009257E7">
        <w:rPr>
          <w:rFonts w:ascii="Times New Roman" w:eastAsia="Times New Roman" w:hAnsi="Times New Roman" w:cs="Times New Roman"/>
          <w:b/>
          <w:bCs/>
          <w:kern w:val="0"/>
          <w:lang w:val="es-ES"/>
          <w14:ligatures w14:val="none"/>
        </w:rPr>
        <w:lastRenderedPageBreak/>
        <w:t>Capítulo 8: Primera etapa: investigar, analizar y diagnosticar problemas</w:t>
      </w:r>
    </w:p>
    <w:p w14:paraId="54A64BF5" w14:textId="77777777" w:rsidR="00021262" w:rsidRPr="009257E7" w:rsidRDefault="00021262" w:rsidP="00021262">
      <w:pPr>
        <w:spacing w:before="100" w:beforeAutospacing="1" w:after="100" w:afterAutospacing="1" w:line="240" w:lineRule="auto"/>
        <w:rPr>
          <w:rFonts w:ascii="Times New Roman" w:eastAsia="Times New Roman" w:hAnsi="Times New Roman" w:cs="Times New Roman"/>
          <w:kern w:val="0"/>
          <w14:ligatures w14:val="none"/>
        </w:rPr>
      </w:pPr>
      <w:r w:rsidRPr="009257E7">
        <w:rPr>
          <w:rFonts w:ascii="Times New Roman" w:eastAsia="Times New Roman" w:hAnsi="Times New Roman" w:cs="Times New Roman"/>
          <w:i/>
          <w:iCs/>
          <w:kern w:val="0"/>
          <w14:ligatures w14:val="none"/>
        </w:rPr>
        <w:t>Nadie le va a dar la educación que necesita para derrocar a quienes están en el poder. Nadie le va a enseñar su verdadera historia ni quiénes son sus verdaderos héroes si saben que ese conocimiento le ayudará a liberarse.</w:t>
      </w:r>
    </w:p>
    <w:p w14:paraId="0ABCE1C1" w14:textId="77777777" w:rsidR="00021262" w:rsidRPr="009257E7" w:rsidRDefault="00021262" w:rsidP="00021262">
      <w:pPr>
        <w:spacing w:before="100" w:beforeAutospacing="1" w:after="100" w:afterAutospacing="1" w:line="240" w:lineRule="auto"/>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—Assata Shakur</w:t>
      </w:r>
    </w:p>
    <w:p w14:paraId="0B2D643C" w14:textId="1BC8F5DF" w:rsidR="00021262" w:rsidRPr="009257E7" w:rsidRDefault="00021262" w:rsidP="00021262">
      <w:pPr>
        <w:spacing w:before="100" w:beforeAutospacing="1" w:after="100" w:afterAutospacing="1" w:line="240" w:lineRule="auto"/>
        <w:rPr>
          <w:rFonts w:ascii="Times New Roman" w:eastAsia="Times New Roman" w:hAnsi="Times New Roman" w:cs="Times New Roman"/>
          <w:b/>
          <w:bCs/>
          <w:kern w:val="0"/>
          <w14:ligatures w14:val="none"/>
        </w:rPr>
      </w:pPr>
      <w:r w:rsidRPr="009257E7">
        <w:rPr>
          <w:rFonts w:ascii="Times New Roman" w:eastAsia="Times New Roman" w:hAnsi="Times New Roman" w:cs="Times New Roman"/>
          <w:b/>
          <w:bCs/>
          <w:kern w:val="0"/>
          <w14:ligatures w14:val="none"/>
        </w:rPr>
        <w:t>Introducción</w:t>
      </w:r>
    </w:p>
    <w:p w14:paraId="676B1156" w14:textId="1B081C67" w:rsidR="00021262" w:rsidRPr="009257E7" w:rsidRDefault="00021262" w:rsidP="00021262">
      <w:pPr>
        <w:spacing w:before="100" w:beforeAutospacing="1" w:after="100" w:afterAutospacing="1" w:line="240" w:lineRule="auto"/>
        <w:ind w:firstLine="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Hemos destacado la importancia del conocimiento crítico y sus tres fuentes principales: la experiencia personal o próxima; las perspectivas provenientes de las escuelas y los enfoques y de otras disciplinas; y el conocimiento desde abajo derivado de conceptos y prácticas ampliados mediante la investigación, el análisis y el diagnóstico. Les abogades aplican este conocimiento de manera contextual para diagnosticar problemas colectivos persistentes y elaborar estrategias destinadas a solucionarlos. Apoyan a los grupos en el desarrollo de capacidades para actuar como jugadores recurrentes al impugnar conceptos fundacionales y reglas básicas. En este proceso, evitan conscientemente la injusticia epistémica de los sistemas desde arriba. Este capítulo presenta métodos, normas y técnicas relacionados que les abogades sistémiques utilizan para desarrollar el conocimiento que sirve de base para planes y proyectos efectivos de abogacía.</w:t>
      </w:r>
    </w:p>
    <w:p w14:paraId="1184EB49" w14:textId="39F65A64" w:rsidR="00021262" w:rsidRPr="009257E7" w:rsidRDefault="00021262" w:rsidP="00021262">
      <w:pPr>
        <w:spacing w:before="100" w:beforeAutospacing="1" w:after="100" w:afterAutospacing="1" w:line="240" w:lineRule="auto"/>
        <w:ind w:firstLine="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 xml:space="preserve">La mayor parte de la abogacía comienza con la investigación y el análisis, por lo que este trabajo puede considerarse la “primera etapa” de la labor de le abogade. Por lo general, les abogades procuran utilizar la investigación y el análisis para diagnosticar problemas y elaborar estrategias en los tres niveles de objetivos. Esas estrategias se llevan a cabo mediante las “acciones complejas” presentadas en el capítulo siguiente, que pueden considerarse la “segunda etapa” de la abogacía sistémica. Sin embargo, esta descripción del trabajo en “etapas” solo resulta útil para facilitar una comprensión básica de una labor compleja. En la práctica, las dos etapas son continuas, superpuestas, recurrentes e interactivas. No se desarrollan siguiendo una secuencia ordenada ni única. Por el contrario, les abogades combinan de manera flexible la investigación y el análisis con la acción, durante todo el trabajo de abogacía. Por ello, describimos la labor de la abogacía sistémica como compuesta por dos etapas superpuestas y recurrentes, únicamente, con el fin de organizar la presentación de estos materiales y facilitar su comprensión. </w:t>
      </w:r>
    </w:p>
    <w:p w14:paraId="3342F73C" w14:textId="29FA7E20" w:rsidR="00021262" w:rsidRPr="009257E7" w:rsidRDefault="00021262" w:rsidP="00021262">
      <w:pPr>
        <w:spacing w:before="100" w:beforeAutospacing="1" w:after="100" w:afterAutospacing="1" w:line="240" w:lineRule="auto"/>
        <w:ind w:firstLine="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La investigación y el análisis —el conocimiento aplicado— no se limitan al comienzo de un proyecto. Les abogades evalúan continuamente sus decisiones y concretan ajustes con agilidad para mejorar su efectividad. En la mayoría de los casos, las estrategias iniciales deben adaptarse a circunstancias que evolucionan, incluidas las respuestas de adversarios, de terceros u otros acontecimientos que intervienen. Por lo general, los diagnósticos iniciales dan forma a la estrategia, mientras que los resultados de la estrategia alimentan el diagnóstico continuo. En ocasiones, estos ajustes son sencillos; en otras, requieren cambios considerables. Les abogades se mantienen alerta y responden a las circunstancias cambiantes y a la necesidad de modificar las estrategias. Esta reflexión crítica y autocrítica continua ayuda a mantener el trabajo basado en principios y sujeto a rendición de cuentas.</w:t>
      </w:r>
    </w:p>
    <w:p w14:paraId="2B13769D" w14:textId="48AA2D65" w:rsidR="00021262" w:rsidRPr="009257E7" w:rsidRDefault="00021262" w:rsidP="00021262">
      <w:pPr>
        <w:spacing w:before="100" w:beforeAutospacing="1" w:after="100" w:afterAutospacing="1" w:line="240" w:lineRule="auto"/>
        <w:ind w:firstLine="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lastRenderedPageBreak/>
        <w:t xml:space="preserve">A partir de estos puntos de partida, comenzamos por reconocer que el conocimiento </w:t>
      </w:r>
      <w:r w:rsidRPr="009257E7">
        <w:rPr>
          <w:rFonts w:ascii="Times New Roman" w:eastAsia="Times New Roman" w:hAnsi="Times New Roman" w:cs="Times New Roman"/>
          <w:i/>
          <w:iCs/>
          <w:kern w:val="0"/>
          <w14:ligatures w14:val="none"/>
        </w:rPr>
        <w:t>siempre</w:t>
      </w:r>
      <w:r w:rsidRPr="009257E7">
        <w:rPr>
          <w:rFonts w:ascii="Times New Roman" w:eastAsia="Times New Roman" w:hAnsi="Times New Roman" w:cs="Times New Roman"/>
          <w:kern w:val="0"/>
          <w14:ligatures w14:val="none"/>
        </w:rPr>
        <w:t xml:space="preserve"> tiene una dimensión política. El conocimiento es poder o, más precisamente, como nos recuerda el investigador estratégico David Chu, “El conocimiento es poder [...] si usted sabe qué hacer con él”</w:t>
      </w:r>
      <w:r w:rsidRPr="009257E7">
        <w:rPr>
          <w:rStyle w:val="FootnoteReference"/>
          <w:rFonts w:ascii="Times New Roman" w:eastAsia="Times New Roman" w:hAnsi="Times New Roman" w:cs="Times New Roman"/>
          <w:kern w:val="0"/>
          <w14:ligatures w14:val="none"/>
        </w:rPr>
        <w:footnoteReference w:id="289"/>
      </w:r>
      <w:r w:rsidRPr="009257E7">
        <w:rPr>
          <w:rFonts w:ascii="Times New Roman" w:eastAsia="Times New Roman" w:hAnsi="Times New Roman" w:cs="Times New Roman"/>
          <w:kern w:val="0"/>
          <w14:ligatures w14:val="none"/>
        </w:rPr>
        <w:t>.[1] Debido a esta realidad estructural y sistémica, el conocimiento también siempre puede ser cuestionado y, con frecuencia, es objeto de disputa. Estas dinámicas se manifiestan tanto en la propia creación del conocimiento —en lo que se considera conocimiento— como en las líneas de rendición de cuentas y en los principios que orientan su uso. Por consiguiente, la producción y la aplicación del conocimiento implican con frecuencia tensiones, conflictos y ambigüedades a lo largo de múltiples líneas de fractura. Como vimos en capítulos anteriores, estas tensiones y conflictos incluyen los esfuerzos de las élites por atomizar, suprimir o controlar el conocimiento, mientras les activistas y les abogades procuran liberar una conciencia crítica y colectiva con fines de antisubordinación. Esta conclusión fundamental se mantiene: el conocimiento puesto en acción puede construir poder.</w:t>
      </w:r>
    </w:p>
    <w:p w14:paraId="31813A19" w14:textId="5F2EA68D" w:rsidR="00021262" w:rsidRPr="009257E7" w:rsidRDefault="00021262" w:rsidP="00021262">
      <w:pPr>
        <w:pStyle w:val="NormalWeb"/>
        <w:ind w:firstLine="720"/>
      </w:pPr>
      <w:r w:rsidRPr="009257E7">
        <w:t xml:space="preserve">A continuación, presentamos tres métodos fundamentales —la investigación-acción participativa, el empirismo crítico y la narrativa analítica— y tres normas —la interdisciplinariedad/contradisciplinariedad, el comparativismo crítico y la analítica social— que no forman parte del conjunto tradicional de herramientas de la abogacía jurídica. Estos métodos y normas ayudan a romper el monopolio de la igualdad formal sobre lo que se considera investigación y análisis jurídicos legítimos y, en última instancia, sobre lo que se considera un hecho relevante. Además, nos concentramos en el mapeo como herramienta para desarrollar una representación de las identidades, los grupos, los intereses, el poder </w:t>
      </w:r>
      <w:r w:rsidRPr="009257E7">
        <w:rPr>
          <w:rStyle w:val="Emphasis"/>
        </w:rPr>
        <w:t>y las relaciones</w:t>
      </w:r>
      <w:r w:rsidRPr="009257E7">
        <w:t xml:space="preserve"> en un contexto determinado de resolución de problemas. Aunque les abogades pueden utilizar —y, de hecho, utilizan— numerosos tipos de técnicas de mapeo pertinentes para problemas específicos, examinamos la naturaleza y las aplicaciones de cuatro técnicas de uso frecuente: el mapeo de conceptos, de activos, de partes interesadas y de poder. Estos métodos, normas y técnicas relacionad</w:t>
      </w:r>
      <w:r w:rsidR="005C4E4E" w:rsidRPr="009257E7">
        <w:t>o</w:t>
      </w:r>
      <w:r w:rsidRPr="009257E7">
        <w:t>s conectan de manera efectiva las fuentes micro de conocimiento y acción con reconcepciones colectivas de las condiciones macro</w:t>
      </w:r>
      <w:r w:rsidR="005C4E4E" w:rsidRPr="009257E7">
        <w:t>,</w:t>
      </w:r>
      <w:r w:rsidRPr="009257E7">
        <w:t xml:space="preserve"> para esclarecer problemas sociales persistentes.</w:t>
      </w:r>
    </w:p>
    <w:p w14:paraId="459E8EE6" w14:textId="1BB84864" w:rsidR="00021262" w:rsidRPr="009257E7" w:rsidRDefault="00021262" w:rsidP="005C4E4E">
      <w:pPr>
        <w:pStyle w:val="NormalWeb"/>
        <w:ind w:firstLine="720"/>
      </w:pPr>
      <w:r w:rsidRPr="009257E7">
        <w:t xml:space="preserve">Recuerde que este trabajo es necesariamente colaborativo y utiliza un conjunto ampliado de herramientas para una abogacía de tres niveles. Recuerde también que esta labor compleja se desarrolla dentro de contextos sistémicos específicos. Sin embargo, como se señaló en el capítulo 6, el contexto de la abogacía no es únicamente un “espacio” geográfico definido por un lugar y un momento determinados. Además de ese significado literal, un contexto sistémico también comprende las complejidades de ese lugar y ese momento, definidas críticamente en términos de identidades, grupos, intereses y poder. Les abogades se abren paso entre la información bruta para desarrollar una representación realista de contextos complejos: los espacios conceptuales y </w:t>
      </w:r>
      <w:r w:rsidRPr="009257E7">
        <w:lastRenderedPageBreak/>
        <w:t>reales de los problemas sociales. Desarrollan capacidades de manera ofensiva para impulsar el progreso y de manera defensiva para resistir los retrocesos. Este capítulo examina cómo se extrae, documenta, analiza e interpreta la información bruta y, de este modo, cómo se transforma en conocimiento accionable para diagnosticar problemas y elaborar estrategias de solución orientadas a la justicia igualitaria.</w:t>
      </w:r>
    </w:p>
    <w:p w14:paraId="6E4636F5" w14:textId="77777777" w:rsidR="005C4E4E" w:rsidRPr="009257E7" w:rsidRDefault="00021262" w:rsidP="00021262">
      <w:pPr>
        <w:pStyle w:val="NormalWeb"/>
        <w:rPr>
          <w:b/>
          <w:bCs/>
          <w:lang w:val="es-ES"/>
        </w:rPr>
      </w:pPr>
      <w:r w:rsidRPr="009257E7">
        <w:rPr>
          <w:b/>
          <w:bCs/>
          <w:lang w:val="es-ES"/>
        </w:rPr>
        <w:t xml:space="preserve">8.1 El conocimiento siempre tiene una </w:t>
      </w:r>
      <w:r w:rsidR="005C4E4E" w:rsidRPr="009257E7">
        <w:rPr>
          <w:b/>
          <w:bCs/>
          <w:lang w:val="es-ES"/>
        </w:rPr>
        <w:t xml:space="preserve">dimensión </w:t>
      </w:r>
      <w:r w:rsidRPr="009257E7">
        <w:rPr>
          <w:b/>
          <w:bCs/>
          <w:lang w:val="es-ES"/>
        </w:rPr>
        <w:t>política, que puede sesgar el análisis y la acción</w:t>
      </w:r>
    </w:p>
    <w:p w14:paraId="2ACE4910" w14:textId="718C8D54" w:rsidR="00021262" w:rsidRPr="009257E7" w:rsidRDefault="00021262" w:rsidP="005C4E4E">
      <w:pPr>
        <w:pStyle w:val="NormalWeb"/>
        <w:ind w:firstLine="720"/>
        <w:rPr>
          <w:b/>
          <w:bCs/>
          <w:lang w:val="es-ES"/>
        </w:rPr>
      </w:pPr>
      <w:r w:rsidRPr="009257E7">
        <w:t xml:space="preserve">La investigación crítica genera conocimiento “nuevo”, y el conocimiento nuevo con frecuencia amenaza las premisas y los mitos del </w:t>
      </w:r>
      <w:r w:rsidRPr="009257E7">
        <w:rPr>
          <w:rStyle w:val="Emphasis"/>
        </w:rPr>
        <w:t>statu quo</w:t>
      </w:r>
      <w:r w:rsidRPr="009257E7">
        <w:t xml:space="preserve">. Este </w:t>
      </w:r>
      <w:r w:rsidR="005C4E4E" w:rsidRPr="009257E7">
        <w:t>conocimiento nuevo surge de colaboraciones que ponen de relieve la experiencia y la sabiduría de quienes se encuentran “abajo” en un escenario determinado para resolver</w:t>
      </w:r>
      <w:r w:rsidRPr="009257E7">
        <w:t xml:space="preserve"> problemas. Las reglas restrictivas de la igualdad formal y de la industria jurídica no detienen aquí la producción de conocimiento:</w:t>
      </w:r>
    </w:p>
    <w:p w14:paraId="46D5C673" w14:textId="61F96057" w:rsidR="00021262" w:rsidRPr="009257E7" w:rsidRDefault="00021262" w:rsidP="005C4E4E">
      <w:pPr>
        <w:pStyle w:val="NormalWeb"/>
        <w:ind w:left="720"/>
      </w:pPr>
      <w:r w:rsidRPr="009257E7">
        <w:t xml:space="preserve">Mirar hacia abajo —adoptar la perspectiva de quienes han visto y sentido la falsedad de [la promesa del derecho </w:t>
      </w:r>
      <w:r w:rsidR="005C4E4E" w:rsidRPr="009257E7">
        <w:t>a la</w:t>
      </w:r>
      <w:r w:rsidRPr="009257E7">
        <w:t xml:space="preserve"> justicia igualitaria]— puede ayudar a les académicos crítiques en la tarea de comprender la fenomenología del derecho y definir los elementos de la justicia. [...] Cuando las nociones de lo correcto y lo incorrecto, de la justicia y la injusticia, se examinan no desde una posición abstracta, sino desde la posición de grupos que han sufrido a lo largo de la historia, el relativismo moral retrocede y surgen prioridades normativas identificables.</w:t>
      </w:r>
      <w:r w:rsidR="005C4E4E" w:rsidRPr="009257E7">
        <w:rPr>
          <w:rStyle w:val="FootnoteReference"/>
        </w:rPr>
        <w:footnoteReference w:id="290"/>
      </w:r>
    </w:p>
    <w:p w14:paraId="122B093D" w14:textId="77777777" w:rsidR="00021262" w:rsidRPr="009257E7" w:rsidRDefault="00021262" w:rsidP="005C4E4E">
      <w:pPr>
        <w:pStyle w:val="NormalWeb"/>
        <w:ind w:firstLine="720"/>
      </w:pPr>
      <w:r w:rsidRPr="009257E7">
        <w:t>La investigación crítica genera información, pero también puede generar tensiones cuando les investigadores enfrentan cuestiones complejas relacionadas con los principios y la rendición de cuentas al combatir métodos de represión desde arriba, que abarcan desde presiones y distorsiones sutiles hasta ataques directos —físicos, económicos, contra la reputación y de otro tipo—. Esta disputa continua forma parte integral de la política del conocimiento dentro de las luchas de antisubordinación y de la abogacía.</w:t>
      </w:r>
    </w:p>
    <w:p w14:paraId="180E2C60" w14:textId="3579C412" w:rsidR="00021262" w:rsidRPr="009257E7" w:rsidRDefault="00021262" w:rsidP="005C4E4E">
      <w:pPr>
        <w:pStyle w:val="NormalWeb"/>
        <w:ind w:firstLine="720"/>
      </w:pPr>
      <w:r w:rsidRPr="009257E7">
        <w:t>Esta disputa contin</w:t>
      </w:r>
      <w:r w:rsidR="005C4E4E" w:rsidRPr="009257E7">
        <w:t>úa</w:t>
      </w:r>
      <w:r w:rsidRPr="009257E7">
        <w:t xml:space="preserve"> porque la información es mercancía </w:t>
      </w:r>
      <w:r w:rsidR="005C4E4E" w:rsidRPr="009257E7">
        <w:t>en</w:t>
      </w:r>
      <w:r w:rsidRPr="009257E7">
        <w:t xml:space="preserve"> una sociedad capitalista. Como resultado, la política del conocimiento i</w:t>
      </w:r>
      <w:r w:rsidR="005C4E4E" w:rsidRPr="009257E7">
        <w:t>mplica</w:t>
      </w:r>
      <w:r w:rsidRPr="009257E7">
        <w:t xml:space="preserve"> enfrentar la infraestructura que las élites han construido para controlar la información y obtener ventajas en las disputas sobre políticas públicas. Aprovechando esa ventaja, las élites procuran obtener información mediante la vigilancia, la obtención de pruebas en litigios, la piratería informática, la infiltración y otras estrategias destinadas a debilitar a las organizaciones que buscan justicia igualitaria y desacreditar a les abogades y </w:t>
      </w:r>
      <w:r w:rsidR="005C4E4E" w:rsidRPr="009257E7">
        <w:t xml:space="preserve">les </w:t>
      </w:r>
      <w:r w:rsidRPr="009257E7">
        <w:t xml:space="preserve">activistas individuales. Estos ataques contra la información y sus fuentes no son accidentales; por lo general, forman parte de una estrategia jurídica y de relaciones públicas </w:t>
      </w:r>
      <w:r w:rsidR="005C4E4E" w:rsidRPr="009257E7">
        <w:t>orienta</w:t>
      </w:r>
      <w:r w:rsidRPr="009257E7">
        <w:t xml:space="preserve">da a mantener el dominio de las élites sobre el derecho y la sociedad. </w:t>
      </w:r>
      <w:bookmarkStart w:id="46" w:name="OLE_LINK1"/>
      <w:r w:rsidRPr="009257E7">
        <w:t>Las élites construyen y destruyen fuentes de información, conciencia y acción para desacreditar el conocimiento crítico como elemento de la lucha grupal.</w:t>
      </w:r>
      <w:bookmarkEnd w:id="46"/>
    </w:p>
    <w:p w14:paraId="72C90FBA" w14:textId="2C8E244F" w:rsidR="00021262" w:rsidRPr="009257E7" w:rsidRDefault="00021262" w:rsidP="005C4E4E">
      <w:pPr>
        <w:pStyle w:val="NormalWeb"/>
        <w:ind w:firstLine="720"/>
      </w:pPr>
      <w:r w:rsidRPr="009257E7">
        <w:lastRenderedPageBreak/>
        <w:t>Considere el ejemplo</w:t>
      </w:r>
      <w:r w:rsidR="005C4E4E" w:rsidRPr="009257E7">
        <w:t xml:space="preserve"> siguiente</w:t>
      </w:r>
      <w:r w:rsidRPr="009257E7">
        <w:t xml:space="preserve"> de este tipo de ataques motivados políticamente. CASA de Maryland, una organización dedicada a los derechos de las personas inmigrantes, sufrió ataques continuos contra su información, según se describe en un informe de RoadMap Consulting, organización que ayuda a los grupos a evitar este tipo de ataques o a resistirlos:</w:t>
      </w:r>
    </w:p>
    <w:p w14:paraId="266D3CE5" w14:textId="77777777" w:rsidR="00021262" w:rsidRPr="009257E7" w:rsidRDefault="00021262" w:rsidP="005C4E4E">
      <w:pPr>
        <w:pStyle w:val="NormalWeb"/>
        <w:ind w:left="720"/>
      </w:pPr>
      <w:r w:rsidRPr="009257E7">
        <w:t>Si usted defiende la justicia, enfrentará oposición. Les organizadores de base y les abogades lo saben. Quienes pueden perder influencia política, dinero y control cultural tienen interés en socavar a las organizaciones que los exponen o los desafían.</w:t>
      </w:r>
    </w:p>
    <w:p w14:paraId="47C5ED71" w14:textId="02A6B34A" w:rsidR="00021262" w:rsidRPr="009257E7" w:rsidRDefault="005C4E4E" w:rsidP="005C4E4E">
      <w:pPr>
        <w:pStyle w:val="NormalWeb"/>
        <w:ind w:left="720"/>
      </w:pPr>
      <w:r w:rsidRPr="009257E7">
        <w:t xml:space="preserve">… </w:t>
      </w:r>
      <w:r w:rsidR="00021262" w:rsidRPr="009257E7">
        <w:t>Durante más de diez años, la derecha había estado vigilando a CASA de Maryland, una organización con una trayectoria extensa de prestación de servicios [jurídicos y de otro tipo] a personas inmigrantes y de abogacía en favor de sus derechos. Los grupos antiinmigrantes no solo habían vigilado estrechamente a CASA, sino que habían recopilado cientos de sus documentos e incluso habían obtenido acceso a grupos privados de discusión en línea. Los opositores utilizaron este material para lanzar un ataque público agresivo contra CASA, alegando falsamente, entre otras acusaciones infundadas, que estaba inscribiendo a “ilegales” para votar</w:t>
      </w:r>
      <w:r w:rsidRPr="009257E7">
        <w:t>…</w:t>
      </w:r>
      <w:r w:rsidR="00021262" w:rsidRPr="009257E7">
        <w:t xml:space="preserve"> CASA pasó dos años respondiendo a estas acusaciones falsas. Al final, CASA resistió la tormenta, puso al descubierto a quienes estaban detrás de los ataques y salió de la experiencia con mayor credibilidad y efectividad que nunca.</w:t>
      </w:r>
    </w:p>
    <w:p w14:paraId="0F32D023" w14:textId="1BB1F9B3" w:rsidR="00021262" w:rsidRPr="009257E7" w:rsidRDefault="005C4E4E" w:rsidP="005C4E4E">
      <w:pPr>
        <w:pStyle w:val="NormalWeb"/>
        <w:ind w:left="720"/>
      </w:pPr>
      <w:r w:rsidRPr="009257E7">
        <w:t>…</w:t>
      </w:r>
      <w:r w:rsidR="00021262" w:rsidRPr="009257E7">
        <w:t xml:space="preserve"> Todos los días, los grupos dedicados a la justicia social son objeto de ataques políticamente</w:t>
      </w:r>
      <w:r w:rsidR="00B040A6" w:rsidRPr="009257E7">
        <w:t xml:space="preserve"> motivados</w:t>
      </w:r>
      <w:r w:rsidR="00021262" w:rsidRPr="009257E7">
        <w:t>. Aunque estos ataques no son nuevos, se ha producido un cambio claro en el clima político que ha dado lugar a una mayor</w:t>
      </w:r>
      <w:r w:rsidR="00B040A6" w:rsidRPr="009257E7">
        <w:t xml:space="preserve"> intensidad</w:t>
      </w:r>
      <w:r w:rsidR="00021262" w:rsidRPr="009257E7">
        <w:t xml:space="preserve"> del espionaje corporativo; al surgimiento de impugnaciones jurídicas más agresivas y sistemáticas; a investigaciones gubernamentales más frecuentes basadas en denuncias infundadas; y a un aumento de los ataques contra la seguridad digital y de los incidentes de acoso personal</w:t>
      </w:r>
      <w:r w:rsidR="00B040A6" w:rsidRPr="009257E7">
        <w:t>.</w:t>
      </w:r>
      <w:r w:rsidR="00B040A6" w:rsidRPr="009257E7">
        <w:rPr>
          <w:rStyle w:val="FootnoteReference"/>
        </w:rPr>
        <w:footnoteReference w:id="291"/>
      </w:r>
    </w:p>
    <w:p w14:paraId="2B677827" w14:textId="16E26BF4" w:rsidR="00021262" w:rsidRPr="009257E7" w:rsidRDefault="00021262" w:rsidP="00B040A6">
      <w:pPr>
        <w:pStyle w:val="NormalWeb"/>
        <w:ind w:firstLine="720"/>
      </w:pPr>
      <w:r w:rsidRPr="009257E7">
        <w:t xml:space="preserve">Además de los ataques directos, las élites </w:t>
      </w:r>
      <w:r w:rsidR="00B040A6" w:rsidRPr="009257E7">
        <w:t>emple</w:t>
      </w:r>
      <w:r w:rsidRPr="009257E7">
        <w:t>an sistemas para suprimir el conocimiento crítico. Les abogades sistémiques y les activistas enfrentan presiones personales y profesionales que les exigen “ir más allá” de su enfoque en la opresión racial, los abusos de género y la conciencia de clase. La presión para realizar análisis “sin una política progresista y sin un componente material” es implacable</w:t>
      </w:r>
      <w:r w:rsidR="00B040A6" w:rsidRPr="009257E7">
        <w:rPr>
          <w:rStyle w:val="FootnoteReference"/>
        </w:rPr>
        <w:footnoteReference w:id="292"/>
      </w:r>
      <w:r w:rsidRPr="009257E7">
        <w:t>. Esta presión no proviene únicamente de los opositores, sino también, en ocasiones, de amistades, familiares y colegas con buenas intenciones. Debido a las relaciones complejas —y a las diferencias— entre les actores, así como a los diversos riesgos y beneficios que enfrenta cada une, surgen tensiones y presiones “internas” dentro de los propios procesos de planificación, realización, análisis y utilización de la investigación.</w:t>
      </w:r>
    </w:p>
    <w:p w14:paraId="3B7934CE" w14:textId="1D229D91" w:rsidR="00021262" w:rsidRPr="009257E7" w:rsidRDefault="00021262" w:rsidP="00B040A6">
      <w:pPr>
        <w:pStyle w:val="NormalWeb"/>
        <w:ind w:firstLine="720"/>
      </w:pPr>
      <w:r w:rsidRPr="009257E7">
        <w:lastRenderedPageBreak/>
        <w:t>En estas circunstancias, les abogades sistémiques y les activistas se preguntan continuamente cómo puede llevarse a cabo y utilizarse la investigación desde abajo</w:t>
      </w:r>
      <w:r w:rsidR="00B040A6" w:rsidRPr="009257E7">
        <w:t>,</w:t>
      </w:r>
      <w:r w:rsidRPr="009257E7">
        <w:t xml:space="preserve"> de maneras basadas en principios y sujetas a rendición de cuentas. En algunos casos, une investigadore-abogade debe resolver tensiones entre las normas jurídicas y éticas que priorizan una representación vigorosa del cliente y el compromiso profesional —también incorporado en la ética jurídica, aunque destacado con menor frecuencia— de servir a un propósito de justicia más amplio. Casi siempre, les abogades deben desarrollar una conciencia de sí mismes que les permita desenvolverse en entornos multiculturales, interclasistas e interdisciplinarios. Además, se les exige a les abogades y </w:t>
      </w:r>
      <w:r w:rsidR="00B040A6" w:rsidRPr="009257E7">
        <w:t xml:space="preserve">a les </w:t>
      </w:r>
      <w:r w:rsidRPr="009257E7">
        <w:t xml:space="preserve">activistas que reflexionen de manera autocrítica sobre cómo la extracción de información o el intercambio de historias contribuye al avance del trabajo relacionado con cualquiera de los objetivos de tres niveles, así como con todos ellos. Les abogades toman decisiones difíciles reconociendo que, en efecto, están tomando decisiones: decisiones que tienen consecuencias para quienes se encuentran abajo </w:t>
      </w:r>
      <w:r w:rsidR="00B040A6" w:rsidRPr="009257E7">
        <w:t>en</w:t>
      </w:r>
      <w:r w:rsidRPr="009257E7">
        <w:t xml:space="preserve"> la sociedad.</w:t>
      </w:r>
    </w:p>
    <w:p w14:paraId="2753E86E" w14:textId="36DA988A" w:rsidR="00B040A6" w:rsidRPr="009257E7" w:rsidRDefault="00B040A6" w:rsidP="00B040A6">
      <w:pPr>
        <w:spacing w:before="100" w:beforeAutospacing="1" w:after="100" w:afterAutospacing="1" w:line="240" w:lineRule="auto"/>
        <w:ind w:firstLine="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El conocimiento, su vocabulario y las instituciones que lo producen contribuyen a configurar el poder social y las realidades materiales; por ello, la producción de conocimiento tiene consecuencias sociales y materiales. Dado que la producción de conocimiento tiene una dimensión política, les investigadores han desarrollado prácticas recomendadas para garantizar que la investigación desde abajo, dentro de colaboraciones orientadas hacia la justicia social, se lleve a cabo de maneras basadas en principios y sujetas a rendición de cuentas. Las investigadoras en psicología Ruth Fassinger y Susan Morrow, por ejemplo, describen algunas de estas prácticas recomendadas en investigaciones centradas en la justicia social en la orientación y la psicología, prácticas que también resultan pertinentes para la investigación jurídica en la abogacía sistémica. Sugieren que estas prácticas ayudan a les investigadores a “comprender las desigualdades sociales sistémicas que privilegian o marginan a determinados grupos de personas y a trabajar hacia un cambio social que dé lugar a una redistribución del poder y los recursos”:</w:t>
      </w:r>
    </w:p>
    <w:p w14:paraId="590893C2" w14:textId="08EFA58A" w:rsidR="00B040A6" w:rsidRPr="009257E7" w:rsidRDefault="00B040A6" w:rsidP="00B040A6">
      <w:pPr>
        <w:spacing w:before="100" w:beforeAutospacing="1" w:after="100" w:afterAutospacing="1" w:line="240" w:lineRule="auto"/>
        <w:ind w:left="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[L]a competencia cultural, manifestada en la capacidad de desenvolverse en una cultura distinta de la propia, constituye una necesidad fundacional para todes les investigadores, ya sean integrantes de grupos dominantes o marginados. Las destrezas [profesionales] multiculturales efectivas pueden ayudar a les investigadores a establecer relaciones de confianza, fomentar la autorreflexión y promover una interacción respetuosa con los participantes… También se destaca… la importancia de comprender aspectos como las historias culturales de les participantes; las leyes y las políticas pertinentes; los valores, las normas, las costumbres y las tradiciones de les participantes y de sus comunidades; y el clima sociopolítico visto desde las perspectivas de les participantes. Le investigadore debe poseer destrezas de comunicación con competencia cultural —incluida la fluidez lingüística— y demostrar respeto por les participantes y sus culturas; el respeto se manifiesta mediante la adopción de una postura no patologizante frente a las manifestaciones culturales y mediante el trabajo activo para desmantelar los estereotipos culturales…</w:t>
      </w:r>
    </w:p>
    <w:p w14:paraId="3919647A" w14:textId="4A531C88" w:rsidR="00B040A6" w:rsidRPr="009257E7" w:rsidRDefault="00B040A6" w:rsidP="00B040A6">
      <w:pPr>
        <w:spacing w:before="100" w:beforeAutospacing="1" w:after="100" w:afterAutospacing="1" w:line="240" w:lineRule="auto"/>
        <w:ind w:left="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 xml:space="preserve">Es importante… examinar y monitorear qué poder… poseen les integrantes del equipo para determinar quién se incorpora al equipo, qué decisiones analíticas se toman [y] cómo se distribuye el financiamiento… [L]a atención explícita al poder relativo dentro del </w:t>
      </w:r>
      <w:r w:rsidRPr="009257E7">
        <w:rPr>
          <w:rFonts w:ascii="Times New Roman" w:eastAsia="Times New Roman" w:hAnsi="Times New Roman" w:cs="Times New Roman"/>
          <w:kern w:val="0"/>
          <w14:ligatures w14:val="none"/>
        </w:rPr>
        <w:lastRenderedPageBreak/>
        <w:t>equipo de investigación y los esfuerzos activos dirigidos a igualar el poder y mantener el equilibrio son esenciales…</w:t>
      </w:r>
    </w:p>
    <w:p w14:paraId="1E305E7C" w14:textId="19E94E2F" w:rsidR="00B040A6" w:rsidRPr="009257E7" w:rsidRDefault="00B040A6" w:rsidP="00B040A6">
      <w:pPr>
        <w:spacing w:before="100" w:beforeAutospacing="1" w:after="100" w:afterAutospacing="1" w:line="240" w:lineRule="auto"/>
        <w:ind w:left="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En el centro de una investigación respetuosa en materia de justicia social se encuentra… garantizar la oportunidad de una “participación significativa” por parte de les integrantes de la comunidad objeto de investigación… [Además,] les investigadores de justicia social procuran deliberadamente devolver sus hallazgos a las comunidades, presentar la investigación de una forma que resulte útil para les participantes y las comunidades, y poner los resultados a disposición de todes les integrantes de la comunidad, no solo de quienes participaron activamente en la investigación.</w:t>
      </w:r>
      <w:r w:rsidRPr="009257E7">
        <w:rPr>
          <w:rStyle w:val="FootnoteReference"/>
          <w:rFonts w:ascii="Times New Roman" w:eastAsia="Times New Roman" w:hAnsi="Times New Roman" w:cs="Times New Roman"/>
          <w:kern w:val="0"/>
          <w14:ligatures w14:val="none"/>
        </w:rPr>
        <w:footnoteReference w:id="293"/>
      </w:r>
    </w:p>
    <w:p w14:paraId="687B7B62" w14:textId="7BBD944E" w:rsidR="00021262" w:rsidRPr="009257E7" w:rsidRDefault="00B040A6" w:rsidP="00B040A6">
      <w:pPr>
        <w:spacing w:before="100" w:beforeAutospacing="1" w:after="100" w:afterAutospacing="1" w:line="240" w:lineRule="auto"/>
        <w:ind w:firstLine="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La reflexión de Fassinger y Morrow sobre las prácticas recomendadas para los equipos de investigación se hace eco del análisis sobre el trabajo en equipo y el profesionalismo colaborativo desarrollado con mayor detalle en el capítulo 7. Sin embargo, destacan un factor adicional fundamental: el poder impregna todos los aspectos de la investigación y el análisis, y su uso indebido puede distorsionar los resultados de la investigación, es decir, el conocimiento. Incluso cuando estas distorsiones son involuntarias, pueden debilitar las estrategias y los resultados de la abogacía. Con este marco presente, pasamos a los mecanismos de este trabajo: las dos “etapas” recurrentes de la abogacía sistémica.</w:t>
      </w:r>
    </w:p>
    <w:p w14:paraId="28C17E78" w14:textId="77777777" w:rsidR="00D64D17" w:rsidRPr="009257E7" w:rsidRDefault="00021262" w:rsidP="00021262">
      <w:pPr>
        <w:spacing w:before="100" w:beforeAutospacing="1" w:after="100" w:afterAutospacing="1" w:line="240" w:lineRule="auto"/>
        <w:rPr>
          <w:rFonts w:ascii="Times New Roman" w:eastAsia="Times New Roman" w:hAnsi="Times New Roman" w:cs="Times New Roman"/>
          <w:kern w:val="0"/>
          <w:lang w:val="es-ES"/>
          <w14:ligatures w14:val="none"/>
        </w:rPr>
      </w:pPr>
      <w:r w:rsidRPr="009257E7">
        <w:rPr>
          <w:rFonts w:ascii="Times New Roman" w:eastAsia="Times New Roman" w:hAnsi="Times New Roman" w:cs="Times New Roman"/>
          <w:b/>
          <w:bCs/>
          <w:kern w:val="0"/>
          <w:lang w:val="es-ES"/>
          <w14:ligatures w14:val="none"/>
        </w:rPr>
        <w:t>8.2</w:t>
      </w:r>
      <w:r w:rsidRPr="009257E7">
        <w:rPr>
          <w:rFonts w:ascii="Times New Roman" w:eastAsia="Times New Roman" w:hAnsi="Times New Roman" w:cs="Times New Roman"/>
          <w:kern w:val="0"/>
          <w:lang w:val="es-ES"/>
          <w14:ligatures w14:val="none"/>
        </w:rPr>
        <w:t xml:space="preserve"> Les abogades diagnostican problemas y formulan estrategias de solución en dos etapas recurrentes</w:t>
      </w:r>
    </w:p>
    <w:p w14:paraId="6BD1DF12" w14:textId="7B2AA52E" w:rsidR="00D64D17" w:rsidRPr="009257E7" w:rsidRDefault="00D64D17" w:rsidP="00D64D17">
      <w:pPr>
        <w:pStyle w:val="NormalWeb"/>
        <w:ind w:firstLine="720"/>
      </w:pPr>
      <w:r w:rsidRPr="009257E7">
        <w:t xml:space="preserve">La abogacía sistémica incorpora dos etapas —la investigación y el análisis críticos (primera etapa) y las acciones complejas de abogacía (segunda etapa)— que funcionan de manera conjunta para crear y aplicar conocimiento desde abajo de formas basadas en principios y sujetas a rendición de cuentas. Aunque se describen como etapas, este trabajo se desarrolla y se repite de manera iterativa. En términos generales, la solución de problemas comienza con la investigación y el análisis contextuales, que luego conducen a estrategias de abogacía orientadas a los objetivos de tres niveles. Después, a medida que les abogades implementan las estrategias, evalúan los resultados, adaptan sus acciones en consecuencia y continúan avanzando. Mediante este proceso continuo de ciclos o etapas recurrentes y superpuestas, les abogades crean estrategias prácticas para superar mecanismos de injusticia sistémica de las élites, tanto antiguos como nuevos. De manera conjunta, la investigación y el análisis de la </w:t>
      </w:r>
      <w:r w:rsidR="00EC798A" w:rsidRPr="009257E7">
        <w:t>p</w:t>
      </w:r>
      <w:r w:rsidRPr="009257E7">
        <w:t xml:space="preserve">rimera etapa y las acciones de abogacía de la </w:t>
      </w:r>
      <w:r w:rsidR="00EC798A" w:rsidRPr="009257E7">
        <w:t>s</w:t>
      </w:r>
      <w:r w:rsidRPr="009257E7">
        <w:t>egunda etapa abordan problemas sociales persistentes para impulsar los objetivos de tres niveles.</w:t>
      </w:r>
    </w:p>
    <w:p w14:paraId="6D67972B" w14:textId="77777777" w:rsidR="00D64D17" w:rsidRPr="009257E7" w:rsidRDefault="00D64D17" w:rsidP="00D64D17">
      <w:pPr>
        <w:pStyle w:val="NormalWeb"/>
      </w:pPr>
      <w:r w:rsidRPr="009257E7">
        <w:rPr>
          <w:rStyle w:val="Strong"/>
        </w:rPr>
        <w:t>Ciclos de acción recurrentes y superpuestos</w:t>
      </w:r>
    </w:p>
    <w:p w14:paraId="3A1F4089" w14:textId="77777777" w:rsidR="00D64D17" w:rsidRPr="009257E7" w:rsidRDefault="00D64D17" w:rsidP="00D64D17">
      <w:pPr>
        <w:pStyle w:val="NormalWeb"/>
      </w:pPr>
      <w:r w:rsidRPr="009257E7">
        <w:rPr>
          <w:rStyle w:val="Strong"/>
        </w:rPr>
        <w:t>Primera etapa: investigación y análisis críticos</w:t>
      </w:r>
    </w:p>
    <w:p w14:paraId="5BFBA19B" w14:textId="30A82284" w:rsidR="00D64D17" w:rsidRPr="009257E7" w:rsidRDefault="00D64D17" w:rsidP="00EC798A">
      <w:pPr>
        <w:pStyle w:val="NormalWeb"/>
        <w:ind w:firstLine="720"/>
      </w:pPr>
      <w:r w:rsidRPr="009257E7">
        <w:rPr>
          <w:rStyle w:val="Emphasis"/>
        </w:rPr>
        <w:t xml:space="preserve">La preparación tradicional enseña a definir un problema en términos </w:t>
      </w:r>
      <w:r w:rsidR="00EC798A" w:rsidRPr="009257E7">
        <w:rPr>
          <w:rStyle w:val="Emphasis"/>
        </w:rPr>
        <w:t>jurídicos</w:t>
      </w:r>
      <w:r w:rsidRPr="009257E7">
        <w:rPr>
          <w:rStyle w:val="Emphasis"/>
        </w:rPr>
        <w:t xml:space="preserve"> y a utilizar la investigación jurídica para identificar los hechos relevantes. La abogacía sistémica amplía la investigación y el análisis para garantizar que se incluyan las perspectivas de los </w:t>
      </w:r>
      <w:r w:rsidRPr="009257E7">
        <w:rPr>
          <w:rStyle w:val="Emphasis"/>
        </w:rPr>
        <w:lastRenderedPageBreak/>
        <w:t>grupos marginados, poner al descubierto las maneras en que las élites se benefician del problema y asegurar que se proporcione la información necesaria para avanzar hacia los objetivos de tres niveles.</w:t>
      </w:r>
    </w:p>
    <w:p w14:paraId="5F73AF58" w14:textId="77777777" w:rsidR="00D64D17" w:rsidRPr="009257E7" w:rsidRDefault="00D64D17" w:rsidP="00D64D17">
      <w:pPr>
        <w:pStyle w:val="NormalWeb"/>
      </w:pPr>
      <w:r w:rsidRPr="009257E7">
        <w:rPr>
          <w:rStyle w:val="Strong"/>
        </w:rPr>
        <w:t>Métodos de investigación:</w:t>
      </w:r>
    </w:p>
    <w:p w14:paraId="741A9C5B" w14:textId="77777777" w:rsidR="00D64D17" w:rsidRPr="009257E7" w:rsidRDefault="00D64D17" w:rsidP="00D64D17">
      <w:pPr>
        <w:pStyle w:val="NormalWeb"/>
      </w:pPr>
      <w:r w:rsidRPr="009257E7">
        <w:t>– Investigación-acción participativa</w:t>
      </w:r>
      <w:r w:rsidRPr="009257E7">
        <w:br/>
        <w:t>– Empirismo crítico</w:t>
      </w:r>
      <w:r w:rsidRPr="009257E7">
        <w:br/>
        <w:t xml:space="preserve">– Narrativa analítica </w:t>
      </w:r>
    </w:p>
    <w:p w14:paraId="3BED43A6" w14:textId="77777777" w:rsidR="00D64D17" w:rsidRPr="009257E7" w:rsidRDefault="00D64D17" w:rsidP="00D64D17">
      <w:pPr>
        <w:pStyle w:val="NormalWeb"/>
      </w:pPr>
      <w:r w:rsidRPr="009257E7">
        <w:rPr>
          <w:rStyle w:val="Strong"/>
        </w:rPr>
        <w:t>Normas de investigación:</w:t>
      </w:r>
    </w:p>
    <w:p w14:paraId="1849030F" w14:textId="77777777" w:rsidR="00D64D17" w:rsidRPr="009257E7" w:rsidRDefault="00D64D17" w:rsidP="00D64D17">
      <w:pPr>
        <w:pStyle w:val="NormalWeb"/>
      </w:pPr>
      <w:r w:rsidRPr="009257E7">
        <w:t>– Interdisciplinariedad/contradisciplinariedad</w:t>
      </w:r>
      <w:r w:rsidRPr="009257E7">
        <w:br/>
        <w:t>– Comparativismo crítico</w:t>
      </w:r>
      <w:r w:rsidRPr="009257E7">
        <w:br/>
        <w:t xml:space="preserve">– Analítica social </w:t>
      </w:r>
    </w:p>
    <w:p w14:paraId="4407226D" w14:textId="77777777" w:rsidR="00D64D17" w:rsidRPr="009257E7" w:rsidRDefault="00D64D17" w:rsidP="00D64D17">
      <w:pPr>
        <w:pStyle w:val="NormalWeb"/>
      </w:pPr>
      <w:r w:rsidRPr="009257E7">
        <w:rPr>
          <w:rStyle w:val="Strong"/>
        </w:rPr>
        <w:t>Técnicas de mapeo:</w:t>
      </w:r>
    </w:p>
    <w:p w14:paraId="60C0907A" w14:textId="77777777" w:rsidR="00D64D17" w:rsidRPr="009257E7" w:rsidRDefault="00D64D17" w:rsidP="00D64D17">
      <w:pPr>
        <w:pStyle w:val="NormalWeb"/>
      </w:pPr>
      <w:r w:rsidRPr="009257E7">
        <w:t>– Mapeo de conceptos</w:t>
      </w:r>
      <w:r w:rsidRPr="009257E7">
        <w:br/>
        <w:t>– Mapeo de activos comunitarios</w:t>
      </w:r>
      <w:r w:rsidRPr="009257E7">
        <w:br/>
        <w:t>– Mapeo de partes interesadas</w:t>
      </w:r>
      <w:r w:rsidRPr="009257E7">
        <w:br/>
        <w:t xml:space="preserve">– Mapeo de poder </w:t>
      </w:r>
    </w:p>
    <w:p w14:paraId="56739334" w14:textId="77777777" w:rsidR="00D64D17" w:rsidRPr="009257E7" w:rsidRDefault="00D64D17" w:rsidP="00D64D17">
      <w:pPr>
        <w:pStyle w:val="NormalWeb"/>
      </w:pPr>
      <w:r w:rsidRPr="009257E7">
        <w:rPr>
          <w:rStyle w:val="Strong"/>
        </w:rPr>
        <w:t>Segunda etapa: acciones de abogacía</w:t>
      </w:r>
    </w:p>
    <w:p w14:paraId="2AE30789" w14:textId="5AA0B86B" w:rsidR="00D64D17" w:rsidRPr="009257E7" w:rsidRDefault="00D64D17" w:rsidP="00EC798A">
      <w:pPr>
        <w:pStyle w:val="NormalWeb"/>
        <w:ind w:firstLine="720"/>
      </w:pPr>
      <w:r w:rsidRPr="009257E7">
        <w:rPr>
          <w:rStyle w:val="Emphasis"/>
        </w:rPr>
        <w:t xml:space="preserve">Las acciones tradicionales de </w:t>
      </w:r>
      <w:r w:rsidR="00EC798A" w:rsidRPr="009257E7">
        <w:rPr>
          <w:rStyle w:val="Emphasis"/>
        </w:rPr>
        <w:t xml:space="preserve">la </w:t>
      </w:r>
      <w:r w:rsidRPr="009257E7">
        <w:rPr>
          <w:rStyle w:val="Emphasis"/>
        </w:rPr>
        <w:t xml:space="preserve">abogacía están orientadas a la mejora y, por lo general, son individuales —un caso o un contrato, por ejemplo—. En la abogacía sistémica, estas acciones </w:t>
      </w:r>
      <w:r w:rsidR="00EC798A" w:rsidRPr="009257E7">
        <w:rPr>
          <w:rStyle w:val="Emphasis"/>
        </w:rPr>
        <w:t>se</w:t>
      </w:r>
      <w:r w:rsidRPr="009257E7">
        <w:rPr>
          <w:rStyle w:val="Emphasis"/>
        </w:rPr>
        <w:t xml:space="preserve"> </w:t>
      </w:r>
      <w:r w:rsidR="00EC798A" w:rsidRPr="009257E7">
        <w:rPr>
          <w:rStyle w:val="Emphasis"/>
        </w:rPr>
        <w:t>integran</w:t>
      </w:r>
      <w:r w:rsidRPr="009257E7">
        <w:rPr>
          <w:rStyle w:val="Emphasis"/>
        </w:rPr>
        <w:t xml:space="preserve"> </w:t>
      </w:r>
      <w:r w:rsidR="00EC798A" w:rsidRPr="009257E7">
        <w:rPr>
          <w:rStyle w:val="Emphasis"/>
        </w:rPr>
        <w:t>en</w:t>
      </w:r>
      <w:r w:rsidRPr="009257E7">
        <w:rPr>
          <w:rStyle w:val="Emphasis"/>
        </w:rPr>
        <w:t xml:space="preserve"> acciones complejas de abogacía. Se coordinan y combinan con otras actividades jurídicas y extrajurídicas para involucrar a las comunidades, presionar o persuadir a los responsables de la toma de decisiones de las élites y hacer todo lo necesario para alcanzar los objetivos de tres niveles.</w:t>
      </w:r>
    </w:p>
    <w:p w14:paraId="62A4DDD9" w14:textId="77777777" w:rsidR="00D64D17" w:rsidRPr="009257E7" w:rsidRDefault="00D64D17" w:rsidP="00D64D17">
      <w:pPr>
        <w:pStyle w:val="NormalWeb"/>
      </w:pPr>
      <w:r w:rsidRPr="009257E7">
        <w:rPr>
          <w:rStyle w:val="Strong"/>
        </w:rPr>
        <w:t>Acciones complejas típicas de abogacía:</w:t>
      </w:r>
    </w:p>
    <w:p w14:paraId="69DFA7D2" w14:textId="77777777" w:rsidR="00D64D17" w:rsidRPr="009257E7" w:rsidRDefault="00D64D17" w:rsidP="00D64D17">
      <w:pPr>
        <w:pStyle w:val="NormalWeb"/>
      </w:pPr>
      <w:r w:rsidRPr="009257E7">
        <w:t>– Campañas temáticas</w:t>
      </w:r>
      <w:r w:rsidRPr="009257E7">
        <w:br/>
        <w:t xml:space="preserve">– Proyectos de desarrollo comunitario (DC) </w:t>
      </w:r>
    </w:p>
    <w:p w14:paraId="443602E6" w14:textId="77777777" w:rsidR="00D64D17" w:rsidRPr="009257E7" w:rsidRDefault="00D64D17" w:rsidP="00D64D17">
      <w:pPr>
        <w:pStyle w:val="NormalWeb"/>
      </w:pPr>
      <w:r w:rsidRPr="009257E7">
        <w:rPr>
          <w:rStyle w:val="Strong"/>
        </w:rPr>
        <w:t>Componentes de las campañas y de los proyectos de DC:</w:t>
      </w:r>
    </w:p>
    <w:p w14:paraId="671A02B3" w14:textId="77777777" w:rsidR="00D64D17" w:rsidRPr="009257E7" w:rsidRDefault="00D64D17" w:rsidP="00D64D17">
      <w:pPr>
        <w:pStyle w:val="NormalWeb"/>
      </w:pPr>
      <w:r w:rsidRPr="009257E7">
        <w:t>– Comprensión de los grupos de clientes</w:t>
      </w:r>
      <w:r w:rsidRPr="009257E7">
        <w:br/>
        <w:t>– Formulación de problemas y soluciones</w:t>
      </w:r>
      <w:r w:rsidRPr="009257E7">
        <w:br/>
        <w:t>– Formación del equipo de acción</w:t>
      </w:r>
      <w:r w:rsidRPr="009257E7">
        <w:br/>
        <w:t>– Desarrollo de un plan de acción</w:t>
      </w:r>
      <w:r w:rsidRPr="009257E7">
        <w:br/>
        <w:t>– Anticipación de la oposición</w:t>
      </w:r>
      <w:r w:rsidRPr="009257E7">
        <w:br/>
        <w:t>– Medición y seguimiento del éxito</w:t>
      </w:r>
      <w:r w:rsidRPr="009257E7">
        <w:br/>
        <w:t xml:space="preserve">– Obtención de los recursos adecuados </w:t>
      </w:r>
    </w:p>
    <w:p w14:paraId="6BE6825D" w14:textId="77777777" w:rsidR="00D64D17" w:rsidRPr="009257E7" w:rsidRDefault="00D64D17" w:rsidP="00D64D17">
      <w:pPr>
        <w:pStyle w:val="NormalWeb"/>
      </w:pPr>
      <w:r w:rsidRPr="009257E7">
        <w:rPr>
          <w:rStyle w:val="Strong"/>
        </w:rPr>
        <w:lastRenderedPageBreak/>
        <w:t>Objetivos</w:t>
      </w:r>
    </w:p>
    <w:p w14:paraId="052414DD" w14:textId="5EA3E2D2" w:rsidR="00D64D17" w:rsidRPr="009257E7" w:rsidRDefault="00D64D17" w:rsidP="00EC798A">
      <w:pPr>
        <w:pStyle w:val="NormalWeb"/>
        <w:ind w:firstLine="720"/>
      </w:pPr>
      <w:r w:rsidRPr="009257E7">
        <w:rPr>
          <w:rStyle w:val="Emphasis"/>
        </w:rPr>
        <w:t xml:space="preserve">Los objetivos tradicionales de la abogacía se centran en resultados técnicos que </w:t>
      </w:r>
      <w:r w:rsidR="00EC798A" w:rsidRPr="009257E7">
        <w:rPr>
          <w:rStyle w:val="Emphasis"/>
        </w:rPr>
        <w:t>resuelve</w:t>
      </w:r>
      <w:r w:rsidRPr="009257E7">
        <w:rPr>
          <w:rStyle w:val="Emphasis"/>
        </w:rPr>
        <w:t xml:space="preserve">n un problema social mediante el uso o la creación del derecho. Estas soluciones siguen siendo fundamentales como objetivos de primer nivel </w:t>
      </w:r>
      <w:r w:rsidR="00EC798A" w:rsidRPr="009257E7">
        <w:rPr>
          <w:rStyle w:val="Emphasis"/>
        </w:rPr>
        <w:t>en</w:t>
      </w:r>
      <w:r w:rsidRPr="009257E7">
        <w:rPr>
          <w:rStyle w:val="Emphasis"/>
        </w:rPr>
        <w:t xml:space="preserve"> la abogacía sistémica. Sin embargo, el segundo nivel —la construcción de poder colectivo— y el tercer nivel —la transformación de la conciencia y de las concepciones culturales— son igualmente importantes. El hecho de que los objetivos tengan tres niveles influye tanto en las soluciones que se buscan como en la manera en que se consiguen. El progreso en los tres niveles permite cambiar las reglas del juego y nivelar el terreno para </w:t>
      </w:r>
      <w:r w:rsidR="00EC798A" w:rsidRPr="009257E7">
        <w:rPr>
          <w:rStyle w:val="Emphasis"/>
        </w:rPr>
        <w:t>luchas futuras</w:t>
      </w:r>
      <w:r w:rsidRPr="009257E7">
        <w:rPr>
          <w:rStyle w:val="Emphasis"/>
        </w:rPr>
        <w:t>.</w:t>
      </w:r>
    </w:p>
    <w:p w14:paraId="54410520" w14:textId="77777777" w:rsidR="00D64D17" w:rsidRPr="009257E7" w:rsidRDefault="00D64D17" w:rsidP="00D64D17">
      <w:pPr>
        <w:pStyle w:val="NormalWeb"/>
      </w:pPr>
      <w:r w:rsidRPr="009257E7">
        <w:rPr>
          <w:rStyle w:val="Strong"/>
        </w:rPr>
        <w:t>Objetivos de tres niveles:</w:t>
      </w:r>
    </w:p>
    <w:p w14:paraId="5D6E8838" w14:textId="361FAA8A" w:rsidR="00D64D17" w:rsidRPr="009257E7" w:rsidRDefault="00D64D17" w:rsidP="00D64D17">
      <w:pPr>
        <w:pStyle w:val="NormalWeb"/>
      </w:pPr>
      <w:r w:rsidRPr="009257E7">
        <w:t>– Solucionar problemas sociales</w:t>
      </w:r>
      <w:r w:rsidRPr="009257E7">
        <w:br/>
        <w:t>– Construir poder colectivo dentro de grupos subordinados</w:t>
      </w:r>
      <w:r w:rsidRPr="009257E7">
        <w:br/>
        <w:t>– Transformar la conciencia</w:t>
      </w:r>
      <w:r w:rsidR="00EC798A" w:rsidRPr="009257E7">
        <w:t xml:space="preserve">, </w:t>
      </w:r>
      <w:r w:rsidRPr="009257E7">
        <w:t xml:space="preserve">las normas y </w:t>
      </w:r>
      <w:r w:rsidR="00EC798A" w:rsidRPr="009257E7">
        <w:t xml:space="preserve">las </w:t>
      </w:r>
      <w:r w:rsidRPr="009257E7">
        <w:t xml:space="preserve">prácticas culturales hacia la justicia igualitaria </w:t>
      </w:r>
    </w:p>
    <w:p w14:paraId="746CC640" w14:textId="6D6B2654" w:rsidR="00D64D17" w:rsidRPr="009257E7" w:rsidRDefault="00D64D17" w:rsidP="00EC798A">
      <w:pPr>
        <w:pStyle w:val="NormalWeb"/>
        <w:ind w:firstLine="720"/>
      </w:pPr>
      <w:r w:rsidRPr="009257E7">
        <w:t xml:space="preserve">Como ilustra </w:t>
      </w:r>
      <w:r w:rsidR="00EC798A" w:rsidRPr="009257E7">
        <w:t>la información anterior</w:t>
      </w:r>
      <w:r w:rsidRPr="009257E7">
        <w:t xml:space="preserve">, la investigación y el análisis críticos </w:t>
      </w:r>
      <w:r w:rsidR="00EC798A" w:rsidRPr="009257E7">
        <w:t>emple</w:t>
      </w:r>
      <w:r w:rsidRPr="009257E7">
        <w:t xml:space="preserve">an </w:t>
      </w:r>
      <w:r w:rsidR="00EC798A" w:rsidRPr="009257E7">
        <w:t>dich</w:t>
      </w:r>
      <w:r w:rsidRPr="009257E7">
        <w:t xml:space="preserve">a información para diagnosticar problemas sociales, diseñar soluciones y desarrollar estrategias </w:t>
      </w:r>
      <w:r w:rsidR="00EC798A" w:rsidRPr="009257E7">
        <w:t>orient</w:t>
      </w:r>
      <w:r w:rsidRPr="009257E7">
        <w:t>adas a alcanzar</w:t>
      </w:r>
      <w:r w:rsidR="00EC798A" w:rsidRPr="009257E7">
        <w:t>la</w:t>
      </w:r>
      <w:r w:rsidRPr="009257E7">
        <w:t xml:space="preserve">s. Esta investigación no se limita a las bibliotecas ni se concentra en </w:t>
      </w:r>
      <w:r w:rsidR="00EC798A" w:rsidRPr="009257E7">
        <w:t xml:space="preserve">los </w:t>
      </w:r>
      <w:r w:rsidRPr="009257E7">
        <w:t xml:space="preserve">jueces </w:t>
      </w:r>
      <w:r w:rsidR="00EC798A" w:rsidRPr="009257E7">
        <w:t>ni</w:t>
      </w:r>
      <w:r w:rsidRPr="009257E7">
        <w:t xml:space="preserve"> en el derecho. Por el contrario, constituye una forma amplia de producción innovadora de conocimiento que utiliza fuentes micro de conocimiento para analizar condiciones macro persistentes. La investigación y el análisis críticos también utilizan las perspectivas de la teoría crítica —las Escuelas y Enfoques— para evaluar los límites y sesgos de las fuentes tradicionales e incorporar fuentes no tradicionales. Basándose en las enseñanzas de la historia crítica, la investigación y el análisis críticos combinan conocimientos provenientes de disciplinas diversas y de generaciones anteriores con investigaciones nuevas, tanto del trabajo de campo como de los archivos. En la </w:t>
      </w:r>
      <w:r w:rsidR="00EC798A" w:rsidRPr="009257E7">
        <w:t>p</w:t>
      </w:r>
      <w:r w:rsidRPr="009257E7">
        <w:t xml:space="preserve">rimera etapa, el objetivo de la investigación crítica es generar conocimiento desde abajo </w:t>
      </w:r>
      <w:r w:rsidRPr="009257E7">
        <w:rPr>
          <w:rStyle w:val="Emphasis"/>
        </w:rPr>
        <w:t>y</w:t>
      </w:r>
      <w:r w:rsidRPr="009257E7">
        <w:t xml:space="preserve"> crear rendición de cuentas ante quienes están abajo mediante </w:t>
      </w:r>
      <w:r w:rsidR="00EC798A" w:rsidRPr="009257E7">
        <w:t>el uso</w:t>
      </w:r>
      <w:r w:rsidRPr="009257E7">
        <w:t xml:space="preserve"> de ese conocimiento</w:t>
      </w:r>
      <w:r w:rsidR="00EC798A" w:rsidRPr="009257E7">
        <w:t>,</w:t>
      </w:r>
      <w:r w:rsidRPr="009257E7">
        <w:t xml:space="preserve"> basado en principios dentro de un contexto sistémico específico.</w:t>
      </w:r>
    </w:p>
    <w:p w14:paraId="0BFE7366" w14:textId="770F8B77" w:rsidR="00D64D17" w:rsidRPr="009257E7" w:rsidRDefault="00D64D17" w:rsidP="00EC798A">
      <w:pPr>
        <w:pStyle w:val="NormalWeb"/>
        <w:ind w:firstLine="720"/>
      </w:pPr>
      <w:r w:rsidRPr="009257E7">
        <w:t xml:space="preserve">A medida que les abogades realizan investigaciones y analizan información, también comienzan a identificar posibles cursos de acción. Este proceso fluido conecta el diagnóstico con la estrategia. La investigación y el análisis de la </w:t>
      </w:r>
      <w:r w:rsidR="00EC798A" w:rsidRPr="009257E7">
        <w:t>p</w:t>
      </w:r>
      <w:r w:rsidRPr="009257E7">
        <w:t>rimera etapa</w:t>
      </w:r>
      <w:r w:rsidR="00EC798A" w:rsidRPr="009257E7">
        <w:t>, así</w:t>
      </w:r>
      <w:r w:rsidRPr="009257E7">
        <w:t xml:space="preserve"> </w:t>
      </w:r>
      <w:r w:rsidR="00EC798A" w:rsidRPr="009257E7">
        <w:t>como</w:t>
      </w:r>
      <w:r w:rsidRPr="009257E7">
        <w:t xml:space="preserve"> las acciones complejas de la </w:t>
      </w:r>
      <w:r w:rsidR="00EC798A" w:rsidRPr="009257E7">
        <w:t>s</w:t>
      </w:r>
      <w:r w:rsidRPr="009257E7">
        <w:t>egunda etapa</w:t>
      </w:r>
      <w:r w:rsidR="00EC798A" w:rsidRPr="009257E7">
        <w:t>,</w:t>
      </w:r>
      <w:r w:rsidRPr="009257E7">
        <w:t xml:space="preserve"> se desarrollan de manera recurrente y cíclica. Este proceso continuo ayuda a les abogades a modificar planes futuros a medida que recopilan información nueva y producen y evalúan resultados incrementales. Cuando el diagnóstico y la estrategia se vinculan de esta manera, el análisis jurídico puede “abordar preguntas sobre lo que podría o debería hacerse respecto de los problemas que documenta”</w:t>
      </w:r>
      <w:r w:rsidR="00EC798A" w:rsidRPr="009257E7">
        <w:rPr>
          <w:rStyle w:val="FootnoteReference"/>
        </w:rPr>
        <w:footnoteReference w:id="294"/>
      </w:r>
      <w:r w:rsidRPr="009257E7">
        <w:t xml:space="preserve">.[1] El diagnóstico y la elaboración de estrategias se llevan a cabo “facilitando una búsqueda común de perspectivas en múltiples formas, como </w:t>
      </w:r>
      <w:r w:rsidRPr="009257E7">
        <w:lastRenderedPageBreak/>
        <w:t>historias, esquemas, analogías y modelos mentales”, con el fin de “no limitarse a interpretar el mundo, sino cambiarlo”</w:t>
      </w:r>
      <w:r w:rsidR="00EC798A" w:rsidRPr="009257E7">
        <w:rPr>
          <w:rStyle w:val="FootnoteReference"/>
        </w:rPr>
        <w:footnoteReference w:id="295"/>
      </w:r>
      <w:r w:rsidRPr="009257E7">
        <w:t>.</w:t>
      </w:r>
    </w:p>
    <w:p w14:paraId="3B9DC3FB" w14:textId="61C1DDA6" w:rsidR="00D64D17" w:rsidRPr="009257E7" w:rsidRDefault="00D64D17" w:rsidP="007158E0">
      <w:pPr>
        <w:pStyle w:val="NormalWeb"/>
        <w:ind w:firstLine="720"/>
      </w:pPr>
      <w:r w:rsidRPr="009257E7">
        <w:t xml:space="preserve">La investigación y el análisis de la </w:t>
      </w:r>
      <w:r w:rsidR="007158E0" w:rsidRPr="009257E7">
        <w:t>p</w:t>
      </w:r>
      <w:r w:rsidRPr="009257E7">
        <w:t xml:space="preserve">rimera etapa suelen orientar los cursos de acción al comienzo de la mayoría de los proyectos, pero, por supuesto, el propósito de esta producción de conocimiento es su aplicación: la acción. La investigación y el análisis iniciales se adaptan a cada contexto o escenario para generar conocimiento que informe y oriente acciones complejas de abogacía. Por ello, </w:t>
      </w:r>
      <w:r w:rsidR="00613F2C" w:rsidRPr="009257E7">
        <w:t>en</w:t>
      </w:r>
      <w:r w:rsidRPr="009257E7">
        <w:t xml:space="preserve"> la abogacía sistémica, las acciones ocupan el centro de la </w:t>
      </w:r>
      <w:r w:rsidR="007158E0" w:rsidRPr="009257E7">
        <w:t>s</w:t>
      </w:r>
      <w:r w:rsidRPr="009257E7">
        <w:t xml:space="preserve">egunda etapa. Estas acciones suelen ser “complejas” precisamente porque están diseñadas para responder </w:t>
      </w:r>
      <w:r w:rsidR="00613F2C" w:rsidRPr="009257E7">
        <w:t>a</w:t>
      </w:r>
      <w:r w:rsidRPr="009257E7">
        <w:t xml:space="preserve"> las complejidades del Desafío Crítico </w:t>
      </w:r>
      <w:r w:rsidR="00613F2C" w:rsidRPr="009257E7">
        <w:t>en</w:t>
      </w:r>
      <w:r w:rsidRPr="009257E7">
        <w:t xml:space="preserve"> un contexto sistémico determinado y hacerles frente.</w:t>
      </w:r>
    </w:p>
    <w:p w14:paraId="2E74494E" w14:textId="06BC4F75" w:rsidR="00D64D17" w:rsidRPr="009257E7" w:rsidRDefault="00D64D17" w:rsidP="00613F2C">
      <w:pPr>
        <w:pStyle w:val="NormalWeb"/>
        <w:ind w:firstLine="720"/>
      </w:pPr>
      <w:r w:rsidRPr="009257E7">
        <w:t xml:space="preserve">Además, ambas etapas de la abogacía dependen de diversos tipos de colaboración. Ninguna persona ni disciplina puede aspirar —ni se puede esperar que lo haga— a aportar todos los conocimientos y </w:t>
      </w:r>
      <w:r w:rsidR="00613F2C" w:rsidRPr="009257E7">
        <w:t xml:space="preserve">las </w:t>
      </w:r>
      <w:r w:rsidRPr="009257E7">
        <w:t>múltiples</w:t>
      </w:r>
      <w:r w:rsidR="00613F2C" w:rsidRPr="009257E7">
        <w:t xml:space="preserve"> destrezas</w:t>
      </w:r>
      <w:r w:rsidRPr="009257E7">
        <w:t xml:space="preserve"> provenientes de todas las disciplinas, campos o perspectivas necesarios. Por tanto, la colaboración </w:t>
      </w:r>
      <w:r w:rsidR="00613F2C" w:rsidRPr="009257E7">
        <w:t>en</w:t>
      </w:r>
      <w:r w:rsidRPr="009257E7">
        <w:t xml:space="preserve"> la abogacía depende inevitablemente de que el trabajo se </w:t>
      </w:r>
      <w:r w:rsidR="00613F2C" w:rsidRPr="009257E7">
        <w:t>realice</w:t>
      </w:r>
      <w:r w:rsidRPr="009257E7">
        <w:t xml:space="preserve"> de manera colectiva. Los equipos interdisciplinarios e interculturales de solución de problemas se diseñan específicamente para diagnosticar problemas y elaborar estrategias que impulsen soluciones en los tres niveles de objetivos.</w:t>
      </w:r>
      <w:r w:rsidR="00613F2C" w:rsidRPr="009257E7">
        <w:t xml:space="preserve"> </w:t>
      </w:r>
    </w:p>
    <w:p w14:paraId="67A59715" w14:textId="77777777" w:rsidR="00613F2C" w:rsidRPr="009257E7" w:rsidRDefault="00613F2C" w:rsidP="00613F2C">
      <w:pPr>
        <w:pStyle w:val="NormalWeb"/>
        <w:ind w:firstLine="720"/>
      </w:pPr>
      <w:r w:rsidRPr="009257E7">
        <w:t xml:space="preserve">Cuando se utiliza </w:t>
      </w:r>
      <w:r w:rsidRPr="009257E7">
        <w:rPr>
          <w:rStyle w:val="Emphasis"/>
        </w:rPr>
        <w:t>con fines diagnósticos</w:t>
      </w:r>
      <w:r w:rsidRPr="009257E7">
        <w:t xml:space="preserve">, la investigación genera “hechos”. Esos hechos se analizan para evaluar el contexto y la historia específicos en los que el problema social ha surgido y persistido en relación con las identidades, los grupos, los intereses y el poder pertinentes. De este modo, inicialmente, el diagnóstico conduce a la estrategia. Cuando se utiliza </w:t>
      </w:r>
      <w:r w:rsidRPr="009257E7">
        <w:rPr>
          <w:rStyle w:val="Emphasis"/>
        </w:rPr>
        <w:t>con fines estratégicos</w:t>
      </w:r>
      <w:r w:rsidRPr="009257E7">
        <w:t xml:space="preserve">, la investigación identifica actores específicos de importancia y permite desarrollar planes y acciones que alteren o reconfiguren intereses para apoyar soluciones sistémicas técnicas, así como la construcción de poder y la transformación cultural. La investigación estratégica puede aclarar cómo las leyes configuran, promueven </w:t>
      </w:r>
      <w:r w:rsidRPr="009257E7">
        <w:rPr>
          <w:rStyle w:val="Emphasis"/>
        </w:rPr>
        <w:t>y</w:t>
      </w:r>
      <w:r w:rsidRPr="009257E7">
        <w:t xml:space="preserve"> ocultan intereses y, por tanto, cómo les abogades pueden impulsar de la mejor manera los objetivos de tres niveles. Sin embargo, esta función “de trasfondo” del derecho en la configuración de la conciencia y de los proyectos suele ser tan generalizada y arraigada que resulta difícil de identificar:</w:t>
      </w:r>
    </w:p>
    <w:p w14:paraId="56A1E63B" w14:textId="75224160" w:rsidR="00613F2C" w:rsidRPr="009257E7" w:rsidRDefault="00613F2C" w:rsidP="00613F2C">
      <w:pPr>
        <w:pStyle w:val="NormalWeb"/>
        <w:ind w:left="720" w:firstLine="60"/>
      </w:pPr>
      <w:r w:rsidRPr="009257E7">
        <w:t xml:space="preserve">El derecho oculta tan bien el poder prescriptivo del Estado que, en ocasiones, incluso les abogades y les historiadores no logran verlo. Las normas jurídicas contribuyeron a dificultar, dentro de la historia laboral, la organización interracial basada en la clase. Les jueces desarrollaron doctrinas que dificultaron que les trabajadores se organizaran y se declararan en huelga, e impidieron que los estados brindaran a les trabajadores una protección efectiva para afiliarse a sindicatos. Los tribunales invalidaron la mayoría de los intentos legislativos de promulgar regulaciones destinadas a proteger a les trabajadores. Las normas que dificultaban el trabajo interracial iban más allá de la regulación directa del trabajo. Les jueces también limitaron o invalidaron leyes de derechos civiles de la Reconstrucción que deberían haber protegido la igualdad. En </w:t>
      </w:r>
      <w:r w:rsidRPr="009257E7">
        <w:lastRenderedPageBreak/>
        <w:t>conjunto, estas decisiones fomentaron la división racial, promovieron la inseguridad entre les trabajadores e impusieron cargas a la organización basada en la clase.</w:t>
      </w:r>
      <w:r w:rsidRPr="009257E7">
        <w:rPr>
          <w:rStyle w:val="FootnoteReference"/>
        </w:rPr>
        <w:footnoteReference w:id="296"/>
      </w:r>
    </w:p>
    <w:p w14:paraId="1C0A4AF7" w14:textId="3DFD63E8" w:rsidR="00613F2C" w:rsidRPr="009257E7" w:rsidRDefault="00613F2C" w:rsidP="00613F2C">
      <w:pPr>
        <w:pStyle w:val="NormalWeb"/>
        <w:ind w:firstLine="720"/>
      </w:pPr>
      <w:r w:rsidRPr="009257E7">
        <w:t>Con este trasfondo, la investigación y el análisis de la primera etapa delinean, dentro de su contexto, las identidades, los grupos, las relaciones, los intereses y el poder de una variedad de actores en relación con un problema, como preparación para el desarrollo y la ejecución de la estrategia de la segunda etapa. Esta investigación se extiende más allá de los límites doctrinales de la igualdad formal y prepara a la abogade para abordar el problema social en términos sistémicos, pragmáticos, pero basados en principios. En la práctica, las estrategias críticas combinan trabajo jurídico y extrajurídico —desde el litigio hasta la manifestación— para persuadir y presionar a diversos actores con el fin de lograr avances en los tres niveles de objetivos.</w:t>
      </w:r>
    </w:p>
    <w:p w14:paraId="51EA9DED" w14:textId="77777777" w:rsidR="00613F2C" w:rsidRPr="009257E7" w:rsidRDefault="00613F2C" w:rsidP="00613F2C">
      <w:pPr>
        <w:pStyle w:val="NormalWeb"/>
        <w:ind w:firstLine="720"/>
      </w:pPr>
      <w:r w:rsidRPr="009257E7">
        <w:t>Las técnicas tradicionales de investigación jurídica pueden ser necesarias, pero no suficientes, para el diagnóstico sistémico y la planificación de acciones estratégicas. Por ello, les abogades sistémiques deben dominar —pero también evaluar críticamente y superar— los métodos y las fuentes comerciales aceptados para la investigación y el análisis. Como señalan los académicos del derecho Richard Delgado y Jean Stefancic, les investigadores con frecuencia se encuentran “ahogándose en un mar de hechos (perseverando)”:</w:t>
      </w:r>
    </w:p>
    <w:p w14:paraId="30B96FC8" w14:textId="79A81DBD" w:rsidR="00613F2C" w:rsidRPr="009257E7" w:rsidRDefault="00613F2C" w:rsidP="00613F2C">
      <w:pPr>
        <w:pStyle w:val="NormalWeb"/>
        <w:ind w:left="720"/>
      </w:pPr>
      <w:r w:rsidRPr="009257E7">
        <w:t>[I]magine que su cliente es una mujer afroamericana que fue despedida porque un día llegó al trabajo con el cabello trenzado. Su empleador, a quien le agradan los hombres negros y las mujeres blancas, la despidió por llevar un peinado que él asocia con las mujeres negras, a quienes considera desafiantes y difíciles de controlar…</w:t>
      </w:r>
    </w:p>
    <w:p w14:paraId="55020799" w14:textId="15BC58AE" w:rsidR="00613F2C" w:rsidRPr="009257E7" w:rsidRDefault="00613F2C" w:rsidP="00613F2C">
      <w:pPr>
        <w:pStyle w:val="NormalWeb"/>
        <w:ind w:left="720"/>
      </w:pPr>
      <w:r w:rsidRPr="009257E7">
        <w:t>Para averiguar cómo otros casos bajo el Título VII [de la Ley federal de Derechos Civiles de 1964] han abordado esta cuestión, le abogade busca casos que contengan los términos “discriminación”, “mujer afroamericana”, “cabello” y “trenzas”. La búsqueda arroja apenas unos pocos casos, ninguno directamente pertinente, por lo que le abogade amplía la búsqueda…</w:t>
      </w:r>
    </w:p>
    <w:p w14:paraId="49EA5E69" w14:textId="4E9A3025" w:rsidR="00613F2C" w:rsidRPr="009257E7" w:rsidRDefault="00613F2C" w:rsidP="00613F2C">
      <w:pPr>
        <w:pStyle w:val="NormalWeb"/>
        <w:ind w:left="720"/>
      </w:pPr>
      <w:r w:rsidRPr="009257E7">
        <w:t xml:space="preserve">Lo que le abogade puede pasar por alto con facilidad es que el caso exige una nueva teoría de la </w:t>
      </w:r>
      <w:r w:rsidRPr="009257E7">
        <w:rPr>
          <w:rStyle w:val="Emphasis"/>
        </w:rPr>
        <w:t>discriminación interseccional</w:t>
      </w:r>
      <w:r w:rsidRPr="009257E7">
        <w:t xml:space="preserve">… El Título VII necesita desarrollar una teoría de la discriminación interseccional para casos como este… [que requieren] derecho nuevo para llenar el vacío en la cobertura del Título VII… </w:t>
      </w:r>
    </w:p>
    <w:p w14:paraId="3F34B637" w14:textId="0E6E7AA4" w:rsidR="00613F2C" w:rsidRPr="009257E7" w:rsidRDefault="00613F2C" w:rsidP="00613F2C">
      <w:pPr>
        <w:pStyle w:val="NormalWeb"/>
        <w:ind w:left="720"/>
      </w:pPr>
      <w:r w:rsidRPr="009257E7">
        <w:t xml:space="preserve">Una posibilidad que debemos considerar es que, al buscar un remedio jurídico nuevo, deberíamos apagar nuestras computadoras. Les abogades interesades en representar a clientes que —a diferencia de las corporaciones— no encuentran un cuerpo jurídico desarrollado de antemano a su favor necesitan pasar tiempo con la computadora apagada, reflexionando sobre cómo sería un mundo jurídico ideal desde la perspectiva del </w:t>
      </w:r>
      <w:r w:rsidRPr="009257E7">
        <w:lastRenderedPageBreak/>
        <w:t>cliente… Esto requiere un avance conceptual que permita ver materiales antiguos bajo una luz nueva.</w:t>
      </w:r>
      <w:r w:rsidRPr="009257E7">
        <w:rPr>
          <w:rStyle w:val="FootnoteReference"/>
        </w:rPr>
        <w:footnoteReference w:id="297"/>
      </w:r>
    </w:p>
    <w:p w14:paraId="643F2E2D" w14:textId="2638AFA9" w:rsidR="00613F2C" w:rsidRPr="009257E7" w:rsidRDefault="00613F2C" w:rsidP="00613F2C">
      <w:pPr>
        <w:pStyle w:val="NormalWeb"/>
        <w:ind w:firstLine="720"/>
      </w:pPr>
      <w:r w:rsidRPr="009257E7">
        <w:t xml:space="preserve">En consecuencia, la investigación crítica suele incluir, aunque por lo general no se limita a, métodos tradicionales de investigación. Además, la investigación crítica cuestiona las fuentes del conocimiento e incorpora técnicas no tradicionales para descubrir y comprender fuentes de conocimiento provenientes de personas externas. Los peligros de la falta de perspectiva crítica y de la desinformación confirman la necesidad de reconstruir el proceso de investigación jurídica de modo que considere tanto el contenido como las fuentes de información. Un enfoque de investigación reconstruido utiliza fuentes tradicionales, al mismo tiempo que explora fuentes no tradicionales y disciplinas pertinentes. Este enfoque se “desconecta” del pensamiento y de la investigación rutinizados para reconcebir conceptos, prácticas y resultados jurídicos convencionales </w:t>
      </w:r>
      <w:r w:rsidRPr="009257E7">
        <w:rPr>
          <w:rStyle w:val="Emphasis"/>
        </w:rPr>
        <w:t>desde la perspectiva de les clientes y de los grupos de clientes afectados por un problema</w:t>
      </w:r>
      <w:r w:rsidRPr="009257E7">
        <w:t>. Dado que el “conocimiento” en sí mismo es una construcción social, las experiencias desde abajo pueden contribuir a deconstruir y reconstruir las concepciones actuales sobre los problemas y las soluciones para avanzar en los tres niveles.</w:t>
      </w:r>
    </w:p>
    <w:p w14:paraId="66DB5826" w14:textId="0F0E71AF" w:rsidR="00613F2C" w:rsidRPr="009257E7" w:rsidRDefault="00613F2C" w:rsidP="00613F2C">
      <w:pPr>
        <w:pStyle w:val="NormalWeb"/>
        <w:ind w:firstLine="720"/>
      </w:pPr>
      <w:r w:rsidRPr="009257E7">
        <w:t>Este enfoque se basa en la comprensión crítica de que el conocimiento y la producción de conocimiento siempre tienen una dimensión política. Producir conocimiento —y determinar qué cuenta como conocimiento— son tareas profesionales cargadas de significado político. La manera en que les abogades producen conocimiento ayuda a determinar qué tipo de conocimiento se genera y se utiliza para construir —y reconstruir— las realidades sociales. Mediante el uso de fuentes y métodos interdisciplinarios diversos, y mediante el trabajo con las comunidades para reconcebir la naturaleza de los problemas y las soluciones, les abogades sistémiques innovan y contextualizan los planes de investigación para apoyar luchas grupales de largo plazo mediante diagnósticos y estrategias</w:t>
      </w:r>
      <w:r w:rsidR="00187371" w:rsidRPr="009257E7">
        <w:t>,</w:t>
      </w:r>
      <w:r w:rsidRPr="009257E7">
        <w:t xml:space="preserve"> en múltiples contextos sistémicos.</w:t>
      </w:r>
    </w:p>
    <w:p w14:paraId="1D45399A" w14:textId="7946999C" w:rsidR="00187371" w:rsidRPr="009257E7" w:rsidRDefault="00021262" w:rsidP="00511183">
      <w:pPr>
        <w:spacing w:before="100" w:beforeAutospacing="1" w:after="100" w:afterAutospacing="1" w:line="240" w:lineRule="auto"/>
        <w:rPr>
          <w:rFonts w:ascii="Times New Roman" w:eastAsia="Times New Roman" w:hAnsi="Times New Roman" w:cs="Times New Roman"/>
          <w:b/>
          <w:bCs/>
          <w:kern w:val="0"/>
          <w:lang w:val="es-ES"/>
          <w14:ligatures w14:val="none"/>
        </w:rPr>
      </w:pPr>
      <w:r w:rsidRPr="009257E7">
        <w:rPr>
          <w:rFonts w:ascii="Times New Roman" w:eastAsia="Times New Roman" w:hAnsi="Times New Roman" w:cs="Times New Roman"/>
          <w:b/>
          <w:bCs/>
          <w:kern w:val="0"/>
          <w:lang w:val="es-ES"/>
          <w14:ligatures w14:val="none"/>
        </w:rPr>
        <w:t xml:space="preserve">8.3 Tres métodos de investigación crítica </w:t>
      </w:r>
      <w:r w:rsidR="0001236C" w:rsidRPr="009257E7">
        <w:rPr>
          <w:rFonts w:ascii="Times New Roman" w:eastAsia="Times New Roman" w:hAnsi="Times New Roman" w:cs="Times New Roman"/>
          <w:b/>
          <w:bCs/>
          <w:kern w:val="0"/>
          <w:lang w:val="es-ES"/>
          <w14:ligatures w14:val="none"/>
        </w:rPr>
        <w:t xml:space="preserve">desde abajo </w:t>
      </w:r>
      <w:r w:rsidRPr="009257E7">
        <w:rPr>
          <w:rFonts w:ascii="Times New Roman" w:eastAsia="Times New Roman" w:hAnsi="Times New Roman" w:cs="Times New Roman"/>
          <w:b/>
          <w:bCs/>
          <w:kern w:val="0"/>
          <w:lang w:val="es-ES"/>
          <w14:ligatures w14:val="none"/>
        </w:rPr>
        <w:t xml:space="preserve">para lograr progreso </w:t>
      </w:r>
      <w:r w:rsidR="0001236C" w:rsidRPr="009257E7">
        <w:rPr>
          <w:rFonts w:ascii="Times New Roman" w:eastAsia="Times New Roman" w:hAnsi="Times New Roman" w:cs="Times New Roman"/>
          <w:b/>
          <w:bCs/>
          <w:kern w:val="0"/>
          <w:lang w:val="es-ES"/>
          <w14:ligatures w14:val="none"/>
        </w:rPr>
        <w:t>en los tres niveles</w:t>
      </w:r>
    </w:p>
    <w:p w14:paraId="03BF789B" w14:textId="2BB4FE1E" w:rsidR="00187371" w:rsidRPr="009257E7" w:rsidRDefault="00187371" w:rsidP="00511183">
      <w:pPr>
        <w:pStyle w:val="NormalWeb"/>
        <w:ind w:firstLine="720"/>
      </w:pPr>
      <w:r w:rsidRPr="009257E7">
        <w:t xml:space="preserve">La investigación y el análisis críticos constituyen un proceso creativo de búsqueda y </w:t>
      </w:r>
      <w:r w:rsidR="00511183" w:rsidRPr="009257E7">
        <w:t xml:space="preserve">de </w:t>
      </w:r>
      <w:r w:rsidRPr="009257E7">
        <w:t xml:space="preserve">generación de hechos que cuestiona continuamente sus propios supuestos o conclusiones. La investigación crítica debe incluir, aunque no </w:t>
      </w:r>
      <w:r w:rsidR="00511183" w:rsidRPr="009257E7">
        <w:t>se limit</w:t>
      </w:r>
      <w:r w:rsidRPr="009257E7">
        <w:t>e a, métodos tradicionales de investigación</w:t>
      </w:r>
      <w:r w:rsidR="00511183" w:rsidRPr="009257E7">
        <w:t>,</w:t>
      </w:r>
      <w:r w:rsidRPr="009257E7">
        <w:t xml:space="preserve"> centrados en la igualdad formal u otras ficciones doctrinales. Del mismo modo, el análisis crítico basado en esa investigación debe incluir, aunque </w:t>
      </w:r>
      <w:r w:rsidR="00511183" w:rsidRPr="009257E7">
        <w:t>n</w:t>
      </w:r>
      <w:r w:rsidRPr="009257E7">
        <w:t xml:space="preserve">o </w:t>
      </w:r>
      <w:r w:rsidR="00511183" w:rsidRPr="009257E7">
        <w:t>s</w:t>
      </w:r>
      <w:r w:rsidRPr="009257E7">
        <w:t>e limite a, conceptos, premisas o conocimientos convencionales.</w:t>
      </w:r>
      <w:r w:rsidR="00511183" w:rsidRPr="009257E7">
        <w:t xml:space="preserve"> </w:t>
      </w:r>
    </w:p>
    <w:p w14:paraId="63827380" w14:textId="61EFE1C0" w:rsidR="00187371" w:rsidRPr="009257E7" w:rsidRDefault="00187371" w:rsidP="00511183">
      <w:pPr>
        <w:pStyle w:val="NormalWeb"/>
        <w:ind w:firstLine="720"/>
      </w:pPr>
      <w:r w:rsidRPr="009257E7">
        <w:t xml:space="preserve">En particular, la investigación crítica para la abogacía sistémica incorpora con frecuencia prácticas no tradicionales destinadas específicamente a descubrir y destacar perspectivas externas provenientes de quienes se encuentran “abajo” </w:t>
      </w:r>
      <w:r w:rsidR="00511183" w:rsidRPr="009257E7">
        <w:t>en</w:t>
      </w:r>
      <w:r w:rsidRPr="009257E7">
        <w:t xml:space="preserve"> un contexto social determinado. Esta práctica no solo </w:t>
      </w:r>
      <w:r w:rsidR="00511183" w:rsidRPr="009257E7">
        <w:t>sitú</w:t>
      </w:r>
      <w:r w:rsidRPr="009257E7">
        <w:t xml:space="preserve">a en el centro conocimientos fundamentales que suelen pasar desapercibidos, sino que también promueve resultados y valores de antisubordinación. Este enfoque colaborativo </w:t>
      </w:r>
      <w:r w:rsidRPr="009257E7">
        <w:lastRenderedPageBreak/>
        <w:t>produce conocimiento accionable y, asimismo, la comprensión y la solidaridad a través de las diferencias necesarias para construir, en última instancia, poder colectivo.</w:t>
      </w:r>
    </w:p>
    <w:p w14:paraId="1E95E140" w14:textId="0E987F4C" w:rsidR="00187371" w:rsidRPr="009257E7" w:rsidRDefault="00187371" w:rsidP="00511183">
      <w:pPr>
        <w:pStyle w:val="NormalWeb"/>
        <w:ind w:firstLine="720"/>
      </w:pPr>
      <w:r w:rsidRPr="009257E7">
        <w:t xml:space="preserve">A continuación, examinamos tres herramientas fundamentales desde abajo: (1) la investigación-acción participativa, (2) el empirismo crítico y (3) la narrativa analítica. Estos métodos vinculan datos micro con análisis macro y acción colectiva. Combinan disciplinas y fuentes diversas para incorporar identidades, grupos, intereses y poder en todo diagnóstico y </w:t>
      </w:r>
      <w:r w:rsidR="00511183" w:rsidRPr="009257E7">
        <w:t xml:space="preserve">en </w:t>
      </w:r>
      <w:r w:rsidRPr="009257E7">
        <w:t xml:space="preserve">toda estrategia. Además, ayudan a les abogades a garantizar que sus decisiones y productos estén basados en principios y sujetos a rendición de cuentas en la búsqueda de soluciones técnicas, construcción de poder y transformación cultural. Estos métodos </w:t>
      </w:r>
      <w:r w:rsidR="00511183" w:rsidRPr="009257E7">
        <w:t>busc</w:t>
      </w:r>
      <w:r w:rsidRPr="009257E7">
        <w:t xml:space="preserve">an </w:t>
      </w:r>
      <w:r w:rsidR="00511183" w:rsidRPr="009257E7">
        <w:t>super</w:t>
      </w:r>
      <w:r w:rsidRPr="009257E7">
        <w:t>ar el Desafío Crítico de utilizar el derecho para lograr</w:t>
      </w:r>
      <w:r w:rsidR="00511183" w:rsidRPr="009257E7">
        <w:t xml:space="preserve"> una</w:t>
      </w:r>
      <w:r w:rsidRPr="009257E7">
        <w:t xml:space="preserve"> justicia igualitaria.</w:t>
      </w:r>
    </w:p>
    <w:p w14:paraId="76EF0F5E" w14:textId="41A636A6" w:rsidR="00187371" w:rsidRPr="009257E7" w:rsidRDefault="00187371" w:rsidP="00511183">
      <w:pPr>
        <w:pStyle w:val="NormalWeb"/>
        <w:ind w:firstLine="720"/>
      </w:pPr>
      <w:r w:rsidRPr="009257E7">
        <w:t>Estos métodos complementan, en lugar de sustituir, los métodos y las destrezas que la industria jurídica y la formación tradicional</w:t>
      </w:r>
      <w:r w:rsidR="00511183" w:rsidRPr="009257E7">
        <w:t xml:space="preserve"> enfatizan e inculcan</w:t>
      </w:r>
      <w:r w:rsidRPr="009257E7">
        <w:t>. En la facultad de derecho, les estudiantes aprenden principalmente a analizar los hechos presentados en decisiones judiciales a partir de principios jurídicos existentes. Tal vez aprendan a “encontrar” hechos mediante entrevistas con clientes</w:t>
      </w:r>
      <w:r w:rsidR="00511183" w:rsidRPr="009257E7">
        <w:t>,</w:t>
      </w:r>
      <w:r w:rsidRPr="009257E7">
        <w:t xml:space="preserve"> o a identificar</w:t>
      </w:r>
      <w:r w:rsidR="00511183" w:rsidRPr="009257E7">
        <w:t>los</w:t>
      </w:r>
      <w:r w:rsidRPr="009257E7">
        <w:t xml:space="preserve"> o generar</w:t>
      </w:r>
      <w:r w:rsidR="00511183" w:rsidRPr="009257E7">
        <w:t>l</w:t>
      </w:r>
      <w:r w:rsidRPr="009257E7">
        <w:t xml:space="preserve">os mediante la revisión de documentos. Sin embargo, rara vez se les pide que reflexionen sobre qué tipos de “hechos” son relevantes para la justicia o </w:t>
      </w:r>
      <w:r w:rsidR="00511183" w:rsidRPr="009257E7">
        <w:t xml:space="preserve">sobre </w:t>
      </w:r>
      <w:r w:rsidRPr="009257E7">
        <w:t xml:space="preserve">cómo </w:t>
      </w:r>
      <w:r w:rsidR="00511183" w:rsidRPr="009257E7">
        <w:t>identifica</w:t>
      </w:r>
      <w:r w:rsidRPr="009257E7">
        <w:t xml:space="preserve">r </w:t>
      </w:r>
      <w:r w:rsidR="00511183" w:rsidRPr="009257E7">
        <w:t>múltiple</w:t>
      </w:r>
      <w:r w:rsidRPr="009257E7">
        <w:t xml:space="preserve">s </w:t>
      </w:r>
      <w:r w:rsidR="00511183" w:rsidRPr="009257E7">
        <w:t>perspectiva</w:t>
      </w:r>
      <w:r w:rsidRPr="009257E7">
        <w:t xml:space="preserve">s </w:t>
      </w:r>
      <w:r w:rsidR="00511183" w:rsidRPr="009257E7">
        <w:t>en torno a</w:t>
      </w:r>
      <w:r w:rsidRPr="009257E7">
        <w:t xml:space="preserve"> un asunto. Rara vez se les pide que examinen la concepción dominante de la relevancia en términos estrechos, individualizados y descontextualizados.</w:t>
      </w:r>
    </w:p>
    <w:p w14:paraId="4C2D6F0D" w14:textId="0E375108" w:rsidR="00187371" w:rsidRPr="009257E7" w:rsidRDefault="00187371" w:rsidP="00511183">
      <w:pPr>
        <w:pStyle w:val="NormalWeb"/>
        <w:ind w:firstLine="720"/>
      </w:pPr>
      <w:r w:rsidRPr="009257E7">
        <w:t xml:space="preserve">Las actitudes escépticas, combinadas con el uso de técnicas no convencionales, son importantes </w:t>
      </w:r>
      <w:r w:rsidR="00511183" w:rsidRPr="009257E7">
        <w:t>en</w:t>
      </w:r>
      <w:r w:rsidRPr="009257E7">
        <w:t xml:space="preserve"> la abogacía sistémica. El objetivo, una vez más, es comprender problemas sociales que persisten a lo largo de generaciones, aunque el pensamiento dominante sugiera que ya han sido —o están siendo— resueltos </w:t>
      </w:r>
      <w:r w:rsidR="00511183" w:rsidRPr="009257E7">
        <w:t>en</w:t>
      </w:r>
      <w:r w:rsidRPr="009257E7">
        <w:t xml:space="preserve"> compartimentos abstractos e individualizados</w:t>
      </w:r>
      <w:r w:rsidR="00511183" w:rsidRPr="009257E7">
        <w:t>,</w:t>
      </w:r>
      <w:r w:rsidRPr="009257E7">
        <w:t xml:space="preserve"> moldeados por la investigación y el análisis tradicionales. Ese enfoque tradicional deja sin reconocer la cuestión de la injusticia sistémica:</w:t>
      </w:r>
    </w:p>
    <w:p w14:paraId="060A20C4" w14:textId="27BFDB84" w:rsidR="00187371" w:rsidRPr="009257E7" w:rsidRDefault="00187371" w:rsidP="00511183">
      <w:pPr>
        <w:pStyle w:val="NormalWeb"/>
        <w:ind w:left="720"/>
      </w:pPr>
      <w:r w:rsidRPr="009257E7">
        <w:t>Los sistemas existentes de investigación jurídica [...] atraen a le investigadore hacia lo familiar, lo convencional. Le investigadore jurídique descubre rápidamente ideas, argumentos y estrategias jurídicas preexistentes y recibe recompensas por permanecer en terreno conocido. Aventurarse por cuenta propia resulta costoso e ineficiente. Los tribunales, otres académicos y la parte adversaria enmarcarán el problema en términos comunes; la tentación es casi irresistible. Salir de ese marco es como abandonar una costa conocida y bien cartografiada para adentrarse en un mar inexplorado. Nunca advertimos que no podemos emprender ciertos tipos de viajes armados únicamente con mapas convencionales.</w:t>
      </w:r>
      <w:r w:rsidR="00511183" w:rsidRPr="009257E7">
        <w:rPr>
          <w:rStyle w:val="FootnoteReference"/>
        </w:rPr>
        <w:footnoteReference w:id="298"/>
      </w:r>
    </w:p>
    <w:p w14:paraId="4D97A6EA" w14:textId="77777777" w:rsidR="00187371" w:rsidRPr="009257E7" w:rsidRDefault="00187371" w:rsidP="00511183">
      <w:pPr>
        <w:pStyle w:val="NormalWeb"/>
        <w:ind w:firstLine="720"/>
      </w:pPr>
      <w:r w:rsidRPr="009257E7">
        <w:t xml:space="preserve">En consecuencia, como condición previa para los diagnósticos y las estrategias de tres niveles, la investigación sistémica de hechos y la creación de conocimiento requieren “salir de los marcos” del derecho desde arriba. Para ayudar a les abogades a dar este paso, a continuación </w:t>
      </w:r>
      <w:r w:rsidRPr="009257E7">
        <w:lastRenderedPageBreak/>
        <w:t>se presentan tres métodos críticos básicos para la investigación, el análisis y la acción contextuales y desde abajo. Los tres fueron desarrollados a partir de muchas generaciones de trabajo de campo en luchas por la justicia igualitaria, tanto locales como globales.</w:t>
      </w:r>
    </w:p>
    <w:p w14:paraId="332D72E8" w14:textId="35BFACA9" w:rsidR="00511183" w:rsidRPr="009257E7" w:rsidRDefault="00511183" w:rsidP="00511183">
      <w:pPr>
        <w:rPr>
          <w:rFonts w:ascii="Times New Roman" w:hAnsi="Times New Roman" w:cs="Times New Roman"/>
          <w:b/>
          <w:bCs/>
        </w:rPr>
      </w:pPr>
      <w:r w:rsidRPr="009257E7">
        <w:rPr>
          <w:rFonts w:ascii="Times New Roman" w:hAnsi="Times New Roman" w:cs="Times New Roman"/>
          <w:b/>
          <w:bCs/>
        </w:rPr>
        <w:t>A. Investigación-acción participativa</w:t>
      </w:r>
    </w:p>
    <w:p w14:paraId="719E0293" w14:textId="77777777" w:rsidR="00511183" w:rsidRPr="009257E7" w:rsidRDefault="00511183" w:rsidP="00511183">
      <w:pPr>
        <w:pStyle w:val="NormalWeb"/>
        <w:ind w:firstLine="720"/>
      </w:pPr>
      <w:r w:rsidRPr="009257E7">
        <w:t>La investigación-acción puede describirse, en términos generales, como un conjunto de esfuerzos colaborativos, críticos y autocríticos que les profesionales pueden utilizar para investigar problemas y promover soluciones. La investigación-acción que incorpora la participación de personas afectadas por problemas sociales o de grupos de clientes involucrados en la organización comunitaria parte de la convicción de que las experiencias de subordinación y lucha son importantes para comprender la opresión y diseñar esfuerzos orientados a lograr soluciones. Por su propio diseño, la investigación-acción conecta lo micro con lo macro.</w:t>
      </w:r>
    </w:p>
    <w:p w14:paraId="55D5A881" w14:textId="0E37FEED" w:rsidR="00511183" w:rsidRPr="009257E7" w:rsidRDefault="00511183" w:rsidP="00511183">
      <w:pPr>
        <w:pStyle w:val="NormalWeb"/>
        <w:ind w:firstLine="720"/>
      </w:pPr>
      <w:r w:rsidRPr="009257E7">
        <w:t xml:space="preserve">De manera importante, la característica definitoria de la investigación-acción participativa (PAR, por sus siglas en inglés - </w:t>
      </w:r>
      <w:r w:rsidRPr="009257E7">
        <w:rPr>
          <w:szCs w:val="21"/>
        </w:rPr>
        <w:t>participatory action research</w:t>
      </w:r>
      <w:r w:rsidRPr="009257E7">
        <w:t>) es que involucra a las personas afectadas por problemas sociales o comprometidas con luchas sociales en el proceso de “descubrir”, documentar, compartir y, en ocasiones, actuar a partir del conocimiento. La experiencia de participar en una lucha social se valora porque la PAR suele ocuparse de determinar qué funciona y qué no para movilizar y desarrollar a los integrantes de la comunidad, fortalecer coaliciones y presionar o persuadir a los responsables de la toma de decisiones. En este sentido, la académica del derecho Fran Ansley y el sociólogo político John Gaventa observan que este método de investigación constituye una forma de investigación de hechos que fortalece la democracia:</w:t>
      </w:r>
    </w:p>
    <w:p w14:paraId="00AE344F" w14:textId="5F2529DE" w:rsidR="00511183" w:rsidRPr="009257E7" w:rsidRDefault="00511183" w:rsidP="00511183">
      <w:pPr>
        <w:pStyle w:val="NormalWeb"/>
        <w:ind w:left="720"/>
      </w:pPr>
      <w:r w:rsidRPr="009257E7">
        <w:t>Quienes basan su comprensión en la experiencia —en vivir y participar en problemas del mundo real— pueden ver cómo su conocimiento es desestimado por considerarse demasiado subjetivo. Quienes luchan con la compleja interconexión de los problemas del mundo real pueden ver cómo sus ideas se reformulan en términos disciplinarios estrechos y en debates esotéricos en los que no pueden participar. En última instancia, un sistema de conocimiento que desacredita y devalúa el conocimiento común y cotidiano también contribuye a privar de poder a las personas comunes. Un sistema de este tipo representa una contradicción para cualquier visión de la democracia que valore la participación de las propias personas en las deliberaciones y las decisiones fundamentales que afectan sus vidas.</w:t>
      </w:r>
      <w:r w:rsidRPr="009257E7">
        <w:rPr>
          <w:rStyle w:val="FootnoteReference"/>
        </w:rPr>
        <w:footnoteReference w:id="299"/>
      </w:r>
    </w:p>
    <w:p w14:paraId="36196D34" w14:textId="77777777" w:rsidR="00511183" w:rsidRPr="009257E7" w:rsidRDefault="00511183" w:rsidP="003F6312">
      <w:pPr>
        <w:pStyle w:val="NormalWeb"/>
        <w:ind w:firstLine="720"/>
      </w:pPr>
      <w:r w:rsidRPr="009257E7">
        <w:t>Como señalan Ansley y Gaventa, el conocimiento desde arriba con frecuencia “desacredita y devalúa el conocimiento común y cotidiano”. Mediante la PAR y métodos similares, les abogades sistémiques invierten esta dinámica. Producen, utilizan y difunden conocimiento que, de otro modo, permanecería suprimido.</w:t>
      </w:r>
    </w:p>
    <w:p w14:paraId="087F27B5" w14:textId="04F39A42" w:rsidR="00511183" w:rsidRPr="009257E7" w:rsidRDefault="00511183" w:rsidP="00511183">
      <w:pPr>
        <w:pStyle w:val="NormalWeb"/>
      </w:pPr>
      <w:r w:rsidRPr="009257E7">
        <w:t xml:space="preserve">Las investigadoras en psicología feminista Anneliese Singh, Kate Richmond y Theodore Burns vinculan la PAR con asuntos y comunidades transgénero y ofrecen una lista de comprobación </w:t>
      </w:r>
      <w:r w:rsidRPr="009257E7">
        <w:lastRenderedPageBreak/>
        <w:t>para ayudar a les investigadores a garantizar tanto su propia rendición de cuentas como la participación de les participantes. La lista incluye recomendaciones como “evaluar las propias identidades interseccionales —por ejemplo, raza/etnicidad, identidad y expresión de género, etc.— en relación con el privilegio, la opresión y el poder que se posee como investigadore”; “determinar las necesidades de la comunidad mediante el trabajo colaborativo con personas y comunidades transgénero”; “compartir todos los aspectos del proceso de investigación y los datos con informantes y comunidades —partes interesadas— y asegurarse de solicitar retroalimentación y aportaciones durante todo el proceso”; “comprender la opresión histórica de las personas y comunidades transgénero”; y “practicar la humildad respecto del propio conocimiento y de los propios supuestos, disculparse cuando sea necesario y realizar cambios en el estudio a partir de este aprendizaje”</w:t>
      </w:r>
      <w:r w:rsidR="003F6312" w:rsidRPr="009257E7">
        <w:rPr>
          <w:rStyle w:val="FootnoteReference"/>
        </w:rPr>
        <w:footnoteReference w:id="300"/>
      </w:r>
      <w:r w:rsidRPr="009257E7">
        <w:t>.</w:t>
      </w:r>
    </w:p>
    <w:p w14:paraId="1122F218" w14:textId="7C059DD3" w:rsidR="00511183" w:rsidRPr="009257E7" w:rsidRDefault="00511183" w:rsidP="003F6312">
      <w:pPr>
        <w:pStyle w:val="NormalWeb"/>
        <w:ind w:firstLine="720"/>
      </w:pPr>
      <w:r w:rsidRPr="009257E7">
        <w:t xml:space="preserve">En síntesis, la PAR puede </w:t>
      </w:r>
      <w:r w:rsidR="00B30F74" w:rsidRPr="009257E7">
        <w:t>contribuir a</w:t>
      </w:r>
      <w:r w:rsidRPr="009257E7">
        <w:t xml:space="preserve"> la comprensión de los problemas sociales y a </w:t>
      </w:r>
      <w:r w:rsidR="00B30F74" w:rsidRPr="009257E7">
        <w:t>la elaboración de</w:t>
      </w:r>
      <w:r w:rsidRPr="009257E7">
        <w:t xml:space="preserve"> soluciones sistémicas orientadas al progreso en los tres niveles. La PAR, al igual que los dos métodos de investigación que se presentan a continuación, se extiende más allá de las tradiciones de investigación jurídica limitadas a las bibliotecas, los libros o el derecho. A diferencia de la investigación jurídica tradicional, la PAR reconoce que el conocimiento y su producción están cargados de política y </w:t>
      </w:r>
      <w:r w:rsidR="00B30F74" w:rsidRPr="009257E7">
        <w:t xml:space="preserve">de </w:t>
      </w:r>
      <w:r w:rsidRPr="009257E7">
        <w:t>poder. Por esa razón, la PAR procura sacar a la luz</w:t>
      </w:r>
      <w:r w:rsidR="00B30F74" w:rsidRPr="009257E7">
        <w:t>,</w:t>
      </w:r>
      <w:r w:rsidRPr="009257E7">
        <w:t xml:space="preserve"> específicamente</w:t>
      </w:r>
      <w:r w:rsidR="00B30F74" w:rsidRPr="009257E7">
        <w:t>,</w:t>
      </w:r>
      <w:r w:rsidRPr="009257E7">
        <w:t xml:space="preserve"> aquellos puntos de vista desde abajo que suelen quedar marginados o excluidos de la investigación y el análisis jurídicos tradicionales.</w:t>
      </w:r>
    </w:p>
    <w:p w14:paraId="04AE440F" w14:textId="7FBDF012" w:rsidR="00511183" w:rsidRPr="009257E7" w:rsidRDefault="00B30F74" w:rsidP="00B30F74">
      <w:pPr>
        <w:rPr>
          <w:rFonts w:ascii="Times New Roman" w:hAnsi="Times New Roman" w:cs="Times New Roman"/>
          <w:b/>
          <w:bCs/>
        </w:rPr>
      </w:pPr>
      <w:r w:rsidRPr="009257E7">
        <w:rPr>
          <w:rFonts w:ascii="Times New Roman" w:hAnsi="Times New Roman" w:cs="Times New Roman"/>
          <w:b/>
          <w:bCs/>
        </w:rPr>
        <w:t>B. Empirismo crítico</w:t>
      </w:r>
    </w:p>
    <w:p w14:paraId="2C75B5EA" w14:textId="3DA8E0A7" w:rsidR="00511183" w:rsidRPr="009257E7" w:rsidRDefault="00511183" w:rsidP="00B30F74">
      <w:pPr>
        <w:pStyle w:val="NormalWeb"/>
        <w:ind w:firstLine="720"/>
      </w:pPr>
      <w:r w:rsidRPr="009257E7">
        <w:t>La segunda herramienta de investigación y análisis de la Primera etapa es el empirismo crítico. Este método de investigación cuestiona la supuesta neutralidad de las realidades micro y macro, de las observaciones sobre ellas y de las categorías utilizadas para “ver” y explicar los fenómenos sociales</w:t>
      </w:r>
      <w:r w:rsidR="00B30F74" w:rsidRPr="009257E7">
        <w:rPr>
          <w:rStyle w:val="FootnoteReference"/>
        </w:rPr>
        <w:footnoteReference w:id="301"/>
      </w:r>
      <w:r w:rsidRPr="009257E7">
        <w:t>. Los “hechos” empíricos reflejan construcciones sociales sistémicas: las categorías desde arriba utilizadas para describir esos hechos ya “son, al menos en parte, producto de ideologías que han sido dominantes”</w:t>
      </w:r>
      <w:r w:rsidR="00B30F74" w:rsidRPr="009257E7">
        <w:rPr>
          <w:rStyle w:val="FootnoteReference"/>
        </w:rPr>
        <w:footnoteReference w:id="302"/>
      </w:r>
      <w:r w:rsidRPr="009257E7">
        <w:t xml:space="preserve"> desde el colonialismo de asentamiento. El empirismo crítico saca a la superficie los supuestos subyacentes arraigados en ideologías dominantes: documenta las realidades sociales preexistentes, pero también va más allá y profundiza en sus raíces. En otras palabras, el empirismo puede documentar cómo son las cosas, pero el empirismo crítico también explora y explica por qué son así.</w:t>
      </w:r>
    </w:p>
    <w:p w14:paraId="3AD089E8" w14:textId="26F81789" w:rsidR="00511183" w:rsidRPr="009257E7" w:rsidRDefault="00511183" w:rsidP="00B30F74">
      <w:pPr>
        <w:pStyle w:val="NormalWeb"/>
        <w:ind w:firstLine="720"/>
      </w:pPr>
      <w:r w:rsidRPr="009257E7">
        <w:lastRenderedPageBreak/>
        <w:t xml:space="preserve">Un ejemplo clásico de empirismo crítico proviene del académico del derecho Ian Ayres, quien examinó resultados dispares </w:t>
      </w:r>
      <w:r w:rsidR="00B30F74" w:rsidRPr="009257E7">
        <w:t>en</w:t>
      </w:r>
      <w:r w:rsidRPr="009257E7">
        <w:t xml:space="preserve"> un contexto sistémico en el que</w:t>
      </w:r>
      <w:r w:rsidR="00B30F74" w:rsidRPr="009257E7">
        <w:t>,</w:t>
      </w:r>
      <w:r w:rsidRPr="009257E7">
        <w:t xml:space="preserve"> supuestamente</w:t>
      </w:r>
      <w:r w:rsidR="00B30F74" w:rsidRPr="009257E7">
        <w:t>,</w:t>
      </w:r>
      <w:r w:rsidRPr="009257E7">
        <w:t xml:space="preserve"> las identidades no deberían importar: la venta de automóviles en una ciudad importante de Estados Unidos a finales del siglo XX. Por lo general, se considera que la venta de automóviles forma parte de mercados “libres” y competitivos, y el capitalismo</w:t>
      </w:r>
      <w:r w:rsidR="00B30F74" w:rsidRPr="009257E7">
        <w:t>,</w:t>
      </w:r>
      <w:r w:rsidRPr="009257E7">
        <w:t xml:space="preserve"> como sistema</w:t>
      </w:r>
      <w:r w:rsidR="00B30F74" w:rsidRPr="009257E7">
        <w:t>,</w:t>
      </w:r>
      <w:r w:rsidRPr="009257E7">
        <w:t xml:space="preserve"> sostiene que la discriminación por raza y sexo no puede producirse en mercados competitivos “libres”, salvo allí donde se toleran actitudes abiertamente racistas y sexistas. Sin embargo, ambas afirmaciones son falsas</w:t>
      </w:r>
      <w:r w:rsidR="00B30F74" w:rsidRPr="009257E7">
        <w:rPr>
          <w:rStyle w:val="FootnoteReference"/>
        </w:rPr>
        <w:footnoteReference w:id="303"/>
      </w:r>
      <w:r w:rsidRPr="009257E7">
        <w:t>.</w:t>
      </w:r>
      <w:r w:rsidR="00B30F74" w:rsidRPr="009257E7">
        <w:t xml:space="preserve"> </w:t>
      </w:r>
      <w:r w:rsidRPr="009257E7">
        <w:t>Ayres determinó que las mujeres y las personas afroamericanas que compraban automóviles pagaban, en promedio, precios más altos. La explicación tradicional ofrecida a legisladores y al público es que las mujeres y las personas negras no negocian la compra de automóviles tan bien como los hombres y las personas blancas. Ayres demuestra cómo una investigación de campo relativamente sencilla</w:t>
      </w:r>
      <w:r w:rsidR="00B30F74" w:rsidRPr="009257E7">
        <w:t>,</w:t>
      </w:r>
      <w:r w:rsidRPr="009257E7">
        <w:t xml:space="preserve"> que emplea el </w:t>
      </w:r>
      <w:r w:rsidRPr="009257E7">
        <w:rPr>
          <w:rStyle w:val="Emphasis"/>
        </w:rPr>
        <w:t>empirismo crítico</w:t>
      </w:r>
      <w:r w:rsidR="00B30F74" w:rsidRPr="009257E7">
        <w:rPr>
          <w:rStyle w:val="Emphasis"/>
        </w:rPr>
        <w:t>,</w:t>
      </w:r>
      <w:r w:rsidRPr="009257E7">
        <w:t xml:space="preserve"> puede generar datos que reconfiguren los diagnósticos y las estrategias para una solución efectiva de problemas jurídicos. Ayres y su equipo realizaron un experimento, documentaron los resultados y demostraron empíricamente no solo que los resultados microdesiguales ocurren de manera habitual, sino también </w:t>
      </w:r>
      <w:r w:rsidRPr="009257E7">
        <w:rPr>
          <w:rStyle w:val="Emphasis"/>
        </w:rPr>
        <w:t>por qué</w:t>
      </w:r>
      <w:r w:rsidRPr="009257E7">
        <w:t xml:space="preserve"> esos resultados desiguales crean un patrón macro. Determinaron que los mercados de venta de automóviles manipulan sistemáticamente a las mujeres y a las personas de color para obtener de ellas precios superiores al promedio, tanto individual</w:t>
      </w:r>
      <w:r w:rsidR="00B30F74" w:rsidRPr="009257E7">
        <w:t>mente</w:t>
      </w:r>
      <w:r w:rsidRPr="009257E7">
        <w:t xml:space="preserve"> como colectivamente, mientras </w:t>
      </w:r>
      <w:r w:rsidR="00B30F74" w:rsidRPr="009257E7">
        <w:t xml:space="preserve">que, </w:t>
      </w:r>
      <w:r w:rsidRPr="009257E7">
        <w:t>simultáneamente</w:t>
      </w:r>
      <w:r w:rsidR="00B30F74" w:rsidRPr="009257E7">
        <w:t>,</w:t>
      </w:r>
      <w:r w:rsidRPr="009257E7">
        <w:t xml:space="preserve"> conceden “grandes ofertas” a compradores blancos y a hombres. Este estudio ilustra </w:t>
      </w:r>
      <w:r w:rsidR="00B30F74" w:rsidRPr="009257E7">
        <w:t>adecuadamente</w:t>
      </w:r>
      <w:r w:rsidRPr="009257E7">
        <w:t xml:space="preserve"> cómo el empirismo crítico cuestiona, </w:t>
      </w:r>
      <w:r w:rsidR="00B30F74" w:rsidRPr="009257E7">
        <w:t>en</w:t>
      </w:r>
      <w:r w:rsidRPr="009257E7">
        <w:t xml:space="preserve"> este contexto, la política del conocimiento jurídico dominante, que representa la vida económica como libre de sesgos irracionales, </w:t>
      </w:r>
      <w:r w:rsidR="00B30F74" w:rsidRPr="009257E7">
        <w:t xml:space="preserve">así </w:t>
      </w:r>
      <w:r w:rsidRPr="009257E7">
        <w:t xml:space="preserve">como las nociones de superioridad e inferioridad grupales basadas en identidades sociales. Como demuestra este estudio, el empirismo crítico </w:t>
      </w:r>
      <w:r w:rsidR="00B30F74" w:rsidRPr="009257E7">
        <w:t>gener</w:t>
      </w:r>
      <w:r w:rsidRPr="009257E7">
        <w:t>a o analiza datos para revelar hechos y conexiones causales que el empirismo carente de perspectiva crítica no lograría revelar, documentar ni cuestionar.</w:t>
      </w:r>
    </w:p>
    <w:p w14:paraId="6D475016" w14:textId="61A1E2BF" w:rsidR="00511183" w:rsidRPr="009257E7" w:rsidRDefault="00511183" w:rsidP="00B30F74">
      <w:pPr>
        <w:pStyle w:val="NormalWeb"/>
        <w:ind w:firstLine="720"/>
      </w:pPr>
      <w:r w:rsidRPr="009257E7">
        <w:t xml:space="preserve">Considere un último ejemplo proveniente de otro contexto, en el que la académica feminista del derecho Donna Coker evalúa la utilidad de la investigación empírica sobre la violencia doméstica entre personas de sexos distintos. Recurriendo a LatCrit, una </w:t>
      </w:r>
      <w:r w:rsidR="00B30F74" w:rsidRPr="009257E7">
        <w:t>e</w:t>
      </w:r>
      <w:r w:rsidRPr="009257E7">
        <w:t>scuela crítica de</w:t>
      </w:r>
      <w:r w:rsidR="00B30F74" w:rsidRPr="009257E7">
        <w:t>l</w:t>
      </w:r>
      <w:r w:rsidRPr="009257E7">
        <w:t xml:space="preserve"> conocimiento jurídico, examina el conocimiento interseccional desde abajo</w:t>
      </w:r>
      <w:r w:rsidR="00B30F74" w:rsidRPr="009257E7">
        <w:t>, a partir</w:t>
      </w:r>
      <w:r w:rsidRPr="009257E7">
        <w:t xml:space="preserve"> de las castas de raza, género, etnicidad y clase. Coker destaca que incluso “el financiamiento de la investigación sobre </w:t>
      </w:r>
      <w:r w:rsidR="00B30F74" w:rsidRPr="009257E7">
        <w:t xml:space="preserve">la </w:t>
      </w:r>
      <w:r w:rsidRPr="009257E7">
        <w:t xml:space="preserve">violencia doméstica” </w:t>
      </w:r>
      <w:r w:rsidR="00B30F74" w:rsidRPr="009257E7">
        <w:t>car</w:t>
      </w:r>
      <w:r w:rsidRPr="009257E7">
        <w:t>ece de un conocimiento empírico crítico</w:t>
      </w:r>
      <w:r w:rsidR="00B30F74" w:rsidRPr="009257E7">
        <w:t xml:space="preserve"> insuficiente</w:t>
      </w:r>
      <w:r w:rsidRPr="009257E7">
        <w:t>. Observe cómo ella también destaca las dimensiones materiales y sociales de la producción y la aplicación del conocimiento:</w:t>
      </w:r>
    </w:p>
    <w:p w14:paraId="63D84EC8" w14:textId="14751676" w:rsidR="00511183" w:rsidRPr="009257E7" w:rsidRDefault="00511183" w:rsidP="00B30F74">
      <w:pPr>
        <w:pStyle w:val="NormalWeb"/>
        <w:ind w:left="720"/>
      </w:pPr>
      <w:r w:rsidRPr="009257E7">
        <w:t xml:space="preserve">La teoría LatCrit invita a una labor académica que coloque en el centro las experiencias de las personas latinas, al tiempo que </w:t>
      </w:r>
      <w:r w:rsidR="00B30F74" w:rsidRPr="009257E7">
        <w:t>l</w:t>
      </w:r>
      <w:r w:rsidRPr="009257E7">
        <w:t xml:space="preserve">as </w:t>
      </w:r>
      <w:r w:rsidR="00B30F74" w:rsidRPr="009257E7">
        <w:t>vincula</w:t>
      </w:r>
      <w:r w:rsidRPr="009257E7">
        <w:t xml:space="preserve"> con el proyecto de justicia social para todes</w:t>
      </w:r>
      <w:r w:rsidR="00B30F74" w:rsidRPr="009257E7">
        <w:t>…</w:t>
      </w:r>
      <w:r w:rsidRPr="009257E7">
        <w:t xml:space="preserve"> [Por tanto,] toda estrategia de intervención contra la violencia doméstica debe someterse a una prueba de recursos materiales. Esto significa que, en todas las áreas del derecho </w:t>
      </w:r>
      <w:r w:rsidR="00B30F74" w:rsidRPr="009257E7">
        <w:t>y de las políticas contra la violencia doméstica —ya sea al determinar prioridades de financiamiento, al analizar disposiciones adecuadas del derecho penal o de las políticas de arresto, al elaborar ordenanzas municipales o al</w:t>
      </w:r>
      <w:r w:rsidRPr="009257E7">
        <w:t xml:space="preserve"> redactar normas administrativas—, debe darse prioridad a aquellas leyes y políticas que mejoren el acceso </w:t>
      </w:r>
      <w:r w:rsidRPr="009257E7">
        <w:lastRenderedPageBreak/>
        <w:t>de las mujeres a los recursos materiales. Además, dado que las circunstancias de las mujeres difieren de maneras que afectan profundamente su acceso a los recursos materiales, el criterio para determinar el impacto sobre esos recursos debe ser la situación de las mujeres con mayores necesidades y que resultan afectadas de manera más profunda por las desigualdades de género, raza y clase.</w:t>
      </w:r>
    </w:p>
    <w:p w14:paraId="7C5332FB" w14:textId="2587A991" w:rsidR="00511183" w:rsidRPr="009257E7" w:rsidRDefault="00B30F74" w:rsidP="00B30F74">
      <w:pPr>
        <w:pStyle w:val="NormalWeb"/>
        <w:ind w:left="720"/>
      </w:pPr>
      <w:r w:rsidRPr="009257E7">
        <w:t>…</w:t>
      </w:r>
      <w:r w:rsidR="00511183" w:rsidRPr="009257E7">
        <w:t xml:space="preserve"> [Las conclusiones de las investigaciones] respecto de las mujeres de color pobres son, sin embargo, inciertas, porque la investigación con frecuencia no examina las experiencias particulares de las mujeres de color y, cuando se consideran la raza y la etnicidad de las víctimas, solo se estudian las experiencias de las mujeres afroamericanas y </w:t>
      </w:r>
      <w:r w:rsidRPr="009257E7">
        <w:t xml:space="preserve">de </w:t>
      </w:r>
      <w:r w:rsidR="00511183" w:rsidRPr="009257E7">
        <w:t>las mujeres blancas</w:t>
      </w:r>
      <w:r w:rsidRPr="009257E7">
        <w:t>…</w:t>
      </w:r>
    </w:p>
    <w:p w14:paraId="1ED7CFB5" w14:textId="0195EF86" w:rsidR="00511183" w:rsidRPr="009257E7" w:rsidRDefault="00511183" w:rsidP="00B30F74">
      <w:pPr>
        <w:pStyle w:val="NormalWeb"/>
        <w:ind w:left="720"/>
      </w:pPr>
      <w:r w:rsidRPr="009257E7">
        <w:t>El financiamiento de la investigación sobre violencia doméstica debe dar prioridad a investigaciones que aborden las necesidades de las mujeres pobres y, en especial, de las mujeres de color pobres. Esta investigación debe</w:t>
      </w:r>
      <w:r w:rsidR="00B30F74" w:rsidRPr="009257E7">
        <w:t xml:space="preserve">… </w:t>
      </w:r>
      <w:r w:rsidRPr="009257E7">
        <w:t>abordar las necesidades particulares de las latinas y de otras mujeres de color que con frecuencia son ignoradas por la investigación.</w:t>
      </w:r>
      <w:r w:rsidR="00B30F74" w:rsidRPr="009257E7">
        <w:rPr>
          <w:rStyle w:val="FootnoteReference"/>
        </w:rPr>
        <w:footnoteReference w:id="304"/>
      </w:r>
    </w:p>
    <w:p w14:paraId="58480448" w14:textId="1D36457D" w:rsidR="00511183" w:rsidRPr="009257E7" w:rsidRDefault="00511183" w:rsidP="00B30F74">
      <w:pPr>
        <w:pStyle w:val="NormalWeb"/>
        <w:ind w:firstLine="720"/>
      </w:pPr>
      <w:r w:rsidRPr="009257E7">
        <w:t xml:space="preserve">Los enfoques críticos del empirismo plantean preguntas contextuales amplias para poner de relieve patrones sistémicos que refuerzan la subordinación de grupos “diferentes” de maneras materiales y simbólicas. Estos patrones micro-macro ayudan a les abogades a comprender mejor la persistencia de la injusticia sistémica. La narrativa analítica, el tercer método </w:t>
      </w:r>
      <w:r w:rsidR="00B30F74" w:rsidRPr="009257E7">
        <w:t>presentado</w:t>
      </w:r>
      <w:r w:rsidRPr="009257E7">
        <w:t xml:space="preserve"> aquí, puede desempeñar un papel importante </w:t>
      </w:r>
      <w:r w:rsidR="00B30F74" w:rsidRPr="009257E7">
        <w:t>en</w:t>
      </w:r>
      <w:r w:rsidRPr="009257E7">
        <w:t xml:space="preserve"> este proceso de investigación desde abajo.</w:t>
      </w:r>
    </w:p>
    <w:p w14:paraId="2CA3F63B" w14:textId="39ABF0DC" w:rsidR="00B30F74" w:rsidRPr="009257E7" w:rsidRDefault="008B3576" w:rsidP="00B30F74">
      <w:pPr>
        <w:spacing w:before="100" w:beforeAutospacing="1" w:after="100" w:afterAutospacing="1" w:line="240" w:lineRule="auto"/>
        <w:outlineLvl w:val="2"/>
        <w:rPr>
          <w:rFonts w:ascii="Times New Roman" w:eastAsia="Times New Roman" w:hAnsi="Times New Roman" w:cs="Times New Roman"/>
          <w:b/>
          <w:bCs/>
          <w:kern w:val="0"/>
          <w14:ligatures w14:val="none"/>
        </w:rPr>
      </w:pPr>
      <w:r w:rsidRPr="009257E7">
        <w:rPr>
          <w:rFonts w:ascii="Times New Roman" w:eastAsia="Times New Roman" w:hAnsi="Times New Roman" w:cs="Times New Roman"/>
          <w:b/>
          <w:bCs/>
          <w:kern w:val="0"/>
          <w14:ligatures w14:val="none"/>
        </w:rPr>
        <w:t>C. Narrativa analítica</w:t>
      </w:r>
    </w:p>
    <w:p w14:paraId="2929EE28" w14:textId="1EAE75C2" w:rsidR="00B30F74" w:rsidRPr="009257E7" w:rsidRDefault="00B30F74" w:rsidP="008B3576">
      <w:pPr>
        <w:spacing w:before="100" w:beforeAutospacing="1" w:after="100" w:afterAutospacing="1" w:line="240" w:lineRule="auto"/>
        <w:ind w:firstLine="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 xml:space="preserve">La narrativa analítica se nutre de experiencias personales y grupales para comprender las posiciones subordinadas de los grupos marginados. Este método funciona conjuntamente tanto con la investigación-acción participativa (PAR, por sus siglas en inglés) como con el empirismo crítico. Las narrativas analíticas pueden dar inicio a análisis jurídicos desde abajo sobre problemas y soluciones al compartir experiencias personales de injusticia </w:t>
      </w:r>
      <w:r w:rsidR="008B3576" w:rsidRPr="009257E7">
        <w:rPr>
          <w:rFonts w:ascii="Times New Roman" w:eastAsia="Times New Roman" w:hAnsi="Times New Roman" w:cs="Times New Roman"/>
          <w:kern w:val="0"/>
          <w14:ligatures w14:val="none"/>
        </w:rPr>
        <w:t>y</w:t>
      </w:r>
      <w:r w:rsidRPr="009257E7">
        <w:rPr>
          <w:rFonts w:ascii="Times New Roman" w:eastAsia="Times New Roman" w:hAnsi="Times New Roman" w:cs="Times New Roman"/>
          <w:kern w:val="0"/>
          <w14:ligatures w14:val="none"/>
        </w:rPr>
        <w:t xml:space="preserve"> </w:t>
      </w:r>
      <w:r w:rsidR="008B3576" w:rsidRPr="009257E7">
        <w:rPr>
          <w:rFonts w:ascii="Times New Roman" w:eastAsia="Times New Roman" w:hAnsi="Times New Roman" w:cs="Times New Roman"/>
          <w:kern w:val="0"/>
          <w14:ligatures w14:val="none"/>
        </w:rPr>
        <w:t>al reflexionar</w:t>
      </w:r>
      <w:r w:rsidRPr="009257E7">
        <w:rPr>
          <w:rFonts w:ascii="Times New Roman" w:eastAsia="Times New Roman" w:hAnsi="Times New Roman" w:cs="Times New Roman"/>
          <w:kern w:val="0"/>
          <w14:ligatures w14:val="none"/>
        </w:rPr>
        <w:t xml:space="preserve"> sobre el contexto macro. Sin embargo, las narrativas constituyen una herramienta singular con un poder singular: aunque existen muchos tipos y formas de narrativas, por lo general cuentan una historia —con frecuencia personal— que condensa y pone al descubierto una injusticia sistémica normalizada de maneras accesibles, anecdóticas y, en ocasiones, motivadoras.</w:t>
      </w:r>
    </w:p>
    <w:p w14:paraId="48A23B43" w14:textId="09A52530" w:rsidR="00B30F74" w:rsidRPr="009257E7" w:rsidRDefault="00B30F74" w:rsidP="008B3576">
      <w:pPr>
        <w:spacing w:before="100" w:beforeAutospacing="1" w:after="100" w:afterAutospacing="1" w:line="240" w:lineRule="auto"/>
        <w:ind w:firstLine="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 xml:space="preserve">Las narrativas analíticas también pueden ser históricas. Pueden ser biográficas o autobiográficas. Pueden ser fácticas o ficticias. Pueden combinar estas características de infinitas maneras. Sin embargo, todas tienen como eje la injusticia sistémica: cómo reconocerla y combatirla. Las narrativas analíticas ofrecen un “caso ilustrativo” que pone al descubierto el panorama más amplio de la injusticia sistémica </w:t>
      </w:r>
      <w:r w:rsidR="008B3576" w:rsidRPr="009257E7">
        <w:rPr>
          <w:rFonts w:ascii="Times New Roman" w:eastAsia="Times New Roman" w:hAnsi="Times New Roman" w:cs="Times New Roman"/>
          <w:kern w:val="0"/>
          <w14:ligatures w14:val="none"/>
        </w:rPr>
        <w:t>en</w:t>
      </w:r>
      <w:r w:rsidRPr="009257E7">
        <w:rPr>
          <w:rFonts w:ascii="Times New Roman" w:eastAsia="Times New Roman" w:hAnsi="Times New Roman" w:cs="Times New Roman"/>
          <w:kern w:val="0"/>
          <w14:ligatures w14:val="none"/>
        </w:rPr>
        <w:t xml:space="preserve"> d</w:t>
      </w:r>
      <w:r w:rsidR="008B3576" w:rsidRPr="009257E7">
        <w:rPr>
          <w:rFonts w:ascii="Times New Roman" w:eastAsia="Times New Roman" w:hAnsi="Times New Roman" w:cs="Times New Roman"/>
          <w:kern w:val="0"/>
          <w14:ligatures w14:val="none"/>
        </w:rPr>
        <w:t>iversos</w:t>
      </w:r>
      <w:r w:rsidRPr="009257E7">
        <w:rPr>
          <w:rFonts w:ascii="Times New Roman" w:eastAsia="Times New Roman" w:hAnsi="Times New Roman" w:cs="Times New Roman"/>
          <w:kern w:val="0"/>
          <w14:ligatures w14:val="none"/>
        </w:rPr>
        <w:t xml:space="preserve"> contextos, escenarios y luchas. Los </w:t>
      </w:r>
      <w:r w:rsidRPr="009257E7">
        <w:rPr>
          <w:rFonts w:ascii="Times New Roman" w:eastAsia="Times New Roman" w:hAnsi="Times New Roman" w:cs="Times New Roman"/>
          <w:kern w:val="0"/>
          <w14:ligatures w14:val="none"/>
        </w:rPr>
        <w:lastRenderedPageBreak/>
        <w:t>materiales que siguen amplían nuestro estudio de la narrativa analítica</w:t>
      </w:r>
      <w:r w:rsidR="008B3576" w:rsidRPr="009257E7">
        <w:rPr>
          <w:rFonts w:ascii="Times New Roman" w:eastAsia="Times New Roman" w:hAnsi="Times New Roman" w:cs="Times New Roman"/>
          <w:kern w:val="0"/>
          <w14:ligatures w14:val="none"/>
        </w:rPr>
        <w:t>,</w:t>
      </w:r>
      <w:r w:rsidRPr="009257E7">
        <w:rPr>
          <w:rFonts w:ascii="Times New Roman" w:eastAsia="Times New Roman" w:hAnsi="Times New Roman" w:cs="Times New Roman"/>
          <w:kern w:val="0"/>
          <w14:ligatures w14:val="none"/>
        </w:rPr>
        <w:t xml:space="preserve"> específicamente como método de investigación y análisis críticos que conduce a conocimiento accionable.</w:t>
      </w:r>
    </w:p>
    <w:p w14:paraId="12C8652A" w14:textId="1A824329" w:rsidR="00B30F74" w:rsidRPr="009257E7" w:rsidRDefault="00B30F74" w:rsidP="008B3576">
      <w:pPr>
        <w:spacing w:before="100" w:beforeAutospacing="1" w:after="100" w:afterAutospacing="1" w:line="240" w:lineRule="auto"/>
        <w:ind w:firstLine="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La narración jurídica es importante incluso dentro de la abogacía tradicional. Con frecuencia, se les pide a l</w:t>
      </w:r>
      <w:r w:rsidR="008B3576" w:rsidRPr="009257E7">
        <w:rPr>
          <w:rFonts w:ascii="Times New Roman" w:eastAsia="Times New Roman" w:hAnsi="Times New Roman" w:cs="Times New Roman"/>
          <w:kern w:val="0"/>
          <w14:ligatures w14:val="none"/>
        </w:rPr>
        <w:t>e</w:t>
      </w:r>
      <w:r w:rsidRPr="009257E7">
        <w:rPr>
          <w:rFonts w:ascii="Times New Roman" w:eastAsia="Times New Roman" w:hAnsi="Times New Roman" w:cs="Times New Roman"/>
          <w:kern w:val="0"/>
          <w14:ligatures w14:val="none"/>
        </w:rPr>
        <w:t>s estudiantes de derecho que reflexionen sobre la naturaleza de la “historia” contenida en escritos procesales o</w:t>
      </w:r>
      <w:r w:rsidR="008B3576" w:rsidRPr="009257E7">
        <w:rPr>
          <w:rFonts w:ascii="Times New Roman" w:eastAsia="Times New Roman" w:hAnsi="Times New Roman" w:cs="Times New Roman"/>
          <w:kern w:val="0"/>
          <w14:ligatures w14:val="none"/>
        </w:rPr>
        <w:t xml:space="preserve"> en</w:t>
      </w:r>
      <w:r w:rsidRPr="009257E7">
        <w:rPr>
          <w:rFonts w:ascii="Times New Roman" w:eastAsia="Times New Roman" w:hAnsi="Times New Roman" w:cs="Times New Roman"/>
          <w:kern w:val="0"/>
          <w14:ligatures w14:val="none"/>
        </w:rPr>
        <w:t xml:space="preserve"> decisiones judiciales y que evalúen cuál es el relato más convincente o que genera mayor empatía dentro de un contexto o escenario determinado. Sin embargo, la abogacía sistémica se nutre no solo de narrativas, sino también de la teoría narrativa. Al igual que ocurre con la diferencia entre el empirismo tradicional y el empirismo crítico, la diferencia entre la narración jurídica tradicional y los enfoques críticos de la narrativa radica en que estos últimos procuran descubrir algo más que los hechos superficiales de una realidad social inmediata. La narrativa crítica pregunta por qué existe, en primer lugar, un conjunto determinado de hechos, y este método crítico de narración crea temas y arcos narrativos nuevos que pueden ser disonantes, </w:t>
      </w:r>
      <w:r w:rsidR="008B3576" w:rsidRPr="009257E7">
        <w:rPr>
          <w:rFonts w:ascii="Times New Roman" w:eastAsia="Times New Roman" w:hAnsi="Times New Roman" w:cs="Times New Roman"/>
          <w:kern w:val="0"/>
          <w14:ligatures w14:val="none"/>
        </w:rPr>
        <w:t>o</w:t>
      </w:r>
      <w:r w:rsidRPr="009257E7">
        <w:rPr>
          <w:rFonts w:ascii="Times New Roman" w:eastAsia="Times New Roman" w:hAnsi="Times New Roman" w:cs="Times New Roman"/>
          <w:kern w:val="0"/>
          <w14:ligatures w14:val="none"/>
        </w:rPr>
        <w:t xml:space="preserve"> no resonantes, con los sesgos y marcos dominantes. Como forma de abogacía, los enfoques críticos de la narrativa procuran cuestionar, no celebrar ni acomodarse a la violencia sistémica del </w:t>
      </w:r>
      <w:r w:rsidRPr="009257E7">
        <w:rPr>
          <w:rFonts w:ascii="Times New Roman" w:eastAsia="Times New Roman" w:hAnsi="Times New Roman" w:cs="Times New Roman"/>
          <w:i/>
          <w:iCs/>
          <w:kern w:val="0"/>
          <w14:ligatures w14:val="none"/>
        </w:rPr>
        <w:t>statu quo</w:t>
      </w:r>
      <w:r w:rsidRPr="009257E7">
        <w:rPr>
          <w:rFonts w:ascii="Times New Roman" w:eastAsia="Times New Roman" w:hAnsi="Times New Roman" w:cs="Times New Roman"/>
          <w:kern w:val="0"/>
          <w14:ligatures w14:val="none"/>
        </w:rPr>
        <w:t xml:space="preserve">. En su mejor expresión, las narrativas analíticas responden algunas de las “otras” preguntas relacionadas con identidades, grupos, intereses y poder que las reglas sistémicas y las prácticas de la industria excluyen o distorsionan. Captan realidades amplias que pueden quedar entre las grietas del conocimiento producido mediante la PAR o el empirismo crítico. Como método crítico, </w:t>
      </w:r>
      <w:r w:rsidR="008B3576" w:rsidRPr="009257E7">
        <w:rPr>
          <w:rFonts w:ascii="Times New Roman" w:eastAsia="Times New Roman" w:hAnsi="Times New Roman" w:cs="Times New Roman"/>
          <w:kern w:val="0"/>
          <w14:ligatures w14:val="none"/>
        </w:rPr>
        <w:t xml:space="preserve">le </w:t>
      </w:r>
      <w:r w:rsidRPr="009257E7">
        <w:rPr>
          <w:rFonts w:ascii="Times New Roman" w:eastAsia="Times New Roman" w:hAnsi="Times New Roman" w:cs="Times New Roman"/>
          <w:kern w:val="0"/>
          <w14:ligatures w14:val="none"/>
        </w:rPr>
        <w:t xml:space="preserve">ponen un rostro a las abstracciones formalistas sobre la violencia cotidiana de la injusticia sistémica. Con frecuencia, relatan un ejemplo concreto de injusticia sistémica que </w:t>
      </w:r>
      <w:r w:rsidR="008B3576" w:rsidRPr="009257E7">
        <w:rPr>
          <w:rFonts w:ascii="Times New Roman" w:eastAsia="Times New Roman" w:hAnsi="Times New Roman" w:cs="Times New Roman"/>
          <w:kern w:val="0"/>
          <w14:ligatures w14:val="none"/>
        </w:rPr>
        <w:t>ilu</w:t>
      </w:r>
      <w:r w:rsidRPr="009257E7">
        <w:rPr>
          <w:rFonts w:ascii="Times New Roman" w:eastAsia="Times New Roman" w:hAnsi="Times New Roman" w:cs="Times New Roman"/>
          <w:kern w:val="0"/>
          <w14:ligatures w14:val="none"/>
        </w:rPr>
        <w:t xml:space="preserve">stra o explica el funcionamiento más amplio de los sistemas de castas identitarias </w:t>
      </w:r>
      <w:r w:rsidR="008B3576" w:rsidRPr="009257E7">
        <w:rPr>
          <w:rFonts w:ascii="Times New Roman" w:eastAsia="Times New Roman" w:hAnsi="Times New Roman" w:cs="Times New Roman"/>
          <w:kern w:val="0"/>
          <w14:ligatures w14:val="none"/>
        </w:rPr>
        <w:t>en</w:t>
      </w:r>
      <w:r w:rsidRPr="009257E7">
        <w:rPr>
          <w:rFonts w:ascii="Times New Roman" w:eastAsia="Times New Roman" w:hAnsi="Times New Roman" w:cs="Times New Roman"/>
          <w:kern w:val="0"/>
          <w14:ligatures w14:val="none"/>
        </w:rPr>
        <w:t xml:space="preserve"> el derecho y </w:t>
      </w:r>
      <w:r w:rsidR="008B3576" w:rsidRPr="009257E7">
        <w:rPr>
          <w:rFonts w:ascii="Times New Roman" w:eastAsia="Times New Roman" w:hAnsi="Times New Roman" w:cs="Times New Roman"/>
          <w:kern w:val="0"/>
          <w14:ligatures w14:val="none"/>
        </w:rPr>
        <w:t>en</w:t>
      </w:r>
      <w:r w:rsidRPr="009257E7">
        <w:rPr>
          <w:rFonts w:ascii="Times New Roman" w:eastAsia="Times New Roman" w:hAnsi="Times New Roman" w:cs="Times New Roman"/>
          <w:kern w:val="0"/>
          <w14:ligatures w14:val="none"/>
        </w:rPr>
        <w:t xml:space="preserve"> la sociedad.</w:t>
      </w:r>
    </w:p>
    <w:p w14:paraId="2CDDBE59" w14:textId="6042B7FF" w:rsidR="00B30F74" w:rsidRPr="009257E7" w:rsidRDefault="00B30F74" w:rsidP="008B3576">
      <w:pPr>
        <w:spacing w:before="100" w:beforeAutospacing="1" w:after="100" w:afterAutospacing="1" w:line="240" w:lineRule="auto"/>
        <w:ind w:firstLine="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 xml:space="preserve">El académico del derecho Mario Barnes, por ejemplo, cita la explicación que ofreció su abuela materna sobre por qué fue acusada </w:t>
      </w:r>
      <w:r w:rsidR="008B3576" w:rsidRPr="009257E7">
        <w:rPr>
          <w:rFonts w:ascii="Times New Roman" w:eastAsia="Times New Roman" w:hAnsi="Times New Roman" w:cs="Times New Roman"/>
          <w:kern w:val="0"/>
          <w14:ligatures w14:val="none"/>
        </w:rPr>
        <w:t>de</w:t>
      </w:r>
      <w:r w:rsidRPr="009257E7">
        <w:rPr>
          <w:rFonts w:ascii="Times New Roman" w:eastAsia="Times New Roman" w:hAnsi="Times New Roman" w:cs="Times New Roman"/>
          <w:kern w:val="0"/>
          <w14:ligatures w14:val="none"/>
        </w:rPr>
        <w:t xml:space="preserve"> coconspiradora en un caso de robo y asesinato ocurrido en 1967. Según ella, entre las razones estaban “ser negra y haber tenido antecedentes por falsificación, y todavía estoy pagando por mi [delito pasado]”</w:t>
      </w:r>
      <w:r w:rsidR="008B3576" w:rsidRPr="009257E7">
        <w:rPr>
          <w:rStyle w:val="FootnoteReference"/>
          <w:rFonts w:ascii="Times New Roman" w:eastAsia="Times New Roman" w:hAnsi="Times New Roman" w:cs="Times New Roman"/>
          <w:kern w:val="0"/>
          <w14:ligatures w14:val="none"/>
        </w:rPr>
        <w:footnoteReference w:id="305"/>
      </w:r>
      <w:r w:rsidRPr="009257E7">
        <w:rPr>
          <w:rFonts w:ascii="Times New Roman" w:eastAsia="Times New Roman" w:hAnsi="Times New Roman" w:cs="Times New Roman"/>
          <w:kern w:val="0"/>
          <w14:ligatures w14:val="none"/>
        </w:rPr>
        <w:t>. El relato de Barnes sobre la narrativa analítica de su abuela arroja una luz distinta sobre una acción desde arriba que apunta a un abuso de poder relacionado con la identidad, el cual, a su vez, queda oculto por explicaciones “oficiales” o relatos sistémicos encubridores:</w:t>
      </w:r>
    </w:p>
    <w:p w14:paraId="51DC17C0" w14:textId="59F0001F" w:rsidR="00B30F74" w:rsidRPr="009257E7" w:rsidRDefault="00B30F74" w:rsidP="008B3576">
      <w:pPr>
        <w:spacing w:before="100" w:beforeAutospacing="1" w:after="100" w:afterAutospacing="1" w:line="240" w:lineRule="auto"/>
        <w:ind w:left="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[L]as narrativas personales revelan tipos de información y conocimiento que no se manifiestan en las representaciones doctrinales de sus historias ni necesariamente se reflejan en las estadísticas que presentan el panorama cuantitativo de las mujeres negras dentro del sistema de justicia penal. Como mínimo, tanto las estadísticas relacionadas con las tasas de condena y encarcelamiento de las mujeres afroamericanas</w:t>
      </w:r>
      <w:r w:rsidR="008B3576" w:rsidRPr="009257E7">
        <w:rPr>
          <w:rFonts w:ascii="Times New Roman" w:eastAsia="Times New Roman" w:hAnsi="Times New Roman" w:cs="Times New Roman"/>
          <w:kern w:val="0"/>
          <w14:ligatures w14:val="none"/>
        </w:rPr>
        <w:t>…</w:t>
      </w:r>
      <w:r w:rsidRPr="009257E7">
        <w:rPr>
          <w:rFonts w:ascii="Times New Roman" w:eastAsia="Times New Roman" w:hAnsi="Times New Roman" w:cs="Times New Roman"/>
          <w:kern w:val="0"/>
          <w14:ligatures w14:val="none"/>
        </w:rPr>
        <w:t xml:space="preserve"> como historias como la de</w:t>
      </w:r>
      <w:r w:rsidR="008B3576" w:rsidRPr="009257E7">
        <w:rPr>
          <w:rFonts w:ascii="Times New Roman" w:eastAsia="Times New Roman" w:hAnsi="Times New Roman" w:cs="Times New Roman"/>
          <w:kern w:val="0"/>
          <w14:ligatures w14:val="none"/>
        </w:rPr>
        <w:t xml:space="preserve">… </w:t>
      </w:r>
      <w:r w:rsidRPr="009257E7">
        <w:rPr>
          <w:rFonts w:ascii="Times New Roman" w:eastAsia="Times New Roman" w:hAnsi="Times New Roman" w:cs="Times New Roman"/>
          <w:kern w:val="0"/>
          <w14:ligatures w14:val="none"/>
        </w:rPr>
        <w:t xml:space="preserve">mi abuela nos recuerdan que existe un costo real por estar marcade por la diferencia dentro de la sociedad. </w:t>
      </w:r>
      <w:bookmarkStart w:id="47" w:name="OLE_LINK2"/>
      <w:r w:rsidRPr="009257E7">
        <w:rPr>
          <w:rFonts w:ascii="Times New Roman" w:eastAsia="Times New Roman" w:hAnsi="Times New Roman" w:cs="Times New Roman"/>
          <w:kern w:val="0"/>
          <w14:ligatures w14:val="none"/>
        </w:rPr>
        <w:t>Contar nuestras propias versiones de nuestras historias constituye apenas un primer paso para revelar el alcance del poder institucional y la naturaleza sistémica de la opresión.</w:t>
      </w:r>
      <w:bookmarkEnd w:id="47"/>
      <w:r w:rsidR="008B3576" w:rsidRPr="009257E7">
        <w:rPr>
          <w:rStyle w:val="FootnoteReference"/>
          <w:rFonts w:ascii="Times New Roman" w:eastAsia="Times New Roman" w:hAnsi="Times New Roman" w:cs="Times New Roman"/>
          <w:kern w:val="0"/>
          <w14:ligatures w14:val="none"/>
        </w:rPr>
        <w:footnoteReference w:id="306"/>
      </w:r>
    </w:p>
    <w:p w14:paraId="0387FC2B" w14:textId="77777777" w:rsidR="00B30F74" w:rsidRPr="009257E7" w:rsidRDefault="00B30F74" w:rsidP="008B3576">
      <w:pPr>
        <w:spacing w:before="100" w:beforeAutospacing="1" w:after="100" w:afterAutospacing="1" w:line="240" w:lineRule="auto"/>
        <w:ind w:firstLine="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lastRenderedPageBreak/>
        <w:t>Además, por tanto, las narrativas analíticas críticas —denominadas en ocasiones contranarrativas— procuran fortalecer las identidades colectivas y motivar la acción colectiva de maneras que contribuyan a la construcción de poder y a la transformación cultural.</w:t>
      </w:r>
    </w:p>
    <w:p w14:paraId="12E1A1D1" w14:textId="58C719B5" w:rsidR="00B30F74" w:rsidRPr="009257E7" w:rsidRDefault="00B30F74" w:rsidP="008B3576">
      <w:pPr>
        <w:spacing w:before="100" w:beforeAutospacing="1" w:after="100" w:afterAutospacing="1" w:line="240" w:lineRule="auto"/>
        <w:ind w:firstLine="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Compartir experiencias no constituye simplemente un desahogo; también puede ayudar a les abogades, activistas y aliades a poner al descubierto y comprender las desigualdades para cuestionar las concepciones dominantes de una justicia abstracta “protegida” por la igualdad formal: “La narrativa puede ser, y ha sido, utilizada por personas externas para señalar distintos daños que han sufrido”</w:t>
      </w:r>
      <w:r w:rsidR="008B3576" w:rsidRPr="009257E7">
        <w:rPr>
          <w:rStyle w:val="FootnoteReference"/>
          <w:rFonts w:ascii="Times New Roman" w:eastAsia="Times New Roman" w:hAnsi="Times New Roman" w:cs="Times New Roman"/>
          <w:kern w:val="0"/>
          <w14:ligatures w14:val="none"/>
        </w:rPr>
        <w:footnoteReference w:id="307"/>
      </w:r>
      <w:r w:rsidRPr="009257E7">
        <w:rPr>
          <w:rFonts w:ascii="Times New Roman" w:eastAsia="Times New Roman" w:hAnsi="Times New Roman" w:cs="Times New Roman"/>
          <w:kern w:val="0"/>
          <w14:ligatures w14:val="none"/>
        </w:rPr>
        <w:t xml:space="preserve"> y movilizarse en torno a esas experiencias compartidas. Con el tiempo, compartir historias personales sobre desigualdad colectiva fomenta la empatía, la comprensión y la solidaridad entre quienes están abajo dentro de un contexto determinado. De este modo, relatar historias puede contribuir a fortalecer la capacidad de los grupos para sostener luchas de largo plazo. Daniella Ann Cook y Adrienne Dixson, académicas de la teoría crítica de la raza en el campo de la educación, describen los propósitos y las formas comunes de este tipo de trabajo narrativo:</w:t>
      </w:r>
    </w:p>
    <w:p w14:paraId="75097822" w14:textId="172C4122" w:rsidR="00B30F74" w:rsidRPr="009257E7" w:rsidRDefault="00B30F74" w:rsidP="008B3576">
      <w:pPr>
        <w:spacing w:before="100" w:beforeAutospacing="1" w:after="100" w:afterAutospacing="1" w:line="240" w:lineRule="auto"/>
        <w:ind w:left="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La contranarración [o narrativa analítica] cumple numerosos propósitos, entre ellos: (1) la preservación psíquica mediante la negativa a silenciar las experiencias de las personas oprimidas y, de este modo, sacar a la luz evidencia desatendida (contranarración); (2) cuestionar la realidad normativa mediante un intercambio que supere el etnocentrismo y la convicción disconsciente de contemplar el mundo de una sola manera; (3) escuchar las voces de las personas de color como base para comprender cómo funcionan la raza y el racismo; y (4) intentar deliberadamente desestabilizar la ideología liberal</w:t>
      </w:r>
      <w:r w:rsidR="008B3576" w:rsidRPr="009257E7">
        <w:rPr>
          <w:rFonts w:ascii="Times New Roman" w:eastAsia="Times New Roman" w:hAnsi="Times New Roman" w:cs="Times New Roman"/>
          <w:kern w:val="0"/>
          <w14:ligatures w14:val="none"/>
        </w:rPr>
        <w:t>…</w:t>
      </w:r>
      <w:r w:rsidRPr="009257E7">
        <w:rPr>
          <w:rFonts w:ascii="Times New Roman" w:eastAsia="Times New Roman" w:hAnsi="Times New Roman" w:cs="Times New Roman"/>
          <w:kern w:val="0"/>
          <w14:ligatures w14:val="none"/>
        </w:rPr>
        <w:t xml:space="preserve"> [L]es académicos suelen utilizar tres formas de contranarración: historias o narrativas personales, historias o narrativas de otras personas e historias o narrativas compuestas.</w:t>
      </w:r>
      <w:r w:rsidR="008B3576" w:rsidRPr="009257E7">
        <w:rPr>
          <w:rStyle w:val="FootnoteReference"/>
          <w:rFonts w:ascii="Times New Roman" w:eastAsia="Times New Roman" w:hAnsi="Times New Roman" w:cs="Times New Roman"/>
          <w:kern w:val="0"/>
          <w14:ligatures w14:val="none"/>
        </w:rPr>
        <w:footnoteReference w:id="308"/>
      </w:r>
    </w:p>
    <w:p w14:paraId="0752ACD0" w14:textId="7C56253D" w:rsidR="00B30F74" w:rsidRPr="009257E7" w:rsidRDefault="00B30F74" w:rsidP="008B3576">
      <w:pPr>
        <w:spacing w:before="100" w:beforeAutospacing="1" w:after="100" w:afterAutospacing="1" w:line="240" w:lineRule="auto"/>
        <w:ind w:firstLine="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 xml:space="preserve">Así, al igual que la PAR y el empirismo crítico, las narrativas analíticas también prestan atención, </w:t>
      </w:r>
      <w:r w:rsidR="008B3576" w:rsidRPr="009257E7">
        <w:rPr>
          <w:rFonts w:ascii="Times New Roman" w:eastAsia="Times New Roman" w:hAnsi="Times New Roman" w:cs="Times New Roman"/>
          <w:kern w:val="0"/>
          <w14:ligatures w14:val="none"/>
        </w:rPr>
        <w:t>en</w:t>
      </w:r>
      <w:r w:rsidRPr="009257E7">
        <w:rPr>
          <w:rFonts w:ascii="Times New Roman" w:eastAsia="Times New Roman" w:hAnsi="Times New Roman" w:cs="Times New Roman"/>
          <w:kern w:val="0"/>
          <w14:ligatures w14:val="none"/>
        </w:rPr>
        <w:t xml:space="preserve"> cada contexto, a las funciones que desempeñan las identidades, los grupos, los intereses y el poder en los problemas sociales persistentes y en sus soluciones efectivas. Este tipo de narrativa puede constituir, en sí mismo, una colaboración: una forma de producción colaborativa de conocimiento que genera poder. De manera correspondiente, la colaboración a través de las diferencias puede ser una actividad que produce y enriquece el conocimiento y permite fortalecer, de múltiples maneras, tanto a le abogade como a la propia abogacía. Para promover el progreso, la narración crítica puede constituir una iniciativa colaborativa que cuestione —o se conecte con— las concepciones dominantes de la justicia.</w:t>
      </w:r>
    </w:p>
    <w:p w14:paraId="09BC4FCD" w14:textId="143D9F4D" w:rsidR="00B30F74" w:rsidRPr="009257E7" w:rsidRDefault="00B30F74" w:rsidP="008B3576">
      <w:pPr>
        <w:spacing w:before="100" w:beforeAutospacing="1" w:after="100" w:afterAutospacing="1" w:line="240" w:lineRule="auto"/>
        <w:ind w:firstLine="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 xml:space="preserve">Por supuesto, las narrativas analíticas personales pueden complementarse —y con frecuencia se complementan— con datos históricos o de otro tipo, por ejemplo, empíricos, para profundizar </w:t>
      </w:r>
      <w:r w:rsidR="008B3576" w:rsidRPr="009257E7">
        <w:rPr>
          <w:rFonts w:ascii="Times New Roman" w:eastAsia="Times New Roman" w:hAnsi="Times New Roman" w:cs="Times New Roman"/>
          <w:kern w:val="0"/>
          <w14:ligatures w14:val="none"/>
        </w:rPr>
        <w:t xml:space="preserve">en </w:t>
      </w:r>
      <w:r w:rsidRPr="009257E7">
        <w:rPr>
          <w:rFonts w:ascii="Times New Roman" w:eastAsia="Times New Roman" w:hAnsi="Times New Roman" w:cs="Times New Roman"/>
          <w:kern w:val="0"/>
          <w14:ligatures w14:val="none"/>
        </w:rPr>
        <w:t xml:space="preserve">la comprensión de las historias concretas y </w:t>
      </w:r>
      <w:r w:rsidR="008B3576" w:rsidRPr="009257E7">
        <w:rPr>
          <w:rFonts w:ascii="Times New Roman" w:eastAsia="Times New Roman" w:hAnsi="Times New Roman" w:cs="Times New Roman"/>
          <w:kern w:val="0"/>
          <w14:ligatures w14:val="none"/>
        </w:rPr>
        <w:t xml:space="preserve">de </w:t>
      </w:r>
      <w:r w:rsidRPr="009257E7">
        <w:rPr>
          <w:rFonts w:ascii="Times New Roman" w:eastAsia="Times New Roman" w:hAnsi="Times New Roman" w:cs="Times New Roman"/>
          <w:kern w:val="0"/>
          <w14:ligatures w14:val="none"/>
        </w:rPr>
        <w:t xml:space="preserve">las realidades sociales que ponen de manifiesto. Como explica el académico del derecho Marc-Tizoc González, las historias </w:t>
      </w:r>
      <w:r w:rsidRPr="009257E7">
        <w:rPr>
          <w:rFonts w:ascii="Times New Roman" w:eastAsia="Times New Roman" w:hAnsi="Times New Roman" w:cs="Times New Roman"/>
          <w:kern w:val="0"/>
          <w14:ligatures w14:val="none"/>
        </w:rPr>
        <w:lastRenderedPageBreak/>
        <w:t>jurídicas étnicas críticas pueden utilizar una estructura narrativa para cuestionar las concepciones tradicionales de los hechos, el derecho y los resultados:</w:t>
      </w:r>
    </w:p>
    <w:p w14:paraId="184E33B5" w14:textId="10B95444" w:rsidR="00B30F74" w:rsidRPr="009257E7" w:rsidRDefault="00B30F74" w:rsidP="00787F41">
      <w:pPr>
        <w:spacing w:before="100" w:beforeAutospacing="1" w:after="100" w:afterAutospacing="1" w:line="240" w:lineRule="auto"/>
        <w:ind w:left="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 xml:space="preserve">Investigar y escribir historias jurídicas étnicas críticas constituye una práctica beneficiosa para cultivar y renovar una praxis crítica insurgente de la raza orientada hacia la justicia interracial. Sin embargo, estas historias no deben ser heroicas, </w:t>
      </w:r>
      <w:r w:rsidR="008B3576" w:rsidRPr="009257E7">
        <w:rPr>
          <w:rFonts w:ascii="Times New Roman" w:eastAsia="Times New Roman" w:hAnsi="Times New Roman" w:cs="Times New Roman"/>
          <w:kern w:val="0"/>
          <w14:ligatures w14:val="none"/>
        </w:rPr>
        <w:t>limitarse</w:t>
      </w:r>
      <w:r w:rsidRPr="009257E7">
        <w:rPr>
          <w:rFonts w:ascii="Times New Roman" w:eastAsia="Times New Roman" w:hAnsi="Times New Roman" w:cs="Times New Roman"/>
          <w:kern w:val="0"/>
          <w14:ligatures w14:val="none"/>
        </w:rPr>
        <w:t xml:space="preserve"> </w:t>
      </w:r>
      <w:r w:rsidR="008B3576" w:rsidRPr="009257E7">
        <w:rPr>
          <w:rFonts w:ascii="Times New Roman" w:eastAsia="Times New Roman" w:hAnsi="Times New Roman" w:cs="Times New Roman"/>
          <w:kern w:val="0"/>
          <w14:ligatures w14:val="none"/>
        </w:rPr>
        <w:t>a</w:t>
      </w:r>
      <w:r w:rsidRPr="009257E7">
        <w:rPr>
          <w:rFonts w:ascii="Times New Roman" w:eastAsia="Times New Roman" w:hAnsi="Times New Roman" w:cs="Times New Roman"/>
          <w:kern w:val="0"/>
          <w14:ligatures w14:val="none"/>
        </w:rPr>
        <w:t xml:space="preserve"> las fronteras nacionales ni ser teleológicas. Por el contrario, las historias jurídicas étnicas críticas entrelazan historias parciales de contramemoria como una forma de praxis racial que aspira a la justicia interracial mediante el cuestionamiento de las concepciones convencionales o dominantes del pasado y su reformulación desde una variedad de perspectivas</w:t>
      </w:r>
      <w:r w:rsidR="00787F41" w:rsidRPr="009257E7">
        <w:rPr>
          <w:rFonts w:ascii="Times New Roman" w:eastAsia="Times New Roman" w:hAnsi="Times New Roman" w:cs="Times New Roman"/>
          <w:kern w:val="0"/>
          <w14:ligatures w14:val="none"/>
        </w:rPr>
        <w:t>,</w:t>
      </w:r>
      <w:r w:rsidRPr="009257E7">
        <w:rPr>
          <w:rFonts w:ascii="Times New Roman" w:eastAsia="Times New Roman" w:hAnsi="Times New Roman" w:cs="Times New Roman"/>
          <w:kern w:val="0"/>
          <w14:ligatures w14:val="none"/>
        </w:rPr>
        <w:t xml:space="preserve"> informadas por trabajos académicos contemporáneos y de vanguardia en estudios étnicos comparativos y</w:t>
      </w:r>
      <w:r w:rsidR="00787F41" w:rsidRPr="009257E7">
        <w:rPr>
          <w:rFonts w:ascii="Times New Roman" w:eastAsia="Times New Roman" w:hAnsi="Times New Roman" w:cs="Times New Roman"/>
          <w:kern w:val="0"/>
          <w14:ligatures w14:val="none"/>
        </w:rPr>
        <w:t xml:space="preserve"> en</w:t>
      </w:r>
      <w:r w:rsidRPr="009257E7">
        <w:rPr>
          <w:rFonts w:ascii="Times New Roman" w:eastAsia="Times New Roman" w:hAnsi="Times New Roman" w:cs="Times New Roman"/>
          <w:kern w:val="0"/>
          <w14:ligatures w14:val="none"/>
        </w:rPr>
        <w:t xml:space="preserve"> jurisprudencia crítica de personas externas.</w:t>
      </w:r>
      <w:r w:rsidR="00787F41" w:rsidRPr="009257E7">
        <w:rPr>
          <w:rStyle w:val="FootnoteReference"/>
          <w:rFonts w:ascii="Times New Roman" w:eastAsia="Times New Roman" w:hAnsi="Times New Roman" w:cs="Times New Roman"/>
          <w:kern w:val="0"/>
          <w14:ligatures w14:val="none"/>
        </w:rPr>
        <w:footnoteReference w:id="309"/>
      </w:r>
    </w:p>
    <w:p w14:paraId="0B225E21" w14:textId="4C5489F0" w:rsidR="00B30F74" w:rsidRPr="009257E7" w:rsidRDefault="00B30F74" w:rsidP="00787F41">
      <w:pPr>
        <w:spacing w:before="100" w:beforeAutospacing="1" w:after="100" w:afterAutospacing="1" w:line="240" w:lineRule="auto"/>
        <w:ind w:firstLine="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 xml:space="preserve">Una narrativa que incorpora historia crítica —la cual, a su vez, se nutre de narrativas desde abajo— aporta hechos adicionales que pueden transformar radicalmente la comprensión tanto de la historia como de </w:t>
      </w:r>
      <w:r w:rsidR="00787F41" w:rsidRPr="009257E7">
        <w:rPr>
          <w:rFonts w:ascii="Times New Roman" w:eastAsia="Times New Roman" w:hAnsi="Times New Roman" w:cs="Times New Roman"/>
          <w:kern w:val="0"/>
          <w14:ligatures w14:val="none"/>
        </w:rPr>
        <w:t>dich</w:t>
      </w:r>
      <w:r w:rsidRPr="009257E7">
        <w:rPr>
          <w:rFonts w:ascii="Times New Roman" w:eastAsia="Times New Roman" w:hAnsi="Times New Roman" w:cs="Times New Roman"/>
          <w:kern w:val="0"/>
          <w14:ligatures w14:val="none"/>
        </w:rPr>
        <w:t>as concepciones. Las narrativas analíticas pueden ser anecdóticas —micro y personales—, pero también pueden incorporar o conectarse con hechos históricos y legados macro.</w:t>
      </w:r>
    </w:p>
    <w:p w14:paraId="4081D461" w14:textId="45CF499C" w:rsidR="00B30F74" w:rsidRPr="009257E7" w:rsidRDefault="00B30F74" w:rsidP="00787F41">
      <w:pPr>
        <w:spacing w:before="100" w:beforeAutospacing="1" w:after="100" w:afterAutospacing="1" w:line="240" w:lineRule="auto"/>
        <w:ind w:firstLine="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Como quizás era previsible, los usos críticos de la narrativa dentro del derecho han sido objeto, desde sus inicios, de ataques intensos desde arriba y</w:t>
      </w:r>
      <w:r w:rsidR="00787F41" w:rsidRPr="009257E7">
        <w:rPr>
          <w:rFonts w:ascii="Times New Roman" w:eastAsia="Times New Roman" w:hAnsi="Times New Roman" w:cs="Times New Roman"/>
          <w:kern w:val="0"/>
          <w14:ligatures w14:val="none"/>
        </w:rPr>
        <w:t>,</w:t>
      </w:r>
      <w:r w:rsidRPr="009257E7">
        <w:rPr>
          <w:rFonts w:ascii="Times New Roman" w:eastAsia="Times New Roman" w:hAnsi="Times New Roman" w:cs="Times New Roman"/>
          <w:kern w:val="0"/>
          <w14:ligatures w14:val="none"/>
        </w:rPr>
        <w:t xml:space="preserve"> con frecuencia</w:t>
      </w:r>
      <w:r w:rsidR="00787F41" w:rsidRPr="009257E7">
        <w:rPr>
          <w:rFonts w:ascii="Times New Roman" w:eastAsia="Times New Roman" w:hAnsi="Times New Roman" w:cs="Times New Roman"/>
          <w:kern w:val="0"/>
          <w14:ligatures w14:val="none"/>
        </w:rPr>
        <w:t>,</w:t>
      </w:r>
      <w:r w:rsidRPr="009257E7">
        <w:rPr>
          <w:rFonts w:ascii="Times New Roman" w:eastAsia="Times New Roman" w:hAnsi="Times New Roman" w:cs="Times New Roman"/>
          <w:kern w:val="0"/>
          <w14:ligatures w14:val="none"/>
        </w:rPr>
        <w:t xml:space="preserve"> han sido desestimados como meras anécdotas de exageración o </w:t>
      </w:r>
      <w:r w:rsidR="00787F41" w:rsidRPr="009257E7">
        <w:rPr>
          <w:rFonts w:ascii="Times New Roman" w:eastAsia="Times New Roman" w:hAnsi="Times New Roman" w:cs="Times New Roman"/>
          <w:kern w:val="0"/>
          <w14:ligatures w14:val="none"/>
        </w:rPr>
        <w:t xml:space="preserve">de </w:t>
      </w:r>
      <w:r w:rsidRPr="009257E7">
        <w:rPr>
          <w:rFonts w:ascii="Times New Roman" w:eastAsia="Times New Roman" w:hAnsi="Times New Roman" w:cs="Times New Roman"/>
          <w:kern w:val="0"/>
          <w14:ligatures w14:val="none"/>
        </w:rPr>
        <w:t>victimización</w:t>
      </w:r>
      <w:r w:rsidR="00787F41" w:rsidRPr="009257E7">
        <w:rPr>
          <w:rStyle w:val="FootnoteReference"/>
          <w:rFonts w:ascii="Times New Roman" w:eastAsia="Times New Roman" w:hAnsi="Times New Roman" w:cs="Times New Roman"/>
          <w:kern w:val="0"/>
          <w14:ligatures w14:val="none"/>
        </w:rPr>
        <w:footnoteReference w:id="310"/>
      </w:r>
      <w:r w:rsidR="00787F41" w:rsidRPr="009257E7">
        <w:rPr>
          <w:rFonts w:ascii="Times New Roman" w:eastAsia="Times New Roman" w:hAnsi="Times New Roman" w:cs="Times New Roman"/>
          <w:kern w:val="0"/>
          <w14:ligatures w14:val="none"/>
        </w:rPr>
        <w:t>.</w:t>
      </w:r>
      <w:r w:rsidRPr="009257E7">
        <w:rPr>
          <w:rFonts w:ascii="Times New Roman" w:eastAsia="Times New Roman" w:hAnsi="Times New Roman" w:cs="Times New Roman"/>
          <w:kern w:val="0"/>
          <w14:ligatures w14:val="none"/>
        </w:rPr>
        <w:t xml:space="preserve"> Estos ataques </w:t>
      </w:r>
      <w:r w:rsidR="00787F41" w:rsidRPr="009257E7">
        <w:rPr>
          <w:rFonts w:ascii="Times New Roman" w:eastAsia="Times New Roman" w:hAnsi="Times New Roman" w:cs="Times New Roman"/>
          <w:kern w:val="0"/>
          <w14:ligatures w14:val="none"/>
        </w:rPr>
        <w:t>busc</w:t>
      </w:r>
      <w:r w:rsidRPr="009257E7">
        <w:rPr>
          <w:rFonts w:ascii="Times New Roman" w:eastAsia="Times New Roman" w:hAnsi="Times New Roman" w:cs="Times New Roman"/>
          <w:kern w:val="0"/>
          <w14:ligatures w14:val="none"/>
        </w:rPr>
        <w:t>an socavar tanto la veracidad de narrativas específicas como la reputación de quien las relata. Los ataques contra la narrativa buscan suprimir el potencial del conocimiento crítico como conocimiento accionable. Sin embargo, debido a que la narrativa analítica, como parte de la práctica crítica, ha demostrado ser poderosa, académicos y profesionales han persistido en utilizar este método desde finales de la década de 1980.</w:t>
      </w:r>
    </w:p>
    <w:p w14:paraId="4FBD7683" w14:textId="77777777" w:rsidR="00B30F74" w:rsidRPr="009257E7" w:rsidRDefault="00B30F74" w:rsidP="00787F41">
      <w:pPr>
        <w:spacing w:before="100" w:beforeAutospacing="1" w:after="100" w:afterAutospacing="1" w:line="240" w:lineRule="auto"/>
        <w:ind w:firstLine="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Recordando la política del conocimiento, tampoco resulta suficiente una narración de la historia desde arriba que presente el pasado de manera aséptica y autocomplaciente; de hecho, en ocasiones puede reforzar narrativas dominantes o “maestras” que sustentan castas identitarias persistentes. Situar una narrativa de manera histórica, fáctica o contextual requiere un enfoque crítico de la historia y una vigilancia autocrítica respecto de los hechos y los contextos. Estos métodos son herramientas para navegar la complejidad, discernir la realidad y desmantelar sistemas de subordinación; no constituyen fines en sí mismos.</w:t>
      </w:r>
    </w:p>
    <w:p w14:paraId="3278614C" w14:textId="77777777" w:rsidR="00B30F74" w:rsidRPr="009257E7" w:rsidRDefault="00B30F74" w:rsidP="00787F41">
      <w:pPr>
        <w:spacing w:before="100" w:beforeAutospacing="1" w:after="100" w:afterAutospacing="1" w:line="240" w:lineRule="auto"/>
        <w:ind w:firstLine="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Linda Bell Edwards, académica especializada en redacción y análisis jurídicos, destaca la importancia particular de las contranarrativas para el derecho:</w:t>
      </w:r>
    </w:p>
    <w:p w14:paraId="4F39750E" w14:textId="0D615BAC" w:rsidR="00B30F74" w:rsidRPr="009257E7" w:rsidRDefault="00B30F74" w:rsidP="00787F41">
      <w:pPr>
        <w:spacing w:before="100" w:beforeAutospacing="1" w:after="100" w:afterAutospacing="1" w:line="240" w:lineRule="auto"/>
        <w:ind w:left="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 xml:space="preserve">Los seres humanos están predispuestos a organizar el mundo de manera narrativa, y el razonamiento abstracto y los procesos deductivos surgen </w:t>
      </w:r>
      <w:r w:rsidR="00787F41" w:rsidRPr="009257E7">
        <w:rPr>
          <w:rFonts w:ascii="Times New Roman" w:eastAsia="Times New Roman" w:hAnsi="Times New Roman" w:cs="Times New Roman"/>
          <w:kern w:val="0"/>
          <w14:ligatures w14:val="none"/>
        </w:rPr>
        <w:t>como</w:t>
      </w:r>
      <w:r w:rsidRPr="009257E7">
        <w:rPr>
          <w:rFonts w:ascii="Times New Roman" w:eastAsia="Times New Roman" w:hAnsi="Times New Roman" w:cs="Times New Roman"/>
          <w:kern w:val="0"/>
          <w14:ligatures w14:val="none"/>
        </w:rPr>
        <w:t xml:space="preserve"> deriva</w:t>
      </w:r>
      <w:r w:rsidR="00787F41" w:rsidRPr="009257E7">
        <w:rPr>
          <w:rFonts w:ascii="Times New Roman" w:eastAsia="Times New Roman" w:hAnsi="Times New Roman" w:cs="Times New Roman"/>
          <w:kern w:val="0"/>
          <w14:ligatures w14:val="none"/>
        </w:rPr>
        <w:t>ciones</w:t>
      </w:r>
      <w:r w:rsidRPr="009257E7">
        <w:rPr>
          <w:rFonts w:ascii="Times New Roman" w:eastAsia="Times New Roman" w:hAnsi="Times New Roman" w:cs="Times New Roman"/>
          <w:kern w:val="0"/>
          <w14:ligatures w14:val="none"/>
        </w:rPr>
        <w:t xml:space="preserve"> de una estructura narrativa preexistente. Los mitos y los relatos maestros operan ampliamente </w:t>
      </w:r>
      <w:r w:rsidR="00787F41" w:rsidRPr="009257E7">
        <w:rPr>
          <w:rFonts w:ascii="Times New Roman" w:eastAsia="Times New Roman" w:hAnsi="Times New Roman" w:cs="Times New Roman"/>
          <w:kern w:val="0"/>
          <w14:ligatures w14:val="none"/>
        </w:rPr>
        <w:t>en</w:t>
      </w:r>
      <w:r w:rsidRPr="009257E7">
        <w:rPr>
          <w:rFonts w:ascii="Times New Roman" w:eastAsia="Times New Roman" w:hAnsi="Times New Roman" w:cs="Times New Roman"/>
          <w:kern w:val="0"/>
          <w14:ligatures w14:val="none"/>
        </w:rPr>
        <w:t xml:space="preserve"> </w:t>
      </w:r>
      <w:r w:rsidRPr="009257E7">
        <w:rPr>
          <w:rFonts w:ascii="Times New Roman" w:eastAsia="Times New Roman" w:hAnsi="Times New Roman" w:cs="Times New Roman"/>
          <w:kern w:val="0"/>
          <w14:ligatures w14:val="none"/>
        </w:rPr>
        <w:lastRenderedPageBreak/>
        <w:t>las culturas</w:t>
      </w:r>
      <w:r w:rsidR="00787F41" w:rsidRPr="009257E7">
        <w:rPr>
          <w:rFonts w:ascii="Times New Roman" w:eastAsia="Times New Roman" w:hAnsi="Times New Roman" w:cs="Times New Roman"/>
          <w:kern w:val="0"/>
          <w14:ligatures w14:val="none"/>
        </w:rPr>
        <w:t>…</w:t>
      </w:r>
      <w:r w:rsidRPr="009257E7">
        <w:rPr>
          <w:rFonts w:ascii="Times New Roman" w:eastAsia="Times New Roman" w:hAnsi="Times New Roman" w:cs="Times New Roman"/>
          <w:kern w:val="0"/>
          <w14:ligatures w14:val="none"/>
        </w:rPr>
        <w:t xml:space="preserve"> [para respaldar resultados que] parecerán tanto verdaderos como inevitables</w:t>
      </w:r>
      <w:r w:rsidR="00787F41" w:rsidRPr="009257E7">
        <w:rPr>
          <w:rFonts w:ascii="Times New Roman" w:eastAsia="Times New Roman" w:hAnsi="Times New Roman" w:cs="Times New Roman"/>
          <w:kern w:val="0"/>
          <w14:ligatures w14:val="none"/>
        </w:rPr>
        <w:t xml:space="preserve">… </w:t>
      </w:r>
      <w:r w:rsidRPr="009257E7">
        <w:rPr>
          <w:rFonts w:ascii="Times New Roman" w:eastAsia="Times New Roman" w:hAnsi="Times New Roman" w:cs="Times New Roman"/>
          <w:kern w:val="0"/>
          <w14:ligatures w14:val="none"/>
        </w:rPr>
        <w:t>Sin embargo, debemos estar preparades para contar contranarrativas que enseñen un conjunto distinto de lecciones: lecciones sobre el derecho como un camino hacia la plenitud y la sanación, hacia la justicia y la inclusión, hacia el cumplimiento de la promesa de Estados Unidos para todes sus hijes.</w:t>
      </w:r>
      <w:r w:rsidR="00787F41" w:rsidRPr="009257E7">
        <w:rPr>
          <w:rStyle w:val="FootnoteReference"/>
          <w:rFonts w:ascii="Times New Roman" w:eastAsia="Times New Roman" w:hAnsi="Times New Roman" w:cs="Times New Roman"/>
          <w:kern w:val="0"/>
          <w14:ligatures w14:val="none"/>
        </w:rPr>
        <w:footnoteReference w:id="311"/>
      </w:r>
    </w:p>
    <w:p w14:paraId="6A4C68C2" w14:textId="77777777" w:rsidR="00B30F74" w:rsidRPr="009257E7" w:rsidRDefault="00B30F74" w:rsidP="00787F41">
      <w:pPr>
        <w:spacing w:before="100" w:beforeAutospacing="1" w:after="100" w:afterAutospacing="1" w:line="240" w:lineRule="auto"/>
        <w:ind w:firstLine="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Para llegar allí, les analistas crítiques se niegan a aceptar las premisas y los parámetros restrictivos que ofrecen la investigación y el análisis jurídicos tradicionales bajo el Estado de derecho, como las concepciones restrictivas de la “relevancia” que reflejan y proyectan la insistencia paralizante en el individualismo que impregna el derecho como cultura, práctica, proceso y sustancia. Les analistas crítiques demuestran cómo los tres métodos fundamentales de investigación crítica pueden utilizarse de manera interrelacionada para lograr progreso en los tres niveles más allá de la igualdad formal. La narración puede y debe formar parte de un proyecto de PAR, y los datos empíricos pueden y deben recopilarse mediante métodos participativos. Utilizados conjuntamente, estos métodos aportan contexto, refuerzo y perspectivas críticas a la información anecdótica. Les abogades conectan los “retratos” de la narración con los “paisajes” contextuales documentados mediante el empirismo crítico o la investigación-acción participativa para aumentar la probabilidad de que tanto les investigadores como sus audiencias reconozcan el fundamento estructural de la desigualdad sistémica y la responsabilidad social correspondiente.</w:t>
      </w:r>
    </w:p>
    <w:p w14:paraId="26773CAD" w14:textId="77777777" w:rsidR="00787F41" w:rsidRPr="009257E7" w:rsidRDefault="00B30F74" w:rsidP="00787F41">
      <w:pPr>
        <w:spacing w:before="100" w:beforeAutospacing="1" w:after="100" w:afterAutospacing="1" w:line="240" w:lineRule="auto"/>
        <w:ind w:firstLine="720"/>
        <w:rPr>
          <w:rFonts w:ascii="Times New Roman" w:eastAsia="Times New Roman" w:hAnsi="Times New Roman" w:cs="Times New Roman"/>
          <w:b/>
          <w:bCs/>
          <w:kern w:val="0"/>
          <w:lang w:val="es-ES"/>
          <w14:ligatures w14:val="none"/>
        </w:rPr>
      </w:pPr>
      <w:r w:rsidRPr="009257E7">
        <w:rPr>
          <w:rFonts w:ascii="Times New Roman" w:eastAsia="Times New Roman" w:hAnsi="Times New Roman" w:cs="Times New Roman"/>
          <w:kern w:val="0"/>
          <w14:ligatures w14:val="none"/>
        </w:rPr>
        <w:t>Con el tiempo, una comprensión y una conciencia críticas más profundas, basadas en métodos y conocimientos desde abajo, aumentan las posibilidades de lograr un progreso duradero. El conocimiento crítico puede cambiar mentalidades, perspectivas, decisiones y posibilidades en favor de remedios transformadores, en lugar de resultados atomizados y abstractos. Para apoyar este proceso interminable, pasamos ahora a tres normas críticas diseñadas para potenciar el impacto del conocimiento obtenido mediante métodos críticos.</w:t>
      </w:r>
      <w:r w:rsidR="00787F41" w:rsidRPr="009257E7">
        <w:rPr>
          <w:rFonts w:ascii="Times New Roman" w:eastAsia="Times New Roman" w:hAnsi="Times New Roman" w:cs="Times New Roman"/>
          <w:kern w:val="0"/>
          <w14:ligatures w14:val="none"/>
        </w:rPr>
        <w:br/>
      </w:r>
      <w:r w:rsidR="00021262" w:rsidRPr="009257E7">
        <w:rPr>
          <w:rFonts w:ascii="Times New Roman" w:eastAsia="Times New Roman" w:hAnsi="Times New Roman" w:cs="Times New Roman"/>
          <w:kern w:val="0"/>
          <w:lang w:val="es-PR"/>
          <w14:ligatures w14:val="none"/>
        </w:rPr>
        <w:br/>
      </w:r>
      <w:r w:rsidR="00021262" w:rsidRPr="009257E7">
        <w:rPr>
          <w:rFonts w:ascii="Times New Roman" w:eastAsia="Times New Roman" w:hAnsi="Times New Roman" w:cs="Times New Roman"/>
          <w:b/>
          <w:bCs/>
          <w:kern w:val="0"/>
          <w:lang w:val="es-ES"/>
          <w14:ligatures w14:val="none"/>
        </w:rPr>
        <w:t>8.4 Tres normas ayudan a ampliar y profundizar el impacto de la investigación y el análisis críticos</w:t>
      </w:r>
    </w:p>
    <w:p w14:paraId="193C1D1C" w14:textId="04680AE9" w:rsidR="00787F41" w:rsidRPr="009257E7" w:rsidRDefault="00787F41" w:rsidP="00787F41">
      <w:pPr>
        <w:spacing w:before="100" w:beforeAutospacing="1" w:after="100" w:afterAutospacing="1" w:line="240" w:lineRule="auto"/>
        <w:ind w:firstLine="720"/>
        <w:rPr>
          <w:rFonts w:ascii="Times New Roman" w:eastAsia="Times New Roman" w:hAnsi="Times New Roman" w:cs="Times New Roman"/>
          <w:b/>
          <w:bCs/>
          <w:kern w:val="0"/>
          <w:lang w:val="es-ES"/>
          <w14:ligatures w14:val="none"/>
        </w:rPr>
      </w:pPr>
      <w:r w:rsidRPr="009257E7">
        <w:rPr>
          <w:rFonts w:ascii="Times New Roman" w:eastAsia="Times New Roman" w:hAnsi="Times New Roman" w:cs="Times New Roman"/>
          <w:kern w:val="0"/>
          <w14:ligatures w14:val="none"/>
        </w:rPr>
        <w:t>Además de los tres métodos ampliados, la investigación crítica se apoya en tres normas destinadas a impulsar a les investigadores a maximizar la efectividad de sus indagaciones y sus hallazgos:</w:t>
      </w:r>
    </w:p>
    <w:p w14:paraId="32357445" w14:textId="77777777" w:rsidR="00787F41" w:rsidRPr="009257E7" w:rsidRDefault="00787F41" w:rsidP="00787F41">
      <w:pPr>
        <w:spacing w:before="100" w:beforeAutospacing="1" w:after="100" w:afterAutospacing="1" w:line="240" w:lineRule="auto"/>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 xml:space="preserve">(1) </w:t>
      </w:r>
      <w:r w:rsidRPr="009257E7">
        <w:rPr>
          <w:rFonts w:ascii="Times New Roman" w:eastAsia="Times New Roman" w:hAnsi="Times New Roman" w:cs="Times New Roman"/>
          <w:b/>
          <w:bCs/>
          <w:kern w:val="0"/>
          <w14:ligatures w14:val="none"/>
        </w:rPr>
        <w:t>La contradisciplinariedad</w:t>
      </w:r>
      <w:r w:rsidRPr="009257E7">
        <w:rPr>
          <w:rFonts w:ascii="Times New Roman" w:eastAsia="Times New Roman" w:hAnsi="Times New Roman" w:cs="Times New Roman"/>
          <w:kern w:val="0"/>
          <w14:ligatures w14:val="none"/>
        </w:rPr>
        <w:t xml:space="preserve"> destaca la necesidad de llevar la investigación a través de distintos campos del conocimiento para profundizar la comprensión de los sistemas y de las posibles intervenciones;</w:t>
      </w:r>
    </w:p>
    <w:p w14:paraId="47BA3E47" w14:textId="77777777" w:rsidR="00787F41" w:rsidRPr="009257E7" w:rsidRDefault="00787F41" w:rsidP="00787F41">
      <w:pPr>
        <w:spacing w:before="100" w:beforeAutospacing="1" w:after="100" w:afterAutospacing="1" w:line="240" w:lineRule="auto"/>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 xml:space="preserve">(2) </w:t>
      </w:r>
      <w:r w:rsidRPr="009257E7">
        <w:rPr>
          <w:rFonts w:ascii="Times New Roman" w:eastAsia="Times New Roman" w:hAnsi="Times New Roman" w:cs="Times New Roman"/>
          <w:b/>
          <w:bCs/>
          <w:kern w:val="0"/>
          <w14:ligatures w14:val="none"/>
        </w:rPr>
        <w:t>El comparativismo crítico</w:t>
      </w:r>
      <w:r w:rsidRPr="009257E7">
        <w:rPr>
          <w:rFonts w:ascii="Times New Roman" w:eastAsia="Times New Roman" w:hAnsi="Times New Roman" w:cs="Times New Roman"/>
          <w:kern w:val="0"/>
          <w14:ligatures w14:val="none"/>
        </w:rPr>
        <w:t xml:space="preserve"> exige ampliar la investigación a través de regiones o naciones del mundo para profundizar la comprensión de los problemas y de las soluciones efectivas; y</w:t>
      </w:r>
    </w:p>
    <w:p w14:paraId="4EF40102" w14:textId="77777777" w:rsidR="00787F41" w:rsidRPr="009257E7" w:rsidRDefault="00787F41" w:rsidP="00787F41">
      <w:pPr>
        <w:spacing w:before="100" w:beforeAutospacing="1" w:after="100" w:afterAutospacing="1" w:line="240" w:lineRule="auto"/>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lastRenderedPageBreak/>
        <w:t xml:space="preserve">(3) </w:t>
      </w:r>
      <w:r w:rsidRPr="009257E7">
        <w:rPr>
          <w:rFonts w:ascii="Times New Roman" w:eastAsia="Times New Roman" w:hAnsi="Times New Roman" w:cs="Times New Roman"/>
          <w:b/>
          <w:bCs/>
          <w:kern w:val="0"/>
          <w14:ligatures w14:val="none"/>
        </w:rPr>
        <w:t>La analítica social</w:t>
      </w:r>
      <w:r w:rsidRPr="009257E7">
        <w:rPr>
          <w:rFonts w:ascii="Times New Roman" w:eastAsia="Times New Roman" w:hAnsi="Times New Roman" w:cs="Times New Roman"/>
          <w:kern w:val="0"/>
          <w14:ligatures w14:val="none"/>
        </w:rPr>
        <w:t xml:space="preserve"> incorpora usos críticos de los macrodatos o de las tecnologías emergentes de datos, incluidas las redes sociales, para profundizar, enriquecer y aprovechar las perspectivas derivadas de la investigación.</w:t>
      </w:r>
    </w:p>
    <w:p w14:paraId="01D7940E" w14:textId="05A44B49" w:rsidR="00787F41" w:rsidRPr="009257E7" w:rsidRDefault="00787F41" w:rsidP="00787F41">
      <w:pPr>
        <w:spacing w:before="100" w:beforeAutospacing="1" w:after="100" w:afterAutospacing="1" w:line="240" w:lineRule="auto"/>
        <w:ind w:firstLine="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Como sugieren estas tres normas, les abogades sistémiques y otres investigadores amplían la investigación y el análisis a través de disciplinas del conocimiento formal, de culturas, geografías o sociedades, y de maneras que utilizan conjuntamente las tecnologías y la información que estas generan. Estas tres normas están diseñadas para hacer que la investigación y el análisis de la primera etapa sean más completos, persuasivos y efectivos como base para las acciones complejas de abogacía de la segunda etapa. Al igual que los métodos, estas normas están diseñadas para deconstruir el fracaso jurídico y reconstruir el conocimiento jurídico como herramienta para la justicia igualitaria.</w:t>
      </w:r>
    </w:p>
    <w:p w14:paraId="465786E5" w14:textId="24AF32EC" w:rsidR="00787F41" w:rsidRPr="009257E7" w:rsidRDefault="00787F41" w:rsidP="00787F41">
      <w:pPr>
        <w:spacing w:before="100" w:beforeAutospacing="1" w:after="100" w:afterAutospacing="1" w:line="240" w:lineRule="auto"/>
        <w:outlineLvl w:val="2"/>
        <w:rPr>
          <w:rFonts w:ascii="Times New Roman" w:eastAsia="Times New Roman" w:hAnsi="Times New Roman" w:cs="Times New Roman"/>
          <w:b/>
          <w:bCs/>
          <w:kern w:val="0"/>
          <w14:ligatures w14:val="none"/>
        </w:rPr>
      </w:pPr>
      <w:r w:rsidRPr="009257E7">
        <w:rPr>
          <w:rFonts w:ascii="Times New Roman" w:eastAsia="Times New Roman" w:hAnsi="Times New Roman" w:cs="Times New Roman"/>
          <w:b/>
          <w:bCs/>
          <w:kern w:val="0"/>
          <w14:ligatures w14:val="none"/>
        </w:rPr>
        <w:t>A. Contradisciplinariedad</w:t>
      </w:r>
    </w:p>
    <w:p w14:paraId="26DEE6AC" w14:textId="6F7F581A" w:rsidR="00787F41" w:rsidRPr="009257E7" w:rsidRDefault="00787F41" w:rsidP="00787F41">
      <w:pPr>
        <w:spacing w:before="100" w:beforeAutospacing="1" w:after="100" w:afterAutospacing="1" w:line="240" w:lineRule="auto"/>
        <w:ind w:firstLine="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 xml:space="preserve">La primera norma, la contradisciplinariedad, destaca la necesidad de que les activistas trabajen de manera proactiva para trascender los límites de cualquier disciplina. Esta postura proactiva va más allá de la transversalidad o la interdisciplinariedad al reconocer que cada disciplina representa no solo una base de conocimiento, sino también una fuente de restricciones que limitan la creación y la aplicación de ese conocimiento. Ya sea en el derecho, la medicina, la economía, la historia o las ciencias, cada disciplina crea e impone marcos, métodos y normas que sirven para delimitar los límites del conocimiento y de su creación; es decir, las fuentes y los tipos de información que se consideran legítimos o no. Con el tiempo, la disciplina sirve para orientar y, en ocasiones, literalmente, disciplinar la investigación y a les investigadores del futuro. Los marcos establecidos pueden ser aceptados por muchas personas tanto porque producen conocimiento útil como porque sirven para mantener </w:t>
      </w:r>
      <w:r w:rsidRPr="009257E7">
        <w:rPr>
          <w:rFonts w:ascii="Times New Roman" w:eastAsia="Times New Roman" w:hAnsi="Times New Roman" w:cs="Times New Roman"/>
          <w:i/>
          <w:iCs/>
          <w:kern w:val="0"/>
          <w14:ligatures w14:val="none"/>
        </w:rPr>
        <w:t>status quos</w:t>
      </w:r>
      <w:r w:rsidRPr="009257E7">
        <w:rPr>
          <w:rFonts w:ascii="Times New Roman" w:eastAsia="Times New Roman" w:hAnsi="Times New Roman" w:cs="Times New Roman"/>
          <w:kern w:val="0"/>
          <w14:ligatures w14:val="none"/>
        </w:rPr>
        <w:t xml:space="preserve"> de desigualdad. Por su propio diseño, toda disciplina regula la investigación abierta y suprime la insurgencia intelectual.</w:t>
      </w:r>
    </w:p>
    <w:p w14:paraId="5044190B" w14:textId="6B4068D6" w:rsidR="00787F41" w:rsidRPr="009257E7" w:rsidRDefault="00787F41" w:rsidP="00787F41">
      <w:pPr>
        <w:spacing w:before="100" w:beforeAutospacing="1" w:after="100" w:afterAutospacing="1" w:line="240" w:lineRule="auto"/>
        <w:ind w:firstLine="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Una postura crítica contradisciplinaria reconoce el valor del conocimiento producido por una disciplina o a través de ella, así como la necesidad de una respuesta rebelde frente a las restricciones que esta impone. Esta postura reconoce que la innovación desde abajo</w:t>
      </w:r>
      <w:r w:rsidR="00400247" w:rsidRPr="009257E7">
        <w:rPr>
          <w:rFonts w:ascii="Times New Roman" w:eastAsia="Times New Roman" w:hAnsi="Times New Roman" w:cs="Times New Roman"/>
          <w:kern w:val="0"/>
          <w14:ligatures w14:val="none"/>
        </w:rPr>
        <w:t>,</w:t>
      </w:r>
      <w:r w:rsidRPr="009257E7">
        <w:rPr>
          <w:rFonts w:ascii="Times New Roman" w:eastAsia="Times New Roman" w:hAnsi="Times New Roman" w:cs="Times New Roman"/>
          <w:kern w:val="0"/>
          <w14:ligatures w14:val="none"/>
        </w:rPr>
        <w:t xml:space="preserve"> dentro de cada disciplina</w:t>
      </w:r>
      <w:r w:rsidR="00400247" w:rsidRPr="009257E7">
        <w:rPr>
          <w:rFonts w:ascii="Times New Roman" w:eastAsia="Times New Roman" w:hAnsi="Times New Roman" w:cs="Times New Roman"/>
          <w:kern w:val="0"/>
          <w14:ligatures w14:val="none"/>
        </w:rPr>
        <w:t>,</w:t>
      </w:r>
      <w:r w:rsidRPr="009257E7">
        <w:rPr>
          <w:rFonts w:ascii="Times New Roman" w:eastAsia="Times New Roman" w:hAnsi="Times New Roman" w:cs="Times New Roman"/>
          <w:kern w:val="0"/>
          <w14:ligatures w14:val="none"/>
        </w:rPr>
        <w:t xml:space="preserve"> es necesaria para superar las limitaciones desde arriba que dominan e incluso estancan la producción de conocimiento orientada a la justicia. Esta norma permite a l</w:t>
      </w:r>
      <w:r w:rsidR="00400247" w:rsidRPr="009257E7">
        <w:rPr>
          <w:rFonts w:ascii="Times New Roman" w:eastAsia="Times New Roman" w:hAnsi="Times New Roman" w:cs="Times New Roman"/>
          <w:kern w:val="0"/>
          <w14:ligatures w14:val="none"/>
        </w:rPr>
        <w:t>e</w:t>
      </w:r>
      <w:r w:rsidRPr="009257E7">
        <w:rPr>
          <w:rFonts w:ascii="Times New Roman" w:eastAsia="Times New Roman" w:hAnsi="Times New Roman" w:cs="Times New Roman"/>
          <w:kern w:val="0"/>
          <w14:ligatures w14:val="none"/>
        </w:rPr>
        <w:t>s investigadores sacar a la luz conocimientos suprimidos que pueden resultar necesarios para lograr</w:t>
      </w:r>
      <w:r w:rsidR="00400247" w:rsidRPr="009257E7">
        <w:rPr>
          <w:rFonts w:ascii="Times New Roman" w:eastAsia="Times New Roman" w:hAnsi="Times New Roman" w:cs="Times New Roman"/>
          <w:kern w:val="0"/>
          <w14:ligatures w14:val="none"/>
        </w:rPr>
        <w:t xml:space="preserve"> el</w:t>
      </w:r>
      <w:r w:rsidRPr="009257E7">
        <w:rPr>
          <w:rFonts w:ascii="Times New Roman" w:eastAsia="Times New Roman" w:hAnsi="Times New Roman" w:cs="Times New Roman"/>
          <w:kern w:val="0"/>
          <w14:ligatures w14:val="none"/>
        </w:rPr>
        <w:t xml:space="preserve"> progreso: conocimiento crítico que, de otro modo, permanecería inaccesible e incluso inimaginable. </w:t>
      </w:r>
    </w:p>
    <w:p w14:paraId="5F819C8D" w14:textId="6284A270" w:rsidR="00787F41" w:rsidRPr="009257E7" w:rsidRDefault="00400247" w:rsidP="00787F41">
      <w:pPr>
        <w:spacing w:before="100" w:beforeAutospacing="1" w:after="100" w:afterAutospacing="1" w:line="240" w:lineRule="auto"/>
        <w:outlineLvl w:val="2"/>
        <w:rPr>
          <w:rFonts w:ascii="Times New Roman" w:eastAsia="Times New Roman" w:hAnsi="Times New Roman" w:cs="Times New Roman"/>
          <w:b/>
          <w:bCs/>
          <w:kern w:val="0"/>
          <w14:ligatures w14:val="none"/>
        </w:rPr>
      </w:pPr>
      <w:r w:rsidRPr="009257E7">
        <w:rPr>
          <w:rFonts w:ascii="Times New Roman" w:eastAsia="Times New Roman" w:hAnsi="Times New Roman" w:cs="Times New Roman"/>
          <w:b/>
          <w:bCs/>
          <w:kern w:val="0"/>
          <w14:ligatures w14:val="none"/>
        </w:rPr>
        <w:t>B. Comparativismo crítico</w:t>
      </w:r>
    </w:p>
    <w:p w14:paraId="0A5FBA19" w14:textId="77777777" w:rsidR="00787F41" w:rsidRPr="009257E7" w:rsidRDefault="00787F41" w:rsidP="00400247">
      <w:pPr>
        <w:spacing w:before="100" w:beforeAutospacing="1" w:after="100" w:afterAutospacing="1" w:line="240" w:lineRule="auto"/>
        <w:ind w:firstLine="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 xml:space="preserve">La segunda norma, el comparativismo crítico, insta a les abogades a comparar problemas y soluciones entre geografías o contextos sistémicos diversos. Esta norma no solo saca a la luz supuestos de trasfondo, categorías y patrones que con frecuencia permanecen sin examinar, sino que también genera opciones que apoyan el proceso creativo de investigación y análisis para elaborar soluciones. El comparativismo crítico, junto con la contradisciplinariedad, contribuye tanto al diagnóstico como a la estrategia. Considere un ejemplo. En 2015, Elizabeth Mosley, </w:t>
      </w:r>
      <w:r w:rsidRPr="009257E7">
        <w:rPr>
          <w:rFonts w:ascii="Times New Roman" w:eastAsia="Times New Roman" w:hAnsi="Times New Roman" w:cs="Times New Roman"/>
          <w:kern w:val="0"/>
          <w14:ligatures w14:val="none"/>
        </w:rPr>
        <w:lastRenderedPageBreak/>
        <w:t>Cortney Bouse y Kelli Stidham Hall estudiaron el acceso al agua segura mediante una comparación entre la ciudad estadounidense de Detroit y Monrovia, Liberia:</w:t>
      </w:r>
    </w:p>
    <w:p w14:paraId="157301A3" w14:textId="06CA90AB" w:rsidR="00787F41" w:rsidRPr="009257E7" w:rsidRDefault="00787F41" w:rsidP="00400247">
      <w:pPr>
        <w:spacing w:before="100" w:beforeAutospacing="1" w:after="100" w:afterAutospacing="1" w:line="240" w:lineRule="auto"/>
        <w:ind w:left="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[E]n Liberia, la disminución del acceso al agua segura constituye ahora un factor que contribuye a la epidemia de ébola en curso</w:t>
      </w:r>
      <w:r w:rsidR="00400247" w:rsidRPr="009257E7">
        <w:rPr>
          <w:rFonts w:ascii="Times New Roman" w:eastAsia="Times New Roman" w:hAnsi="Times New Roman" w:cs="Times New Roman"/>
          <w:kern w:val="0"/>
          <w14:ligatures w14:val="none"/>
        </w:rPr>
        <w:t>…</w:t>
      </w:r>
      <w:r w:rsidRPr="009257E7">
        <w:rPr>
          <w:rFonts w:ascii="Times New Roman" w:eastAsia="Times New Roman" w:hAnsi="Times New Roman" w:cs="Times New Roman"/>
          <w:kern w:val="0"/>
          <w14:ligatures w14:val="none"/>
        </w:rPr>
        <w:t xml:space="preserve"> [Y muchas] personas en Detroit, Michigan, por ejemplo, carecen de acceso a recursos básicos como el agua </w:t>
      </w:r>
      <w:r w:rsidR="00400247" w:rsidRPr="009257E7">
        <w:rPr>
          <w:rFonts w:ascii="Times New Roman" w:eastAsia="Times New Roman" w:hAnsi="Times New Roman" w:cs="Times New Roman"/>
          <w:kern w:val="0"/>
          <w14:ligatures w14:val="none"/>
        </w:rPr>
        <w:t>potable</w:t>
      </w:r>
      <w:r w:rsidRPr="009257E7">
        <w:rPr>
          <w:rFonts w:ascii="Times New Roman" w:eastAsia="Times New Roman" w:hAnsi="Times New Roman" w:cs="Times New Roman"/>
          <w:kern w:val="0"/>
          <w14:ligatures w14:val="none"/>
        </w:rPr>
        <w:t>. Desde 2013, funcionaries del Detroit Water and Sewage Department (DWSD) han suspendido el suministro de agua a más de 50.000 hogares residenciales de la ciudad debido al incumplimiento en el pago de las facturas de agua</w:t>
      </w:r>
      <w:r w:rsidR="00400247" w:rsidRPr="009257E7">
        <w:rPr>
          <w:rFonts w:ascii="Times New Roman" w:eastAsia="Times New Roman" w:hAnsi="Times New Roman" w:cs="Times New Roman"/>
          <w:kern w:val="0"/>
          <w14:ligatures w14:val="none"/>
        </w:rPr>
        <w:t xml:space="preserve">… </w:t>
      </w:r>
      <w:r w:rsidRPr="009257E7">
        <w:rPr>
          <w:rFonts w:ascii="Times New Roman" w:eastAsia="Times New Roman" w:hAnsi="Times New Roman" w:cs="Times New Roman"/>
          <w:kern w:val="0"/>
          <w14:ligatures w14:val="none"/>
        </w:rPr>
        <w:t>Aunque ciertamente no son tan graves como en el contexto de Monrovia, en algunos aspectos las condiciones de vida en Detroit se asemejan más a las del mundo en desarrollo que a las de ciudades estadounidenses con estabilidad económica</w:t>
      </w:r>
      <w:r w:rsidR="00400247" w:rsidRPr="009257E7">
        <w:rPr>
          <w:rFonts w:ascii="Times New Roman" w:eastAsia="Times New Roman" w:hAnsi="Times New Roman" w:cs="Times New Roman"/>
          <w:kern w:val="0"/>
          <w14:ligatures w14:val="none"/>
        </w:rPr>
        <w:t>…</w:t>
      </w:r>
      <w:r w:rsidRPr="009257E7">
        <w:rPr>
          <w:rFonts w:ascii="Times New Roman" w:eastAsia="Times New Roman" w:hAnsi="Times New Roman" w:cs="Times New Roman"/>
          <w:kern w:val="0"/>
          <w14:ligatures w14:val="none"/>
        </w:rPr>
        <w:t xml:space="preserve"> [E]xploramos paralelismos entre dos crisis actuales y apremiantes relacionadas con el agua, los derechos humanos y la justicia reproductiva: los cortes sistemáticos del suministro de agua en Detroit y la disminución del acceso a los servicios de agua y saneamiento durante el brote de ébola en Monrovia</w:t>
      </w:r>
      <w:r w:rsidR="00400247" w:rsidRPr="009257E7">
        <w:rPr>
          <w:rFonts w:ascii="Times New Roman" w:eastAsia="Times New Roman" w:hAnsi="Times New Roman" w:cs="Times New Roman"/>
          <w:kern w:val="0"/>
          <w14:ligatures w14:val="none"/>
        </w:rPr>
        <w:t>…</w:t>
      </w:r>
      <w:r w:rsidRPr="009257E7">
        <w:rPr>
          <w:rFonts w:ascii="Times New Roman" w:eastAsia="Times New Roman" w:hAnsi="Times New Roman" w:cs="Times New Roman"/>
          <w:kern w:val="0"/>
          <w14:ligatures w14:val="none"/>
        </w:rPr>
        <w:t xml:space="preserve"> Al considerar específicamente Detroit y Monrovia, podemos investigar y explicar cómo los procesos transnacionales de raza, clase y género se traducen en injusticias ambientales y reproductivas.</w:t>
      </w:r>
      <w:r w:rsidR="00400247" w:rsidRPr="009257E7">
        <w:rPr>
          <w:rStyle w:val="FootnoteReference"/>
          <w:rFonts w:ascii="Times New Roman" w:eastAsia="Times New Roman" w:hAnsi="Times New Roman" w:cs="Times New Roman"/>
          <w:kern w:val="0"/>
          <w14:ligatures w14:val="none"/>
        </w:rPr>
        <w:footnoteReference w:id="312"/>
      </w:r>
    </w:p>
    <w:p w14:paraId="781298A9" w14:textId="3FF10B20" w:rsidR="00787F41" w:rsidRPr="009257E7" w:rsidRDefault="00787F41" w:rsidP="00400247">
      <w:pPr>
        <w:spacing w:before="100" w:beforeAutospacing="1" w:after="100" w:afterAutospacing="1" w:line="240" w:lineRule="auto"/>
        <w:ind w:firstLine="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Al igual que la contradisciplinariedad, un enfoque crítico de los estudios comparativos puede poner claramente de relieve hechos, problemas y soluciones desde abajo que, de otro modo, podrían pasar desapercibidos. El comparativismo crítico hace visibles patrones y legados que trascienden áreas o contextos específicos. Al aprender de la investigación comparativa y</w:t>
      </w:r>
      <w:r w:rsidR="00400247" w:rsidRPr="009257E7">
        <w:rPr>
          <w:rFonts w:ascii="Times New Roman" w:eastAsia="Times New Roman" w:hAnsi="Times New Roman" w:cs="Times New Roman"/>
          <w:kern w:val="0"/>
          <w14:ligatures w14:val="none"/>
        </w:rPr>
        <w:t>,</w:t>
      </w:r>
      <w:r w:rsidRPr="009257E7">
        <w:rPr>
          <w:rFonts w:ascii="Times New Roman" w:eastAsia="Times New Roman" w:hAnsi="Times New Roman" w:cs="Times New Roman"/>
          <w:kern w:val="0"/>
          <w14:ligatures w14:val="none"/>
        </w:rPr>
        <w:t xml:space="preserve"> mediante ella, les abogades sistémiques reúnen enseñanzas contextuales e históricas derivadas de los hechos y de la experiencia de otras luchas contra la injusticia. De este modo, la comparación ilumina los problemas, sus fuentes sistémicas y las soluciones potencialmente transformadoras.</w:t>
      </w:r>
    </w:p>
    <w:p w14:paraId="7C779269" w14:textId="7D65A941" w:rsidR="00787F41" w:rsidRPr="009257E7" w:rsidRDefault="00400247" w:rsidP="00787F41">
      <w:pPr>
        <w:spacing w:before="100" w:beforeAutospacing="1" w:after="100" w:afterAutospacing="1" w:line="240" w:lineRule="auto"/>
        <w:outlineLvl w:val="2"/>
        <w:rPr>
          <w:rFonts w:ascii="Times New Roman" w:eastAsia="Times New Roman" w:hAnsi="Times New Roman" w:cs="Times New Roman"/>
          <w:b/>
          <w:bCs/>
          <w:kern w:val="0"/>
          <w14:ligatures w14:val="none"/>
        </w:rPr>
      </w:pPr>
      <w:r w:rsidRPr="009257E7">
        <w:rPr>
          <w:rFonts w:ascii="Times New Roman" w:eastAsia="Times New Roman" w:hAnsi="Times New Roman" w:cs="Times New Roman"/>
          <w:b/>
          <w:bCs/>
          <w:kern w:val="0"/>
          <w14:ligatures w14:val="none"/>
        </w:rPr>
        <w:t>C. Analítica social y redes sociales</w:t>
      </w:r>
    </w:p>
    <w:p w14:paraId="1238D27D" w14:textId="73CAB2B8" w:rsidR="00787F41" w:rsidRPr="009257E7" w:rsidRDefault="00787F41" w:rsidP="00400247">
      <w:pPr>
        <w:spacing w:before="100" w:beforeAutospacing="1" w:after="100" w:afterAutospacing="1" w:line="240" w:lineRule="auto"/>
        <w:ind w:firstLine="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Por último, la tercera norma, la analítica social, se concentra en el campo complejo pero importante del uso de los “macrodatos” y de las tecnologías nuevas, incluidos los usos en evolución de las redes sociales, para poner a prueba perspectivas críticas e información desde abajo</w:t>
      </w:r>
      <w:r w:rsidR="00400247" w:rsidRPr="009257E7">
        <w:rPr>
          <w:rFonts w:ascii="Times New Roman" w:eastAsia="Times New Roman" w:hAnsi="Times New Roman" w:cs="Times New Roman"/>
          <w:kern w:val="0"/>
          <w14:ligatures w14:val="none"/>
        </w:rPr>
        <w:t>,</w:t>
      </w:r>
      <w:r w:rsidRPr="009257E7">
        <w:rPr>
          <w:rFonts w:ascii="Times New Roman" w:eastAsia="Times New Roman" w:hAnsi="Times New Roman" w:cs="Times New Roman"/>
          <w:kern w:val="0"/>
          <w14:ligatures w14:val="none"/>
        </w:rPr>
        <w:t xml:space="preserve"> obtenidas de fuentes de información más particulares o limitadas. Como práctica emergente, el uso de la analítica social puede resultar poco familiar para muches abogades con formación jurídica. Sin embargo, les abogades en general pueden carecer de la capacitación, la capacidad organizativa y el nivel de familiaridad necesarios para generar, gestionar y utilizar de manera efectiva datos sociales o sistémicos. Incluso </w:t>
      </w:r>
      <w:r w:rsidR="00400247" w:rsidRPr="009257E7">
        <w:rPr>
          <w:rFonts w:ascii="Times New Roman" w:eastAsia="Times New Roman" w:hAnsi="Times New Roman" w:cs="Times New Roman"/>
          <w:kern w:val="0"/>
          <w14:ligatures w14:val="none"/>
        </w:rPr>
        <w:t>en</w:t>
      </w:r>
      <w:r w:rsidRPr="009257E7">
        <w:rPr>
          <w:rFonts w:ascii="Times New Roman" w:eastAsia="Times New Roman" w:hAnsi="Times New Roman" w:cs="Times New Roman"/>
          <w:kern w:val="0"/>
          <w14:ligatures w14:val="none"/>
        </w:rPr>
        <w:t xml:space="preserve"> entornos en línea, las identidades, los grupos, los intereses y el poder siguen canalizándose de maneras que favorecen a las élites. Además, aprovechando los legados de generaciones anteriores, el poder de crear datos y controlar las comunicaciones se utiliza para controlar, vigilar y “dividir y conquistar” a las comunidades marginadas. No obstante, las luchas y la abogacía desde abajo tienen una trayectoria extensa de adopción y aprovechamiento de tecnologías emergentes para invertir los guiones sistémicos desde arriba y ampliar el impacto de sus acciones.</w:t>
      </w:r>
    </w:p>
    <w:p w14:paraId="28EFC121" w14:textId="557FD086" w:rsidR="00787F41" w:rsidRPr="009257E7" w:rsidRDefault="00787F41" w:rsidP="00400247">
      <w:pPr>
        <w:spacing w:before="100" w:beforeAutospacing="1" w:after="100" w:afterAutospacing="1" w:line="240" w:lineRule="auto"/>
        <w:ind w:firstLine="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lastRenderedPageBreak/>
        <w:t xml:space="preserve">La analítica social se refiere al trabajo de recopilar, analizar e interpretar interacciones digitales, incluida la evaluación de las relaciones creadas entre personas, grupos, asuntos, organizaciones e ideas. Las interacciones digitales son simplemente interacciones que utilizan tecnologías digitales o computarizadas, y abarcan desde las redes sociales hasta los juegos en línea, los teléfonos móviles, las plataformas de aprendizaje o cualquier otra herramienta, dispositivo o sistema electrónico que genere, procese o almacene datos. Las interacciones digitales están estructuradas en parte por el derecho y, al mismo tiempo, forman parte de la producción de concepciones jurídicas y acciones de abogacía. Debido al uso generalizado de las redes sociales, el análisis de los datos generados a través de las interacciones en redes sociales y acerca de ellas constituye un área fundamental de atención para les abogades. Sin embargo, otras fuentes de datos —desde las señales o “pings” de los teléfonos móviles hasta los datos y mapas generados mediante Sistemas de Información Geográfica (SIG)— pueden </w:t>
      </w:r>
      <w:r w:rsidR="00400247" w:rsidRPr="009257E7">
        <w:rPr>
          <w:rFonts w:ascii="Times New Roman" w:eastAsia="Times New Roman" w:hAnsi="Times New Roman" w:cs="Times New Roman"/>
          <w:kern w:val="0"/>
          <w14:ligatures w14:val="none"/>
        </w:rPr>
        <w:t>aporta</w:t>
      </w:r>
      <w:r w:rsidRPr="009257E7">
        <w:rPr>
          <w:rFonts w:ascii="Times New Roman" w:eastAsia="Times New Roman" w:hAnsi="Times New Roman" w:cs="Times New Roman"/>
          <w:kern w:val="0"/>
          <w14:ligatures w14:val="none"/>
        </w:rPr>
        <w:t>r una comprensión más profunda de los problemas sociales y de las soluciones creativas, así como</w:t>
      </w:r>
      <w:r w:rsidR="00400247" w:rsidRPr="009257E7">
        <w:rPr>
          <w:rFonts w:ascii="Times New Roman" w:eastAsia="Times New Roman" w:hAnsi="Times New Roman" w:cs="Times New Roman"/>
          <w:kern w:val="0"/>
          <w14:ligatures w14:val="none"/>
        </w:rPr>
        <w:t xml:space="preserve"> de</w:t>
      </w:r>
      <w:r w:rsidRPr="009257E7">
        <w:rPr>
          <w:rFonts w:ascii="Times New Roman" w:eastAsia="Times New Roman" w:hAnsi="Times New Roman" w:cs="Times New Roman"/>
          <w:kern w:val="0"/>
          <w14:ligatures w14:val="none"/>
        </w:rPr>
        <w:t xml:space="preserve"> tácticas más sofisticadas para la construcción de movimientos y planes de abogacía.</w:t>
      </w:r>
    </w:p>
    <w:p w14:paraId="043ABAE0" w14:textId="3AC5EF23" w:rsidR="00400247" w:rsidRPr="009257E7" w:rsidRDefault="00400247" w:rsidP="00400247">
      <w:pPr>
        <w:pStyle w:val="NormalWeb"/>
        <w:ind w:firstLine="720"/>
      </w:pPr>
      <w:r w:rsidRPr="009257E7">
        <w:t>Las tecnologías de la información social crean formas de “relaciones públicas” o “marketing” que cambian con rapidez y están diseñadas para influir en las percepciones y las actitudes —el significado social de los hechos y del conocimiento— y para afectar las decisiones y las acciones. En su mejor expresión, las tecnologías de la información emergentes pueden ayudar a debilitar el control que ejercen las élites sobre el conocimiento, tanto en su producción como en su significado. Las tecnologías digitales participativas podrían representar una democratización del conocimiento, como algunas personas han sostenido o esperado. De ser así, la analítica social podría permitir a les activistas y les abogades rastrear y utilizar intencionalmente esas tecnologías para impulsar luchas sociales. Sin embargo, las redes sociales y otras tecnologías digitales son creadas por corporaciones con el objetivo principal de generar ganancias para las élites y han sido manipuladas por gobiernos y otros actores para atacar a quienes disienten, controlar la disidencia y socavar las elecciones y otras actividades democráticas.</w:t>
      </w:r>
    </w:p>
    <w:p w14:paraId="5C1FE5AF" w14:textId="7309236B" w:rsidR="00400247" w:rsidRPr="009257E7" w:rsidRDefault="00400247" w:rsidP="00400247">
      <w:pPr>
        <w:pStyle w:val="NormalWeb"/>
        <w:ind w:firstLine="720"/>
      </w:pPr>
      <w:r w:rsidRPr="009257E7">
        <w:t>Ante estas realidades complejas, entre las preguntas iniciales que deben plantearse les abogades sistémiques se encuentran las siguientes: ¿Cómo pueden las luchas organizadas por la justicia igualitaria beneficiarse de estas tecnologías y de los datos brutos y masivos que estas pueden recopilar y agrupar para usos prácticos y contextuales? ¿Cómo puede la analítica social generar información que ayude a les abogades y activistas a poner al descubierto manipulaciones corporativas desde arriba y la represión gubernamental? En términos generales, ¿cómo pueden las tecnologías sociales acercar el derecho y la sociedad a la justicia? Hasta el momento, los resultados son mixtos y las respuestas no son claras. Ya en la década de 1990, quienes se oponían a la globalización corporativa libraron la “Batalla de Seattle” durante la reunión de la Organización Mundial del Comercio (OMC) celebrada allí, utilizando comunicaciones digitales y redes sociales para orientar los movimientos ágiles de les manifestantes en respuesta a las tácticas cambiantes de la policía. Sin embargo, recuerde el ejemplo anterior de CASA de Maryland, que sufrió vigilancia digital invasiva, infiltración de comunicaciones en línea y obtención de registros que amenazaron a la organización</w:t>
      </w:r>
      <w:r w:rsidR="004936E4" w:rsidRPr="009257E7">
        <w:t>,</w:t>
      </w:r>
      <w:r w:rsidRPr="009257E7">
        <w:t xml:space="preserve"> a sus integrantes y</w:t>
      </w:r>
      <w:r w:rsidR="004936E4" w:rsidRPr="009257E7">
        <w:t xml:space="preserve"> a sus</w:t>
      </w:r>
      <w:r w:rsidRPr="009257E7">
        <w:t xml:space="preserve"> clientes.</w:t>
      </w:r>
    </w:p>
    <w:p w14:paraId="4EBB6143" w14:textId="77777777" w:rsidR="00400247" w:rsidRPr="009257E7" w:rsidRDefault="00400247" w:rsidP="004936E4">
      <w:pPr>
        <w:pStyle w:val="NormalWeb"/>
        <w:ind w:firstLine="720"/>
      </w:pPr>
      <w:r w:rsidRPr="009257E7">
        <w:lastRenderedPageBreak/>
        <w:t>A nivel mundial, las insurrecciones desde abajo contra las élites establecidas en Oriente Medio en 2011, conocidas comúnmente como la “Primavera Árabe”, utilizaron las redes sociales para organizar acciones colectivas de una manera sin precedentes:</w:t>
      </w:r>
    </w:p>
    <w:p w14:paraId="058F1665" w14:textId="44CF8CA3" w:rsidR="00400247" w:rsidRPr="009257E7" w:rsidRDefault="00400247" w:rsidP="004936E4">
      <w:pPr>
        <w:pStyle w:val="NormalWeb"/>
        <w:ind w:left="720"/>
      </w:pPr>
      <w:r w:rsidRPr="009257E7">
        <w:t xml:space="preserve">Una de las manifestaciones más claras de </w:t>
      </w:r>
      <w:r w:rsidR="004936E4" w:rsidRPr="009257E7">
        <w:t xml:space="preserve">la </w:t>
      </w:r>
      <w:r w:rsidRPr="009257E7">
        <w:t xml:space="preserve">transferencia regional de conocimiento entre actores de la sociedad civil se ha </w:t>
      </w:r>
      <w:r w:rsidR="004936E4" w:rsidRPr="009257E7">
        <w:t>evidenciado</w:t>
      </w:r>
      <w:r w:rsidRPr="009257E7">
        <w:t xml:space="preserve"> en el uso de las redes sociales. Por ejemplo, el Movimiento 6 de Abril en Egipto coordinó estrategias amplias para el uso de Facebook y Twitter [ahora X] con sus contrapartes en Túnez, al mismo tiempo que aprendía tácticas básicas, como medidas para contrarrestar los efectos del gas lacrimógeno. En una intervención pública reciente, uno de los líderes del levantamiento de la Plaza Tahrir en Egipto, Ahmed Maher, señaló que estas conexiones transregionales de la sociedad civil no fueron arbitrarias ni accidentales. Por el contrario, a partir de una reunión en Beirut patrocinada por el Carnegie Middle East Center, un conjunto de “grupos políticos ilegales” de la región —desde Túnez hasta Egipto, Siria y Kuwait— comenzó a coordinarse para construir movimientos de base de la sociedad civil </w:t>
      </w:r>
      <w:r w:rsidR="004936E4" w:rsidRPr="009257E7">
        <w:t>en</w:t>
      </w:r>
      <w:r w:rsidRPr="009257E7">
        <w:t xml:space="preserve"> sus respectivos contextos. Maher señaló que, junto con las estrategias mediáticas y las tácticas de protesta, de esta coordinación surgieron vocabularios y repertorios de protesta más amplios y compartidos. A medida que el cántico “ash-shab yurid isqat an-nizam” (“el pueblo quiere derrocar al régimen”) resonaba de capital en capital, también lo hacían los chistes y las expresiones coloquiales de los levantamientos. [...] Los cánticos, el humor y la poesía de la revolución en toda la región generaron su propia forma de innovación cultural y lingüística.</w:t>
      </w:r>
      <w:r w:rsidR="004936E4" w:rsidRPr="009257E7">
        <w:rPr>
          <w:rStyle w:val="FootnoteReference"/>
        </w:rPr>
        <w:footnoteReference w:id="313"/>
      </w:r>
    </w:p>
    <w:p w14:paraId="5D5AC601" w14:textId="046DACA4" w:rsidR="00400247" w:rsidRPr="009257E7" w:rsidRDefault="00400247" w:rsidP="004936E4">
      <w:pPr>
        <w:pStyle w:val="NormalWeb"/>
        <w:ind w:firstLine="720"/>
      </w:pPr>
      <w:r w:rsidRPr="009257E7">
        <w:t xml:space="preserve">Con el tiempo, lograron cambios de régimen en Egipto y en otros Estados —aunque quizás no lograron cambios transformadores y sistémicos significativos, porque quienes asumieron el poder se parecían mucho a quienes les precedieron—. Desde la Primavera Árabe, activistas jóvenes en Corea, Hong Kong y otros lugares han utilizado de manera igualmente creativa tecnologías de comunicación en línea contra políticos del </w:t>
      </w:r>
      <w:r w:rsidRPr="009257E7">
        <w:rPr>
          <w:rStyle w:val="Emphasis"/>
        </w:rPr>
        <w:t>statu quo</w:t>
      </w:r>
      <w:r w:rsidRPr="009257E7">
        <w:t xml:space="preserve"> y sus campañas por el poder. También tuvieron que aprender métodos de seguridad digital. Las corporaciones han desarrollado y los gobiernos han adquirido tecnologías nuevas que permiten el engaño y el control desde arriba, desde Estados Unidos hasta Rusia, China y otros lugares. El análisis de </w:t>
      </w:r>
      <w:r w:rsidR="004936E4" w:rsidRPr="009257E7">
        <w:t xml:space="preserve">la </w:t>
      </w:r>
      <w:r w:rsidRPr="009257E7">
        <w:t>información en línea difundida a través de las redes sociales, por ejemplo, muestra que los esfuerzos desde arriba destinados a manipular acontecimientos, percepciones y resultados —tanto dentro de los países como a nivel mundial— han sido efectivos. Para 2020, las “cookies” estaban por todas partes, junto con los datos que recopilan y almacenan para controlar el conocimiento, los hechos y sus significados o implicaciones sociales.</w:t>
      </w:r>
    </w:p>
    <w:p w14:paraId="7E6AFFBB" w14:textId="428D756A" w:rsidR="00400247" w:rsidRPr="009257E7" w:rsidRDefault="00400247" w:rsidP="004936E4">
      <w:pPr>
        <w:pStyle w:val="NormalWeb"/>
        <w:ind w:firstLine="720"/>
      </w:pPr>
      <w:r w:rsidRPr="009257E7">
        <w:t>Para 2020, l</w:t>
      </w:r>
      <w:r w:rsidR="004936E4" w:rsidRPr="009257E7">
        <w:t>o</w:t>
      </w:r>
      <w:r w:rsidRPr="009257E7">
        <w:t xml:space="preserve">s residentes de Estados Unidos y otras personas de todo el mundo también habían dejado muy claro a las élites gobernantes que los usos desde abajo de las tecnologías de la información social hacían posible que personas “comunes” captaran visualmente los patrones cotidianos de violencia sistémica, y que las imágenes resultantes se volvieran virales y desencadenaran protestas colectivas contra esos ejemplos individuales de patrones sistémicos impulsados por la identidad. Las redes sociales y las tecnologías relacionadas han convertido en nombres ampliamente conocidos a víctimas que, de otro modo, habrían permanecido anónimas </w:t>
      </w:r>
      <w:r w:rsidR="004936E4" w:rsidRPr="009257E7">
        <w:lastRenderedPageBreak/>
        <w:t>en</w:t>
      </w:r>
      <w:r w:rsidRPr="009257E7">
        <w:t xml:space="preserve"> esta violencia rutinaria y dirigida. El proyecto “Say Their Names”, por ejemplo, que cuenta con múltiples bases organizativas y sitios en línea, reúne los nombres y las historias de </w:t>
      </w:r>
      <w:r w:rsidR="004936E4" w:rsidRPr="009257E7">
        <w:t xml:space="preserve">las </w:t>
      </w:r>
      <w:r w:rsidRPr="009257E7">
        <w:t>víctimas de</w:t>
      </w:r>
      <w:r w:rsidR="004936E4" w:rsidRPr="009257E7">
        <w:t xml:space="preserve"> la</w:t>
      </w:r>
      <w:r w:rsidRPr="009257E7">
        <w:t xml:space="preserve"> brutalidad policial</w:t>
      </w:r>
      <w:r w:rsidR="004936E4" w:rsidRPr="009257E7">
        <w:rPr>
          <w:rStyle w:val="FootnoteReference"/>
        </w:rPr>
        <w:footnoteReference w:id="314"/>
      </w:r>
      <w:r w:rsidRPr="009257E7">
        <w:t>. Como indican estos ejemplos, l</w:t>
      </w:r>
      <w:r w:rsidR="004936E4" w:rsidRPr="009257E7">
        <w:t>e</w:t>
      </w:r>
      <w:r w:rsidRPr="009257E7">
        <w:t>s abogad</w:t>
      </w:r>
      <w:r w:rsidR="004936E4" w:rsidRPr="009257E7">
        <w:t>e</w:t>
      </w:r>
      <w:r w:rsidRPr="009257E7">
        <w:t xml:space="preserve">s y </w:t>
      </w:r>
      <w:r w:rsidR="004936E4" w:rsidRPr="009257E7">
        <w:t xml:space="preserve">les </w:t>
      </w:r>
      <w:r w:rsidRPr="009257E7">
        <w:t>activistas adoptan nuevas</w:t>
      </w:r>
      <w:r w:rsidR="004936E4" w:rsidRPr="009257E7">
        <w:t xml:space="preserve"> tecnologías</w:t>
      </w:r>
      <w:r w:rsidRPr="009257E7">
        <w:t xml:space="preserve"> y adaptan </w:t>
      </w:r>
      <w:r w:rsidR="004936E4" w:rsidRPr="009257E7">
        <w:t>el uso</w:t>
      </w:r>
      <w:r w:rsidRPr="009257E7">
        <w:t xml:space="preserve"> de tecnologías anteriores para garantizar que su investigación, análisis y mensajes produzcan el impacto </w:t>
      </w:r>
      <w:r w:rsidR="004936E4" w:rsidRPr="009257E7">
        <w:t xml:space="preserve">mayor </w:t>
      </w:r>
      <w:r w:rsidRPr="009257E7">
        <w:t>en los tres niveles.</w:t>
      </w:r>
    </w:p>
    <w:p w14:paraId="69E1B44C" w14:textId="2AB6C8B1" w:rsidR="00400247" w:rsidRPr="009257E7" w:rsidRDefault="00400247" w:rsidP="004936E4">
      <w:pPr>
        <w:pStyle w:val="NormalWeb"/>
        <w:ind w:firstLine="720"/>
      </w:pPr>
      <w:r w:rsidRPr="009257E7">
        <w:t xml:space="preserve">Por otro lado, les supremacistas blancos y sus simpatizantes también han mostrado al mundo cómo las tecnologías emergentes o en evolución, incluidas las plataformas de redes sociales, pueden aprovecharse para moldear la lucha continua por la justicia igualitaria y la equidad social para todes. Quizás una experiencia decisiva en Estados Unidos surgió del análisis forense posterior al intento de insurrección de enero de 2021, que investigaciones posteriores confirmaron había sido planificado minuciosamente de manera virtual. Además, su ejecución fue coordinada en tiempo real mediante teléfonos móviles, sitios web, </w:t>
      </w:r>
      <w:r w:rsidRPr="009257E7">
        <w:rPr>
          <w:rStyle w:val="Emphasis"/>
        </w:rPr>
        <w:t>walkie-talkies</w:t>
      </w:r>
      <w:r w:rsidRPr="009257E7">
        <w:t xml:space="preserve"> y otras tecnologías</w:t>
      </w:r>
      <w:r w:rsidR="004936E4" w:rsidRPr="009257E7">
        <w:t>, tanto</w:t>
      </w:r>
      <w:r w:rsidRPr="009257E7">
        <w:t xml:space="preserve"> nuevas </w:t>
      </w:r>
      <w:r w:rsidR="004936E4" w:rsidRPr="009257E7">
        <w:t>como</w:t>
      </w:r>
      <w:r w:rsidRPr="009257E7">
        <w:t xml:space="preserve"> antiguas. Ya sea desde arriba o desde abajo, les abogades deben estar preparades para enfrentar las fuerzas de la desigualdad tanto en línea como en el terreno.</w:t>
      </w:r>
    </w:p>
    <w:p w14:paraId="12CEC21F" w14:textId="77777777" w:rsidR="00400247" w:rsidRPr="009257E7" w:rsidRDefault="00400247" w:rsidP="004936E4">
      <w:pPr>
        <w:pStyle w:val="NormalWeb"/>
        <w:ind w:firstLine="720"/>
      </w:pPr>
      <w:r w:rsidRPr="009257E7">
        <w:t>La capacidad de examinar críticamente y utilizar macrodatos —mediante una investigación guiada por la norma de la analítica social— en combinación con las redes sociales constituye una herramienta importante para la abogacía sistémica. Tarde o temprano, les abogades deben integrar métodos analíticos sofisticados y tecnologías de la información social en su trabajo. Sin embargo, esta incorporación no exige que cada abogade se convierta en experte en estas tecnologías, aunque ello resulte útil. Más bien, exige que les abogades adquieran un “conocimiento práctico” de ellas y de su terminología básica. De este modo, pueden comunicarse de manera efectiva con les expertes incorporades al equipo de abogacía. En otras palabras, les abogades deben considerar cómo estas tecnologías —y las que surjan en el futuro— pueden apoyar las luchas de tres niveles dentro de un contexto o escenario determinado. Luego, deben incorporar al equipo del proyecto los conocimientos, las destrezas y las capacidades necesarios. Este trabajo, al igual que la lucha y la abogacía en general, es continuo.</w:t>
      </w:r>
    </w:p>
    <w:p w14:paraId="20F9D211" w14:textId="5401DD9B" w:rsidR="00400247" w:rsidRPr="009257E7" w:rsidRDefault="00400247" w:rsidP="004936E4">
      <w:pPr>
        <w:pStyle w:val="NormalWeb"/>
        <w:ind w:firstLine="720"/>
      </w:pPr>
      <w:r w:rsidRPr="009257E7">
        <w:t xml:space="preserve">Cada día surgen más ejemplos de esta norma crítica precisamente porque la analítica social puede sacar a la luz conocimientos que, a su vez, pueden determinar resultados. En ocasiones, los grupos deben crear datos —no siempre “macrodatos”, pero sí datos voluminosos que, de otro modo, sencillamente no existirían—. Como indica el ejemplo que sigue, estos esfuerzos de creación de datos pueden parecerse a la PAR, pero van más allá, tanto en volumen como en nivel de detalle, y </w:t>
      </w:r>
      <w:r w:rsidR="004936E4" w:rsidRPr="009257E7">
        <w:t>emple</w:t>
      </w:r>
      <w:r w:rsidRPr="009257E7">
        <w:t>an tecnologías digitales. Como muestra también el siguiente</w:t>
      </w:r>
      <w:r w:rsidR="004936E4" w:rsidRPr="009257E7">
        <w:t xml:space="preserve"> ejemplo</w:t>
      </w:r>
      <w:r w:rsidRPr="009257E7">
        <w:t xml:space="preserve">, los grupos conciben y establecen bases de datos, sitios web y otros repositorios de conocimiento accionable de múltiples maneras contextualizadas, de modo que ellos —y sus aliades— puedan utilizar esa información en el futuro para fines diversos y, en ocasiones, incluso imprevistos. El Centro de los Derechos del Migrante (CDM) inició un proyecto de investigación para </w:t>
      </w:r>
      <w:r w:rsidR="004936E4" w:rsidRPr="009257E7">
        <w:t>gener</w:t>
      </w:r>
      <w:r w:rsidRPr="009257E7">
        <w:t xml:space="preserve">ar los datos necesarios para rastrear violaciones </w:t>
      </w:r>
      <w:r w:rsidR="004936E4" w:rsidRPr="009257E7">
        <w:t>vinculadas</w:t>
      </w:r>
      <w:r w:rsidRPr="009257E7">
        <w:t xml:space="preserve"> </w:t>
      </w:r>
      <w:r w:rsidR="004936E4" w:rsidRPr="009257E7">
        <w:t>a</w:t>
      </w:r>
      <w:r w:rsidRPr="009257E7">
        <w:t xml:space="preserve">l reclutamiento de trabajadores migrantes en México. El CDM creó Contratados, un sitio web y una aplicación que permiten a les trabajadores agrícolas aportar “reseñas” en las que evalúan lugares, condiciones y prácticas de reclutamiento. Con estos datos, tanto les trabajadores como les abogades pueden </w:t>
      </w:r>
      <w:r w:rsidRPr="009257E7">
        <w:lastRenderedPageBreak/>
        <w:t>evaluar la probabilidad y los patrones de robo de salarios, discriminación, represalias y trabajo forzoso:</w:t>
      </w:r>
    </w:p>
    <w:p w14:paraId="2AFC8F7F" w14:textId="76E29835" w:rsidR="00400247" w:rsidRPr="009257E7" w:rsidRDefault="00400247" w:rsidP="004936E4">
      <w:pPr>
        <w:pStyle w:val="NormalWeb"/>
        <w:ind w:left="720"/>
      </w:pPr>
      <w:r w:rsidRPr="009257E7">
        <w:t>[El CDM,] una ONG transfronteriza asesorada por un “comité” de participación de trabajadores, ha abordado la trata de trabajadores temporales por parte de reclutadores laborales en México mediante el desarrollo de</w:t>
      </w:r>
      <w:r w:rsidR="004936E4" w:rsidRPr="009257E7">
        <w:t>…</w:t>
      </w:r>
      <w:r w:rsidRPr="009257E7">
        <w:t xml:space="preserve"> un sitio web innovador que permite a les trabajadores compartir electrónicamente sus evaluaciones sobre el trato que reciben de reclutadores y empleadores dentro de los programas estadounidenses de trabajadores temporales. Al reunir esta información, l</w:t>
      </w:r>
      <w:r w:rsidR="004936E4" w:rsidRPr="009257E7">
        <w:t>e</w:t>
      </w:r>
      <w:r w:rsidRPr="009257E7">
        <w:t>s trabajadores se ayudan mutuamente a evitar condiciones laborales ilegales y abusivas.</w:t>
      </w:r>
      <w:r w:rsidR="004936E4" w:rsidRPr="009257E7">
        <w:rPr>
          <w:rStyle w:val="FootnoteReference"/>
        </w:rPr>
        <w:footnoteReference w:id="315"/>
      </w:r>
    </w:p>
    <w:p w14:paraId="3619D341" w14:textId="77777777" w:rsidR="00400247" w:rsidRPr="009257E7" w:rsidRDefault="00400247" w:rsidP="004936E4">
      <w:pPr>
        <w:pStyle w:val="NormalWeb"/>
        <w:ind w:firstLine="720"/>
      </w:pPr>
      <w:r w:rsidRPr="009257E7">
        <w:t xml:space="preserve">Al generar y almacenar testimonios desde abajo, estadísticas y otras formas de información, les abogades utilizan la tecnología para crear una base de “hechos” alternativos y ampliados capaces de cuestionar las versiones dominantes del </w:t>
      </w:r>
      <w:r w:rsidRPr="009257E7">
        <w:rPr>
          <w:rStyle w:val="Emphasis"/>
        </w:rPr>
        <w:t>statu quo</w:t>
      </w:r>
      <w:r w:rsidRPr="009257E7">
        <w:t>. La analítica social o de datos puede ayudar a les abogades a hacer visibles, tanto para sí mismes como para otras personas, patrones sistémicos que pueden estar “enterrados en los datos”, pero que también pueden cuestionar relatos, explicaciones o excusas desde arriba si se enmarcan y difunden como parte de una abogacía de tres niveles.</w:t>
      </w:r>
    </w:p>
    <w:p w14:paraId="17CA2F78" w14:textId="363C64D1" w:rsidR="00400247" w:rsidRPr="009257E7" w:rsidRDefault="00400247" w:rsidP="00B36A2A">
      <w:pPr>
        <w:pStyle w:val="NormalWeb"/>
        <w:ind w:firstLine="720"/>
      </w:pPr>
      <w:r w:rsidRPr="009257E7">
        <w:t>Por supuesto, los resultados de una investigación innovadora de hechos desde abajo no son aceptados fácilmente por los responsables de la toma de decisiones jurídicas identificados con las élites, pero brindan a les abogades la oportunidad de cuestionar tanto el significado como los procesos mediante los cuales se construye ese significado, utilizando reglas del derecho y conocimientos provenientes de otras disciplinas. Como explica a continuación la socióloga Francesca Polletta en relación con la investigación y el activismo vinculados al SIDA, los usos desde abajo de la analítica pueden modificar las percepciones populares y profesionales sobre los problemas y las soluciones y redefinir la importancia sistémica de hechos sociales, económicos o políticos básicos, así como el conocimiento accionable que puede derivarse de ellos:</w:t>
      </w:r>
      <w:r w:rsidR="00B36A2A" w:rsidRPr="009257E7">
        <w:t xml:space="preserve"> </w:t>
      </w:r>
    </w:p>
    <w:p w14:paraId="428BD3AE" w14:textId="3B770BF7" w:rsidR="00400247" w:rsidRPr="009257E7" w:rsidRDefault="00400247" w:rsidP="00B36A2A">
      <w:pPr>
        <w:pStyle w:val="NormalWeb"/>
        <w:ind w:left="720"/>
      </w:pPr>
      <w:r w:rsidRPr="009257E7">
        <w:t>[E]n lugar de limitarse a cuestionar el significado, les activistas deberían cuestionar la organización social del significado, es decir, los estándares que definen qué se considera un significado dotado de autoridad</w:t>
      </w:r>
      <w:r w:rsidR="00B36A2A" w:rsidRPr="009257E7">
        <w:t>…</w:t>
      </w:r>
      <w:r w:rsidRPr="009257E7">
        <w:t xml:space="preserve"> Les activistas [del SIDA] lograron obtener representación formal en comités federales de revisión de investigaciones. De igual importancia, también lograron que los relatos personales de pacientes con SIDA sobre sus enfermedades fueran reconocidos como conocimiento dotado de autoridad </w:t>
      </w:r>
      <w:r w:rsidR="00B36A2A" w:rsidRPr="009257E7">
        <w:t>en</w:t>
      </w:r>
      <w:r w:rsidRPr="009257E7">
        <w:t xml:space="preserve"> la investigación farmacológica. Al rechazar las antinomias convencionales entre conocimiento subjetivo y objetivo, razón y emoción, y ciencia y folclore, buscaron y lograron legitimidad para la experiencia personal como una forma de conocimiento dotado de autoridad. De manera similar, les activistas podrían trabajar para que la </w:t>
      </w:r>
      <w:r w:rsidRPr="009257E7">
        <w:lastRenderedPageBreak/>
        <w:t>narración adquiera autoridad en contextos donde se exigen estadísticas y para que las estadísticas adquieran autoridad donde se espera una narración.</w:t>
      </w:r>
      <w:r w:rsidR="00B36A2A" w:rsidRPr="009257E7">
        <w:rPr>
          <w:rStyle w:val="FootnoteReference"/>
        </w:rPr>
        <w:footnoteReference w:id="316"/>
      </w:r>
    </w:p>
    <w:p w14:paraId="09447FD3" w14:textId="77777777" w:rsidR="00400247" w:rsidRPr="009257E7" w:rsidRDefault="00400247" w:rsidP="00B36A2A">
      <w:pPr>
        <w:pStyle w:val="NormalWeb"/>
        <w:ind w:firstLine="720"/>
      </w:pPr>
      <w:r w:rsidRPr="009257E7">
        <w:t xml:space="preserve">Este pasaje muestra cómo les abogades trabajan dentro y fuera de los marcos sistémicos para construir conocimiento, transformar percepciones y promover soluciones, y destaca cómo la autocrítica ayuda a elaborar diagnósticos y estrategias mediante la adaptación creativa de combinaciones de métodos y normas de investigación. Este pasaje también enfatiza un segundo punto fundamental: les investigadores y analistas crítiques toman distancia para cuestionar las propias premisas y conclusiones —con frecuencia implícitas— que sustentan el </w:t>
      </w:r>
      <w:r w:rsidRPr="009257E7">
        <w:rPr>
          <w:rStyle w:val="Emphasis"/>
        </w:rPr>
        <w:t>statu quo</w:t>
      </w:r>
      <w:r w:rsidRPr="009257E7">
        <w:t>, en lugar de limitarse a aceptar las vendas de la industria que confieren “autoridad” y legitimidad a las cosas tal como son. Cuestionan el significado que las élites atribuyen a hechos básicos y ponen al descubierto cómo los sistemas o las élites crean esos significados para servir a sus propios intereses. Les abogades contrarrestan activamente el cultivo continuo, desde arriba, de la aceptación y la conformidad que, desde la cuna hasta la tumba, busca inhibir la disidencia organizada incluso antes de que se forme.</w:t>
      </w:r>
    </w:p>
    <w:p w14:paraId="23E86B51" w14:textId="10098F33" w:rsidR="00400247" w:rsidRPr="009257E7" w:rsidRDefault="00400247" w:rsidP="00B36A2A">
      <w:pPr>
        <w:pStyle w:val="NormalWeb"/>
        <w:ind w:firstLine="720"/>
      </w:pPr>
      <w:r w:rsidRPr="009257E7">
        <w:t>La analítica social o de datos ya es importante porque los usos desde arriba de los macrodatos se vuelven cada día más eficientes, agresivos e institucionalizados</w:t>
      </w:r>
      <w:r w:rsidR="00B36A2A" w:rsidRPr="009257E7">
        <w:rPr>
          <w:rStyle w:val="FootnoteReference"/>
        </w:rPr>
        <w:footnoteReference w:id="317"/>
      </w:r>
      <w:r w:rsidRPr="009257E7">
        <w:t>. Aunque solo fuera por esa razón, les abogades deben adoptar esta tercera norma para “mantenerse al día”, es decir, porque las élites ya están haciendo lo mismo. Sin embargo, desde una perspectiva desde abajo, esta tercera norma, al igual que las dos anteriores, exige un cuestionamiento crítico y autocrítico del conocimiento y de su construcción.</w:t>
      </w:r>
    </w:p>
    <w:p w14:paraId="2669B59B" w14:textId="7A7BD685" w:rsidR="00400247" w:rsidRPr="009257E7" w:rsidRDefault="00400247" w:rsidP="00B36A2A">
      <w:pPr>
        <w:pStyle w:val="NormalWeb"/>
        <w:ind w:firstLine="720"/>
      </w:pPr>
      <w:r w:rsidRPr="009257E7">
        <w:t xml:space="preserve">Las tres normas descritas anteriormente —la contradisciplinariedad, el comparativismo crítico y la analítica social— son medios que se refuerzan mutuamente para maximizar los resultados y el impacto de la investigación desde abajo basada en los tres métodos presentados anteriormente. Utilizados como un conjunto flexible, estos tres métodos y estas tres normas ayudan a les abogades a poner al descubierto y trascender la igualdad formal y otros formalismos de la industria que confieren una pátina de legitimidad a la violencia sistémica. Estos métodos y normas están diseñados para ayudar a todes les abogades a mantenerse ágiles y avanzar de maneras basadas en principios y sujetas a rendición de cuentas </w:t>
      </w:r>
      <w:r w:rsidR="00B36A2A" w:rsidRPr="009257E7">
        <w:t>respecto de</w:t>
      </w:r>
      <w:r w:rsidRPr="009257E7">
        <w:t xml:space="preserve"> los objetivos de </w:t>
      </w:r>
      <w:r w:rsidR="00B36A2A" w:rsidRPr="009257E7">
        <w:t xml:space="preserve">los </w:t>
      </w:r>
      <w:r w:rsidRPr="009257E7">
        <w:t xml:space="preserve">tres niveles de este trabajo. Están diseñados para eludir el fracaso por diseño y superar el Desafío Crítico de utilizar el derecho para lograr justicia. Como veremos a continuación, </w:t>
      </w:r>
      <w:r w:rsidR="00B36A2A" w:rsidRPr="009257E7">
        <w:t>les abogades utilizan estos métodos y normas para “mapear” tanto los problemas como las soluciones de manera cada vez más detallada, específica y contextualizada.</w:t>
      </w:r>
    </w:p>
    <w:p w14:paraId="05AC5BA3" w14:textId="55A53970" w:rsidR="00D00121" w:rsidRPr="009257E7" w:rsidRDefault="00021262" w:rsidP="00D00121">
      <w:pPr>
        <w:spacing w:before="100" w:beforeAutospacing="1" w:after="100" w:afterAutospacing="1" w:line="240" w:lineRule="auto"/>
        <w:rPr>
          <w:rFonts w:ascii="Times New Roman" w:eastAsia="Times New Roman" w:hAnsi="Times New Roman" w:cs="Times New Roman"/>
          <w:b/>
          <w:bCs/>
          <w:kern w:val="0"/>
          <w14:ligatures w14:val="none"/>
        </w:rPr>
      </w:pPr>
      <w:r w:rsidRPr="009257E7">
        <w:rPr>
          <w:rFonts w:ascii="Times New Roman" w:eastAsia="Times New Roman" w:hAnsi="Times New Roman" w:cs="Times New Roman"/>
          <w:b/>
          <w:bCs/>
          <w:kern w:val="0"/>
          <w:lang w:val="es-ES"/>
          <w14:ligatures w14:val="none"/>
        </w:rPr>
        <w:t xml:space="preserve">8.5 </w:t>
      </w:r>
      <w:r w:rsidR="00D00121" w:rsidRPr="009257E7">
        <w:rPr>
          <w:rFonts w:ascii="Times New Roman" w:eastAsia="Times New Roman" w:hAnsi="Times New Roman" w:cs="Times New Roman"/>
          <w:b/>
          <w:bCs/>
          <w:kern w:val="0"/>
          <w:lang w:val="es-ES"/>
          <w14:ligatures w14:val="none"/>
        </w:rPr>
        <w:t>Las c</w:t>
      </w:r>
      <w:r w:rsidRPr="009257E7">
        <w:rPr>
          <w:rFonts w:ascii="Times New Roman" w:eastAsia="Times New Roman" w:hAnsi="Times New Roman" w:cs="Times New Roman"/>
          <w:b/>
          <w:bCs/>
          <w:kern w:val="0"/>
          <w:lang w:val="es-ES"/>
          <w14:ligatures w14:val="none"/>
        </w:rPr>
        <w:t>uatro técnicas de “mapeo” ayudan a ajustar e implementar planes de acción contextuales</w:t>
      </w:r>
    </w:p>
    <w:p w14:paraId="40443755" w14:textId="77777777" w:rsidR="00D00121" w:rsidRPr="009257E7" w:rsidRDefault="00D00121" w:rsidP="00D00121">
      <w:pPr>
        <w:spacing w:before="100" w:beforeAutospacing="1" w:after="100" w:afterAutospacing="1" w:line="240" w:lineRule="auto"/>
        <w:ind w:firstLine="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 xml:space="preserve">Además de los tres métodos y las tres normas de la investigación crítica, les abogades sistémiques suelen utilizar una o más de las cuatro técnicas de mapeo que se presentan a continuación. Estas técnicas ayudan a les abogades a comprender las relaciones y las redes </w:t>
      </w:r>
      <w:r w:rsidRPr="009257E7">
        <w:rPr>
          <w:rFonts w:ascii="Times New Roman" w:eastAsia="Times New Roman" w:hAnsi="Times New Roman" w:cs="Times New Roman"/>
          <w:kern w:val="0"/>
          <w14:ligatures w14:val="none"/>
        </w:rPr>
        <w:lastRenderedPageBreak/>
        <w:t>fundamentales para implementar soluciones. Con este conocimiento, les abogades pueden adaptar la manera de ejercer presión y utilizar la persuasión para superar los límites de la igualdad formal.</w:t>
      </w:r>
    </w:p>
    <w:p w14:paraId="140B9DC9" w14:textId="021A8D9F" w:rsidR="00D00121" w:rsidRPr="009257E7" w:rsidRDefault="00D00121" w:rsidP="00D00121">
      <w:pPr>
        <w:spacing w:before="100" w:beforeAutospacing="1" w:after="100" w:afterAutospacing="1" w:line="240" w:lineRule="auto"/>
        <w:ind w:firstLine="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 xml:space="preserve">La investigación </w:t>
      </w:r>
      <w:r w:rsidRPr="009257E7">
        <w:rPr>
          <w:rFonts w:ascii="Times New Roman" w:eastAsia="Times New Roman" w:hAnsi="Times New Roman" w:cs="Times New Roman"/>
          <w:i/>
          <w:iCs/>
          <w:kern w:val="0"/>
          <w14:ligatures w14:val="none"/>
        </w:rPr>
        <w:t>diagnóstica</w:t>
      </w:r>
      <w:r w:rsidRPr="009257E7">
        <w:rPr>
          <w:rFonts w:ascii="Times New Roman" w:eastAsia="Times New Roman" w:hAnsi="Times New Roman" w:cs="Times New Roman"/>
          <w:kern w:val="0"/>
          <w14:ligatures w14:val="none"/>
        </w:rPr>
        <w:t xml:space="preserve"> y el análisis, centrados en la comprensión de los problemas sociales en cuestión, profundizan en su comprensión del contexto. La investigación </w:t>
      </w:r>
      <w:r w:rsidRPr="009257E7">
        <w:rPr>
          <w:rFonts w:ascii="Times New Roman" w:eastAsia="Times New Roman" w:hAnsi="Times New Roman" w:cs="Times New Roman"/>
          <w:i/>
          <w:iCs/>
          <w:kern w:val="0"/>
          <w14:ligatures w14:val="none"/>
        </w:rPr>
        <w:t>estratégica</w:t>
      </w:r>
      <w:r w:rsidRPr="009257E7">
        <w:rPr>
          <w:rFonts w:ascii="Times New Roman" w:eastAsia="Times New Roman" w:hAnsi="Times New Roman" w:cs="Times New Roman"/>
          <w:kern w:val="0"/>
          <w14:ligatures w14:val="none"/>
        </w:rPr>
        <w:t xml:space="preserve"> y el análisis, centrados en la acción, examinan de manera amplia cómo puede ejercerse el poder, para lograr las decisiones necesarias, con el fin de alcanzar los objetivos de tres niveles. Dentro de este esquema básico, las técnicas de mapeo permiten a les abogades planificar sus intervenciones con precisión para lograr el efecto mayor, en contextos específicos.</w:t>
      </w:r>
    </w:p>
    <w:p w14:paraId="1CB0DCB2" w14:textId="2CCB7B19" w:rsidR="00D00121" w:rsidRPr="009257E7" w:rsidRDefault="00D00121" w:rsidP="00D00121">
      <w:pPr>
        <w:spacing w:before="100" w:beforeAutospacing="1" w:after="100" w:afterAutospacing="1" w:line="240" w:lineRule="auto"/>
        <w:ind w:firstLine="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Como explicamos a continuación, les abogades suelen utilizar una técnica comunitaria de mapeo con fines diagnósticos y tres técnicas comunitarias de mapeo con fines estratégicos: (1) mapeo de conceptos o de problemas, (2) mapeo de activos, (3) mapeo de partes interesadas y (4) mapeo de poder. La primera técnica de mapeo se considera diagnóstica porque ayuda a les abogades a comprender los problemas, mientras que las otras tres se consideran estratégicas porque ayudan a les abogades a diseñar e implementar soluciones. Utilizadas de manera contextual, estas cuatro técnicas de mapeo ayudan a les abogades a identificar la propia injusticia sistémica, así como las maneras y los medios más adecuados para combatirla. Por consiguiente, el mapeo forma parte integral de la abogacía en una variedad de contextos.</w:t>
      </w:r>
    </w:p>
    <w:p w14:paraId="480F66BD" w14:textId="419F431F" w:rsidR="00D00121" w:rsidRPr="009257E7" w:rsidRDefault="00D00121" w:rsidP="00D00121">
      <w:pPr>
        <w:spacing w:before="100" w:beforeAutospacing="1" w:after="100" w:afterAutospacing="1" w:line="240" w:lineRule="auto"/>
        <w:ind w:firstLine="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 xml:space="preserve">Estos cuatro mapas —de problemas, activos, partes interesadas y poder— pueden ir desde lo sencillo hasta lo altamente sofisticado. Les abogades los utilizan durante ambas etapas del trabajo, según sea necesario, para discernir de un vistazo cómo las identidades, los grupos, los intereses y el poder se entrecruzan para mantener patrones arraigados de injusticia colectiva. Estos mapas no se organizan exclusivamente en torno a los cuatro elementos ausentes de la práctica jurídica tradicional —identidades, grupos, intereses y poder, o IGIP—, pero, aun así, ponen claramente de relieve cómo funciona la injusticia sistémica dentro de cualquier contexto, en función de los intereses en juego y de su relación con los grupos definidos por la identidad, que con frecuencia se encuentran en el centro de los problemas sociales persistentes. Al mapear un panorama contextual en torno a este tipo de relaciones, les abogades pueden tener más en cuenta el funcionamiento entrelazado de las identidades, los grupos, los intereses y el poder, en ese contexto sistémico. </w:t>
      </w:r>
    </w:p>
    <w:p w14:paraId="11E544D8" w14:textId="7C7C7F89" w:rsidR="00D00121" w:rsidRPr="009257E7" w:rsidRDefault="00D00121" w:rsidP="00D00121">
      <w:pPr>
        <w:spacing w:before="100" w:beforeAutospacing="1" w:after="100" w:afterAutospacing="1" w:line="240" w:lineRule="auto"/>
        <w:ind w:firstLine="720"/>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t xml:space="preserve">Mediante el uso flexible de estas herramientas comunitarias de “mapeo”, les abogades, activistas y aliades perfilan y evalúan sus fortalezas </w:t>
      </w:r>
      <w:r w:rsidRPr="009257E7">
        <w:rPr>
          <w:rFonts w:ascii="Times New Roman" w:eastAsia="Times New Roman" w:hAnsi="Times New Roman" w:cs="Times New Roman"/>
          <w:i/>
          <w:iCs/>
          <w:kern w:val="0"/>
          <w14:ligatures w14:val="none"/>
        </w:rPr>
        <w:t>y</w:t>
      </w:r>
      <w:r w:rsidRPr="009257E7">
        <w:rPr>
          <w:rFonts w:ascii="Times New Roman" w:eastAsia="Times New Roman" w:hAnsi="Times New Roman" w:cs="Times New Roman"/>
          <w:kern w:val="0"/>
          <w14:ligatures w14:val="none"/>
        </w:rPr>
        <w:t xml:space="preserve"> debilidades —así como las de sus adversarios— en cualquier escenario determinado de abogacía. Como técnica, el mapeo incorpora conocimientos derivados de los métodos y las normas de investigación descritos anteriormente para ayudar a conceptualizar y elaborar los mapas necesarios y, posteriormente, seguirlos de manera metódica. Las técnicas de mapeo colocan a les abogades en una posición mejor para impulsar el progreso en los tres niveles con mayor precisión y efectividad.</w:t>
      </w:r>
    </w:p>
    <w:p w14:paraId="20C8F327" w14:textId="7EAC5596" w:rsidR="00D00121" w:rsidRPr="009257E7" w:rsidRDefault="00A634FC" w:rsidP="00A634FC">
      <w:pPr>
        <w:rPr>
          <w:rFonts w:ascii="Times New Roman" w:hAnsi="Times New Roman" w:cs="Times New Roman"/>
          <w:b/>
          <w:bCs/>
        </w:rPr>
      </w:pPr>
      <w:r w:rsidRPr="009257E7">
        <w:rPr>
          <w:rFonts w:ascii="Times New Roman" w:hAnsi="Times New Roman" w:cs="Times New Roman"/>
          <w:b/>
          <w:bCs/>
        </w:rPr>
        <w:t>A. Mapeo de conceptos o de problemas</w:t>
      </w:r>
    </w:p>
    <w:p w14:paraId="5824E5F9" w14:textId="64FD0156" w:rsidR="00D00121" w:rsidRPr="009257E7" w:rsidRDefault="00D00121" w:rsidP="00A634FC">
      <w:pPr>
        <w:pStyle w:val="NormalWeb"/>
        <w:ind w:firstLine="720"/>
      </w:pPr>
      <w:r w:rsidRPr="009257E7">
        <w:t>La primera de estas técnicas, el mapeo de conceptos o de problemas, se centra en formular —o reformular— la comprensión que tiene le abogade de la injusticia</w:t>
      </w:r>
      <w:r w:rsidR="00A634FC" w:rsidRPr="009257E7">
        <w:t>,</w:t>
      </w:r>
      <w:r w:rsidRPr="009257E7">
        <w:t xml:space="preserve"> en colaboración </w:t>
      </w:r>
      <w:r w:rsidRPr="009257E7">
        <w:lastRenderedPageBreak/>
        <w:t>con quienes la experimentan. Como tal, esta técnica, de manera similar a la PAR, sirve como “una técnica participativa o colaborativa mediante la cual un problema o asunto temático se traduce y representa en una ilustración visual para facilitar un análisis profundo y sistemático”</w:t>
      </w:r>
      <w:r w:rsidR="00A634FC" w:rsidRPr="009257E7">
        <w:rPr>
          <w:rStyle w:val="FootnoteReference"/>
        </w:rPr>
        <w:footnoteReference w:id="318"/>
      </w:r>
      <w:r w:rsidRPr="009257E7">
        <w:t xml:space="preserve">. Este aspecto visual permite </w:t>
      </w:r>
      <w:r w:rsidR="00A634FC" w:rsidRPr="009257E7">
        <w:t>visibilizar</w:t>
      </w:r>
      <w:r w:rsidRPr="009257E7">
        <w:t xml:space="preserve"> las relaciones y </w:t>
      </w:r>
      <w:r w:rsidR="00A634FC" w:rsidRPr="009257E7">
        <w:t xml:space="preserve">las </w:t>
      </w:r>
      <w:r w:rsidRPr="009257E7">
        <w:t>conexiones. Este tipo de mapeo registra aportaciones desde abajo y abre perspectivas analíticas que pueden servir de base diagnóstica para los mapas posteriores de activos, partes interesadas y poder. Combinadas con el conocimiento derivado de los métodos y las normas, estas técnicas ayudan a concretar el desarrollo de estrategias. El académico de derechos humanos Muthee Thuku, en colaboración con Amnistía Internacional, describe cómo el mapeo de conceptos permitió hacer visibles</w:t>
      </w:r>
      <w:r w:rsidR="00A634FC" w:rsidRPr="009257E7">
        <w:t>,</w:t>
      </w:r>
      <w:r w:rsidRPr="009257E7">
        <w:t xml:space="preserve"> de manera sistémica</w:t>
      </w:r>
      <w:r w:rsidR="00A634FC" w:rsidRPr="009257E7">
        <w:t>,</w:t>
      </w:r>
      <w:r w:rsidRPr="009257E7">
        <w:t xml:space="preserve"> las violaciones de derechos humanos en zonas rurales de Kenia:</w:t>
      </w:r>
    </w:p>
    <w:p w14:paraId="1A977440" w14:textId="77777777" w:rsidR="00D00121" w:rsidRPr="009257E7" w:rsidRDefault="00D00121" w:rsidP="00D00121">
      <w:pPr>
        <w:pStyle w:val="NormalWeb"/>
      </w:pPr>
      <w:r w:rsidRPr="009257E7">
        <w:t>Entre los factores que pueden mapearse en relación con una situación de derechos humanos se incluyen:</w:t>
      </w:r>
    </w:p>
    <w:p w14:paraId="3F537937" w14:textId="40E899A0" w:rsidR="00D00121" w:rsidRPr="009257E7" w:rsidRDefault="00D00121" w:rsidP="00A634FC">
      <w:pPr>
        <w:pStyle w:val="NormalWeb"/>
        <w:numPr>
          <w:ilvl w:val="0"/>
          <w:numId w:val="14"/>
        </w:numPr>
      </w:pPr>
      <w:r w:rsidRPr="009257E7">
        <w:t xml:space="preserve">Violencia (por ejemplo, todos los tipos de violencia </w:t>
      </w:r>
      <w:r w:rsidR="00A634FC" w:rsidRPr="009257E7">
        <w:t>en una comunidad, incluidos los ejercidos por agentes del Estado, la violencia criminal y la doméstica)…</w:t>
      </w:r>
    </w:p>
    <w:p w14:paraId="005E1524" w14:textId="31F9CAEA" w:rsidR="00D00121" w:rsidRPr="009257E7" w:rsidRDefault="00D00121" w:rsidP="00A634FC">
      <w:pPr>
        <w:pStyle w:val="NormalWeb"/>
        <w:numPr>
          <w:ilvl w:val="0"/>
          <w:numId w:val="14"/>
        </w:numPr>
      </w:pPr>
      <w:r w:rsidRPr="009257E7">
        <w:t>Violaciones o abusos de derechos humanos (por ejemplo, uso excesivo de la fuerza por parte de la policía o de milicias, desalojos forzosos, prohibición de reuniones sindicales, contaminación del agua potable por parte de una empresa petrolera).</w:t>
      </w:r>
    </w:p>
    <w:p w14:paraId="345DB79B" w14:textId="365A7807" w:rsidR="00D00121" w:rsidRPr="009257E7" w:rsidRDefault="00D00121" w:rsidP="00A634FC">
      <w:pPr>
        <w:pStyle w:val="NormalWeb"/>
        <w:numPr>
          <w:ilvl w:val="0"/>
          <w:numId w:val="14"/>
        </w:numPr>
      </w:pPr>
      <w:r w:rsidRPr="009257E7">
        <w:t>Tendencias y patrones de violaciones o abusos de derechos humanos (por ejemplo, un aumento en el número de arrestos de defensores de derechos humanos y periodistas, o un aumento en el uso de la violación por parte de un grupo armado de oposición, así como tendencias positivas, como un aumento en el número de mujeres que denuncian violaciones ante la policía</w:t>
      </w:r>
      <w:r w:rsidR="00A634FC" w:rsidRPr="009257E7">
        <w:t>,</w:t>
      </w:r>
      <w:r w:rsidRPr="009257E7">
        <w:t xml:space="preserve"> en una situación en la que anteriormente la policía se negaba a aceptar tales denuncias).</w:t>
      </w:r>
    </w:p>
    <w:p w14:paraId="0A5991A0" w14:textId="33D789A1" w:rsidR="00D00121" w:rsidRPr="009257E7" w:rsidRDefault="00A634FC" w:rsidP="00A634FC">
      <w:pPr>
        <w:pStyle w:val="NormalWeb"/>
        <w:ind w:left="720"/>
      </w:pPr>
      <w:r w:rsidRPr="009257E7">
        <w:t xml:space="preserve">… </w:t>
      </w:r>
      <w:r w:rsidR="00D00121" w:rsidRPr="009257E7">
        <w:t>Los mapas conceptuales son representaciones esquemáticas o gráficas de conceptos o ideas</w:t>
      </w:r>
      <w:r w:rsidRPr="009257E7">
        <w:t>,</w:t>
      </w:r>
      <w:r w:rsidR="00D00121" w:rsidRPr="009257E7">
        <w:t xml:space="preserve"> producidas de manera que se destaquen las conexiones entre distintos aspectos del concepto o idea central</w:t>
      </w:r>
      <w:r w:rsidRPr="009257E7">
        <w:t>,</w:t>
      </w:r>
      <w:r w:rsidR="00D00121" w:rsidRPr="009257E7">
        <w:t xml:space="preserve"> para facilitar el análisis.</w:t>
      </w:r>
    </w:p>
    <w:p w14:paraId="29346099" w14:textId="17AB9D2C" w:rsidR="00D00121" w:rsidRPr="009257E7" w:rsidRDefault="00A634FC" w:rsidP="00A634FC">
      <w:pPr>
        <w:pStyle w:val="NormalWeb"/>
        <w:ind w:left="720"/>
      </w:pPr>
      <w:r w:rsidRPr="009257E7">
        <w:t>Cabe resaltar que,</w:t>
      </w:r>
      <w:r w:rsidR="00D00121" w:rsidRPr="009257E7">
        <w:t xml:space="preserve"> </w:t>
      </w:r>
      <w:r w:rsidRPr="009257E7">
        <w:t>en</w:t>
      </w:r>
      <w:r w:rsidR="00D00121" w:rsidRPr="009257E7">
        <w:t xml:space="preserve"> el contexto de los derechos humanos, el mapeo de conceptos permite la participación activa de comunidades o grupos específicos en el análisis crítico de una situación. El hecho de que el mapeo de conceptos sea un proceso participativo</w:t>
      </w:r>
      <w:r w:rsidRPr="009257E7">
        <w:t xml:space="preserve">… </w:t>
      </w:r>
      <w:r w:rsidR="00D00121" w:rsidRPr="009257E7">
        <w:t xml:space="preserve">facilita el aprendizaje y la comprensión, fomenta el pensamiento crítico y </w:t>
      </w:r>
      <w:r w:rsidRPr="009257E7">
        <w:t>orienta</w:t>
      </w:r>
      <w:r w:rsidR="00D00121" w:rsidRPr="009257E7">
        <w:t xml:space="preserve"> a las comunidades hacia la acción colectiva.</w:t>
      </w:r>
      <w:r w:rsidRPr="009257E7">
        <w:rPr>
          <w:rStyle w:val="FootnoteReference"/>
        </w:rPr>
        <w:footnoteReference w:id="319"/>
      </w:r>
    </w:p>
    <w:p w14:paraId="596A8D45" w14:textId="58A0C91F" w:rsidR="00D00121" w:rsidRPr="009257E7" w:rsidRDefault="00D00121" w:rsidP="00A634FC">
      <w:pPr>
        <w:pStyle w:val="NormalWeb"/>
        <w:ind w:firstLine="720"/>
      </w:pPr>
      <w:r w:rsidRPr="009257E7">
        <w:t xml:space="preserve">De manera similar, el grupo de abogacía Save Wiyabi ofrece un ejemplo </w:t>
      </w:r>
      <w:r w:rsidR="00A634FC" w:rsidRPr="009257E7">
        <w:t>con</w:t>
      </w:r>
      <w:r w:rsidRPr="009257E7">
        <w:t xml:space="preserve"> su Save Wiyabi Map, uno de varios proyectos que muestran los lugares de Estados Unidos y Canadá donde han desaparecido mujeres indígenas, así como las ubicaciones de asesinatos </w:t>
      </w:r>
      <w:r w:rsidR="00A634FC" w:rsidRPr="009257E7">
        <w:t xml:space="preserve">de mujeres indígenas </w:t>
      </w:r>
      <w:r w:rsidRPr="009257E7">
        <w:t>resueltos y no resueltos</w:t>
      </w:r>
      <w:r w:rsidR="00A634FC" w:rsidRPr="009257E7">
        <w:rPr>
          <w:rStyle w:val="FootnoteReference"/>
        </w:rPr>
        <w:footnoteReference w:id="320"/>
      </w:r>
      <w:r w:rsidRPr="009257E7">
        <w:t xml:space="preserve">. Las comunidades indígenas utilizan estos mapas para </w:t>
      </w:r>
      <w:r w:rsidRPr="009257E7">
        <w:lastRenderedPageBreak/>
        <w:t>documentar y combatir los patrones continuos de violencia de género y racializada</w:t>
      </w:r>
      <w:r w:rsidR="00A634FC" w:rsidRPr="009257E7">
        <w:t>,</w:t>
      </w:r>
      <w:r w:rsidRPr="009257E7">
        <w:t xml:space="preserve"> como legado persistente del colonialismo de asentamiento y de sus castas identitarias:</w:t>
      </w:r>
      <w:r w:rsidR="000E1DBB" w:rsidRPr="009257E7">
        <w:rPr>
          <w:rStyle w:val="FootnoteReference"/>
        </w:rPr>
        <w:footnoteReference w:id="321"/>
      </w:r>
    </w:p>
    <w:p w14:paraId="67BA790A" w14:textId="71B81A08" w:rsidR="00D00121" w:rsidRPr="009257E7" w:rsidRDefault="00D00121" w:rsidP="000E1DBB">
      <w:pPr>
        <w:pStyle w:val="NormalWeb"/>
        <w:ind w:left="720"/>
      </w:pPr>
      <w:r w:rsidRPr="009257E7">
        <w:t>Lauren Chief Elk, integrante de las naciones Nakota y Black Feet y cofundadora del “Save Wiyabi Project”</w:t>
      </w:r>
      <w:r w:rsidR="000E1DBB" w:rsidRPr="009257E7">
        <w:t>…</w:t>
      </w:r>
      <w:r w:rsidRPr="009257E7">
        <w:t xml:space="preserve"> afirma: “La violencia contra las mujeres indígenas es el colonialismo de asentamiento en acción, porque se destruyen las tribus al destruir a las mujeres indígenas</w:t>
      </w:r>
      <w:r w:rsidR="000E1DBB" w:rsidRPr="009257E7">
        <w:t xml:space="preserve">… </w:t>
      </w:r>
      <w:r w:rsidRPr="009257E7">
        <w:t>[Los mapas ayudan a documentar la] tasa de violencia, la falta de respuesta y la estructura que permite que [el colonialismo de asentamiento] continúe”.</w:t>
      </w:r>
      <w:r w:rsidR="000E1DBB" w:rsidRPr="009257E7">
        <w:rPr>
          <w:rStyle w:val="FootnoteReference"/>
        </w:rPr>
        <w:footnoteReference w:id="322"/>
      </w:r>
    </w:p>
    <w:p w14:paraId="77C260D4" w14:textId="3F592CB8" w:rsidR="00D00121" w:rsidRPr="009257E7" w:rsidRDefault="00D00121" w:rsidP="000E1DBB">
      <w:pPr>
        <w:pStyle w:val="NormalWeb"/>
        <w:ind w:firstLine="720"/>
      </w:pPr>
      <w:r w:rsidRPr="009257E7">
        <w:t>Como ilustran estos ejemplos, los mapas de conceptos o de problemas combinan conocimiento crítico proveniente de diversas fuentes para documentar las fuentes y los patrones de injusticia</w:t>
      </w:r>
      <w:r w:rsidR="000E1DBB" w:rsidRPr="009257E7">
        <w:t>,</w:t>
      </w:r>
      <w:r w:rsidRPr="009257E7">
        <w:t xml:space="preserve"> y comenzar a elaborar estrategias de solución adaptadas a cada contexto. Este trabajo depende del intercambio de conocimientos e ideas. Al igual que los métodos y las normas, estas cuatro técnicas de mapeo se </w:t>
      </w:r>
      <w:r w:rsidR="000E1DBB" w:rsidRPr="009257E7">
        <w:t>bas</w:t>
      </w:r>
      <w:r w:rsidRPr="009257E7">
        <w:t>an en el profesionalismo colaborativo.</w:t>
      </w:r>
    </w:p>
    <w:p w14:paraId="770989F1" w14:textId="09A2D8B8" w:rsidR="00D00121" w:rsidRPr="009257E7" w:rsidRDefault="000E1DBB" w:rsidP="00D00121">
      <w:pPr>
        <w:pStyle w:val="Heading3"/>
        <w:rPr>
          <w:rFonts w:ascii="Times New Roman" w:hAnsi="Times New Roman" w:cs="Times New Roman"/>
          <w:b/>
          <w:bCs/>
          <w:color w:val="000000" w:themeColor="text1"/>
          <w:sz w:val="24"/>
          <w:szCs w:val="24"/>
        </w:rPr>
      </w:pPr>
      <w:r w:rsidRPr="009257E7">
        <w:rPr>
          <w:rFonts w:ascii="Times New Roman" w:hAnsi="Times New Roman" w:cs="Times New Roman"/>
          <w:b/>
          <w:bCs/>
          <w:color w:val="000000" w:themeColor="text1"/>
          <w:sz w:val="24"/>
          <w:szCs w:val="24"/>
        </w:rPr>
        <w:t>B. Mapeo de activos</w:t>
      </w:r>
    </w:p>
    <w:p w14:paraId="43FDD62A" w14:textId="17168C29" w:rsidR="00D00121" w:rsidRPr="009257E7" w:rsidRDefault="00D00121" w:rsidP="000E1DBB">
      <w:pPr>
        <w:pStyle w:val="NormalWeb"/>
        <w:ind w:firstLine="720"/>
      </w:pPr>
      <w:r w:rsidRPr="009257E7">
        <w:t xml:space="preserve">A partir del mapeo de conceptos, el mapeo de activos constituye una herramienta práctica para visualizar de manera creativa el “poder” </w:t>
      </w:r>
      <w:r w:rsidR="000E1DBB" w:rsidRPr="009257E7">
        <w:t>en</w:t>
      </w:r>
      <w:r w:rsidRPr="009257E7">
        <w:t xml:space="preserve"> comunidades afectadas por problemas sociales persistentes. Los activos —al igual que el poder y los intereses— adoptan muchas formas; pueden ser individuales </w:t>
      </w:r>
      <w:r w:rsidR="000E1DBB" w:rsidRPr="009257E7">
        <w:t>o</w:t>
      </w:r>
      <w:r w:rsidRPr="009257E7">
        <w:t xml:space="preserve"> colectivos, materiales </w:t>
      </w:r>
      <w:r w:rsidR="000E1DBB" w:rsidRPr="009257E7">
        <w:t>o</w:t>
      </w:r>
      <w:r w:rsidRPr="009257E7">
        <w:t xml:space="preserve"> intangibles, entre otras posibilidades. Por tanto, los grupos mapean activos mediante el inventario de recursos comunitarios, como las destrezas que las personas han adquirido a través de su participación en el trabajo, organizaciones de fe u otras experiencias de vida, y mediante la evaluación de la presencia de grupos comunitarios, agencias de servicios sociales, empresas, grupos de fe y otras entidades dentro de una comunidad definida geográfica</w:t>
      </w:r>
      <w:r w:rsidR="000E1DBB" w:rsidRPr="009257E7">
        <w:t>mente</w:t>
      </w:r>
      <w:r w:rsidRPr="009257E7">
        <w:t xml:space="preserve"> o étnicamente. Con el tiempo, las herramientas de mapeo de activos permiten que los grupos eviten </w:t>
      </w:r>
      <w:r w:rsidR="000E1DBB" w:rsidRPr="009257E7">
        <w:t>centrarse</w:t>
      </w:r>
      <w:r w:rsidRPr="009257E7">
        <w:t xml:space="preserve"> exclusivamente en necesidades, problemas y deficiencias y, en cambio, </w:t>
      </w:r>
      <w:r w:rsidR="000E1DBB" w:rsidRPr="009257E7">
        <w:t>se</w:t>
      </w:r>
      <w:r w:rsidRPr="009257E7">
        <w:t xml:space="preserve"> conect</w:t>
      </w:r>
      <w:r w:rsidR="000E1DBB" w:rsidRPr="009257E7">
        <w:t>en</w:t>
      </w:r>
      <w:r w:rsidRPr="009257E7">
        <w:t xml:space="preserve"> de manera efectiva con los recursos o activos de la comunidad local”</w:t>
      </w:r>
      <w:r w:rsidR="000E1DBB" w:rsidRPr="009257E7">
        <w:rPr>
          <w:rStyle w:val="FootnoteReference"/>
        </w:rPr>
        <w:footnoteReference w:id="323"/>
      </w:r>
      <w:r w:rsidRPr="009257E7">
        <w:t>.</w:t>
      </w:r>
    </w:p>
    <w:p w14:paraId="7C0DED95" w14:textId="77777777" w:rsidR="00D00121" w:rsidRPr="009257E7" w:rsidRDefault="00D00121" w:rsidP="000E1DBB">
      <w:pPr>
        <w:pStyle w:val="NormalWeb"/>
        <w:ind w:firstLine="720"/>
      </w:pPr>
      <w:r w:rsidRPr="009257E7">
        <w:t>El Southern Poverty Law Center señala que el mapeo de activos comunitarios es un método para “descubrir las fortalezas ocultas de su comunidad”:</w:t>
      </w:r>
    </w:p>
    <w:p w14:paraId="3D6075A6" w14:textId="530C6146" w:rsidR="00D00121" w:rsidRPr="009257E7" w:rsidRDefault="00D00121" w:rsidP="000E1DBB">
      <w:pPr>
        <w:pStyle w:val="NormalWeb"/>
        <w:ind w:left="720"/>
      </w:pPr>
      <w:r w:rsidRPr="009257E7">
        <w:t xml:space="preserve">El mapeo de activos comunitarios rechaza </w:t>
      </w:r>
      <w:r w:rsidR="000E1DBB" w:rsidRPr="009257E7">
        <w:t>la</w:t>
      </w:r>
      <w:r w:rsidRPr="009257E7">
        <w:t xml:space="preserve"> </w:t>
      </w:r>
      <w:r w:rsidR="000E1DBB" w:rsidRPr="009257E7">
        <w:t>práctica</w:t>
      </w:r>
      <w:r w:rsidRPr="009257E7">
        <w:t xml:space="preserve"> de describir las comunidades mediante una lista de sus problemas. Con demasiada frecuencia, los vecindarios y las comunidades cuyos niños están involucrados en el sistema de justicia juvenil se definen únicamente por sus necesidades. El desempleo, el abuso de drogas, las escuelas </w:t>
      </w:r>
      <w:r w:rsidRPr="009257E7">
        <w:lastRenderedPageBreak/>
        <w:t>deficientes e inefectivas, la delincuencia y la pobreza suelen considerarse características definitorias de las comunidades en las que viven muches de nuestres niñes.</w:t>
      </w:r>
    </w:p>
    <w:p w14:paraId="388E3932" w14:textId="32248F74" w:rsidR="00D00121" w:rsidRPr="009257E7" w:rsidRDefault="00D00121" w:rsidP="000E1DBB">
      <w:pPr>
        <w:pStyle w:val="NormalWeb"/>
        <w:ind w:left="720"/>
      </w:pPr>
      <w:r w:rsidRPr="009257E7">
        <w:t xml:space="preserve">En lugar de centrarse en las deficiencias, el mapeo de activos comunitarios se </w:t>
      </w:r>
      <w:r w:rsidR="000E1DBB" w:rsidRPr="009257E7">
        <w:t>enfoc</w:t>
      </w:r>
      <w:r w:rsidRPr="009257E7">
        <w:t xml:space="preserve">a en la riqueza oculta </w:t>
      </w:r>
      <w:r w:rsidR="000E1DBB" w:rsidRPr="009257E7">
        <w:t>presen</w:t>
      </w:r>
      <w:r w:rsidRPr="009257E7">
        <w:t>te en todas las comunidades. Las iglesias, las empresas locales, las organizaciones sin fines de lucro, las asociaciones voluntarias y los parques son activos que ofrecen recursos valiosos. Les jubilades, artistas, músiques y residentes jóvenes y adultes comunes pueden aportar sus dones y pasiones individuales.</w:t>
      </w:r>
    </w:p>
    <w:p w14:paraId="43350F7A" w14:textId="13775BCA" w:rsidR="00D00121" w:rsidRPr="009257E7" w:rsidRDefault="00D00121" w:rsidP="00F84B54">
      <w:pPr>
        <w:pStyle w:val="NormalWeb"/>
        <w:ind w:left="720"/>
      </w:pPr>
      <w:r w:rsidRPr="009257E7">
        <w:t xml:space="preserve">Muchos de los recursos que existen </w:t>
      </w:r>
      <w:r w:rsidR="00F84B54" w:rsidRPr="009257E7">
        <w:t>en comunidades de bajos ingresos han pasado inadvertidos tanto para los gobiernos como para las personas interesadas en fortalecerlas.</w:t>
      </w:r>
      <w:r w:rsidRPr="009257E7">
        <w:t xml:space="preserve"> Los gobiernos y las agencias estatales tienden a considerar a les residentes de vecindarios de bajos ingresos como consumidores de recursos. Se les percibe como personas a quienes las agencias estatales deben proveer recursos, no como personas capaces de aportar a sus vecinos. Estas perspectivas tradicionales no dejan espacio para que les residentes den un paso al frente, actúen de manera proactiva o asuman el control de sus comunidades</w:t>
      </w:r>
      <w:r w:rsidR="00F84B54" w:rsidRPr="009257E7">
        <w:t>…</w:t>
      </w:r>
    </w:p>
    <w:p w14:paraId="659F8CC4" w14:textId="32803EAA" w:rsidR="00D00121" w:rsidRPr="009257E7" w:rsidRDefault="00D00121" w:rsidP="00F84B54">
      <w:pPr>
        <w:pStyle w:val="NormalWeb"/>
        <w:ind w:left="720"/>
      </w:pPr>
      <w:r w:rsidRPr="009257E7">
        <w:t xml:space="preserve">El mapeo de activos comunitarios invierte por completo esta perspectiva tradicional. En lugar de </w:t>
      </w:r>
      <w:r w:rsidR="00F84B54" w:rsidRPr="009257E7">
        <w:t xml:space="preserve">considerarlos </w:t>
      </w:r>
      <w:r w:rsidRPr="009257E7">
        <w:t>consumidores de recursos, se considera a l</w:t>
      </w:r>
      <w:r w:rsidR="00F84B54" w:rsidRPr="009257E7">
        <w:t>o</w:t>
      </w:r>
      <w:r w:rsidRPr="009257E7">
        <w:t>s residentes como posibles productores de recursos.</w:t>
      </w:r>
      <w:r w:rsidR="00F84B54" w:rsidRPr="009257E7">
        <w:rPr>
          <w:rStyle w:val="FootnoteReference"/>
        </w:rPr>
        <w:footnoteReference w:id="324"/>
      </w:r>
    </w:p>
    <w:p w14:paraId="34E8260D" w14:textId="467576F6" w:rsidR="00D00121" w:rsidRPr="009257E7" w:rsidRDefault="00D00121" w:rsidP="00F84B54">
      <w:pPr>
        <w:pStyle w:val="NormalWeb"/>
        <w:ind w:firstLine="720"/>
      </w:pPr>
      <w:r w:rsidRPr="009257E7">
        <w:t xml:space="preserve">El mapeo de activos reconoce que todes quienes están abajo poseen fortalezas —activos— que les otorgan </w:t>
      </w:r>
      <w:r w:rsidR="00F84B54" w:rsidRPr="009257E7">
        <w:t xml:space="preserve">la </w:t>
      </w:r>
      <w:r w:rsidRPr="009257E7">
        <w:t xml:space="preserve">capacidad </w:t>
      </w:r>
      <w:r w:rsidR="00F84B54" w:rsidRPr="009257E7">
        <w:t>de</w:t>
      </w:r>
      <w:r w:rsidRPr="009257E7">
        <w:t xml:space="preserve"> producir cambios. Las personas y los grupos organizados </w:t>
      </w:r>
      <w:r w:rsidR="00F84B54" w:rsidRPr="009257E7">
        <w:t>aprovech</w:t>
      </w:r>
      <w:r w:rsidRPr="009257E7">
        <w:t xml:space="preserve">an todas las fuentes de fortaleza ya presentes </w:t>
      </w:r>
      <w:r w:rsidR="00F84B54" w:rsidRPr="009257E7">
        <w:t>en</w:t>
      </w:r>
      <w:r w:rsidRPr="009257E7">
        <w:t xml:space="preserve"> las comunidades subordinadas. A la inversa, el mapeo de activos también puede ayudar a les abogades a identificar dónde las comunidades carecen de activos —sus debilidades relativas— para minimizarlas o encontrar maneras de sortearlas. De este modo, mapear los activos después de mapear los problemas ayuda a les abogades a determinar los cursos de acción organizados, coordinados y desde abajo que resulten más eficientes para lograr el máximo impacto en los tres niveles.</w:t>
      </w:r>
      <w:r w:rsidR="00F84B54" w:rsidRPr="009257E7">
        <w:t xml:space="preserve"> </w:t>
      </w:r>
    </w:p>
    <w:p w14:paraId="3576A43A" w14:textId="67923D3E" w:rsidR="00F84B54" w:rsidRPr="009257E7" w:rsidRDefault="00F84B54" w:rsidP="00F84B54">
      <w:pPr>
        <w:rPr>
          <w:rFonts w:ascii="Times New Roman" w:hAnsi="Times New Roman" w:cs="Times New Roman"/>
          <w:b/>
          <w:bCs/>
        </w:rPr>
      </w:pPr>
      <w:r w:rsidRPr="009257E7">
        <w:rPr>
          <w:rFonts w:ascii="Times New Roman" w:hAnsi="Times New Roman" w:cs="Times New Roman"/>
          <w:b/>
          <w:bCs/>
        </w:rPr>
        <w:t>C. Mapeo de partes interesadas</w:t>
      </w:r>
    </w:p>
    <w:p w14:paraId="23871758" w14:textId="77777777" w:rsidR="00F84B54" w:rsidRPr="009257E7" w:rsidRDefault="00F84B54" w:rsidP="00F84B54">
      <w:pPr>
        <w:pStyle w:val="NormalWeb"/>
        <w:ind w:firstLine="720"/>
      </w:pPr>
      <w:r w:rsidRPr="009257E7">
        <w:t xml:space="preserve">El tercer tipo de mapeo importante para la solución de problemas sistémicos se centra en el análisis de las partes interesadas, que utiliza técnicas de mapeo para desarrollar información proveniente de un conjunto amplio de grupos o personas, y acerca de ellos, que tengan la capacidad o el interés de influir en los resultados. Esta técnica incluye el mapeo de quienes resultan afectades por un problema social, pero también de otras personas que podrían verse afectadas por posibles soluciones o, de algún modo, por la abogacía necesaria para lograr soluciones sistémicas; en otras palabras, cualquier persona que pueda tener un interés en preservar o modificar el </w:t>
      </w:r>
      <w:r w:rsidRPr="009257E7">
        <w:rPr>
          <w:rStyle w:val="Emphasis"/>
        </w:rPr>
        <w:t>statu quo</w:t>
      </w:r>
      <w:r w:rsidRPr="009257E7">
        <w:t xml:space="preserve"> dentro de un contexto sistémico determinado. El objetivo consiste en mapear el conjunto de grupos y personas afectados por la aprobación o el rechazo de </w:t>
      </w:r>
      <w:r w:rsidRPr="009257E7">
        <w:lastRenderedPageBreak/>
        <w:t>un objetivo propuesto de cambio social, o que tengan un interés en ello. Les abogades incorporan entonces este conocimiento en las estrategias y los planes de acción.</w:t>
      </w:r>
    </w:p>
    <w:p w14:paraId="10974F62" w14:textId="29299333" w:rsidR="00F84B54" w:rsidRPr="009257E7" w:rsidRDefault="00F84B54" w:rsidP="00F84B54">
      <w:pPr>
        <w:pStyle w:val="NormalWeb"/>
        <w:ind w:firstLine="720"/>
      </w:pPr>
      <w:r w:rsidRPr="009257E7">
        <w:t>En términos generales, además de determinar quiénes constituyen partes interesadas, el mapeo de partes interesadas presenta las relaciones entre estas, así como sus características e intereses, tanto comunes como distintos: por ejemplo, qué tipo de actor representa cada una, cómo le afecta el problema o el cambio que se procura lograr y si probablemente apoyará o se opondrá a ese cambio. Les abogades jurídicos suelen utilizar el análisis de partes interesadas al comienzo de un proceso de planificación para comprender el panorama de los intereses en juego y las relaciones entre quienes los poseen. Por ejemplo, el Ohio Children’s Law Center (CLC) se concentró en las partes interesadas al iniciar un proyecto de justicia juvenil:</w:t>
      </w:r>
    </w:p>
    <w:p w14:paraId="17CD0FDC" w14:textId="4EBA1DE3" w:rsidR="00F84B54" w:rsidRPr="009257E7" w:rsidRDefault="00F84B54" w:rsidP="00F84B54">
      <w:pPr>
        <w:pStyle w:val="NormalWeb"/>
        <w:ind w:left="720"/>
      </w:pPr>
      <w:r w:rsidRPr="009257E7">
        <w:t>El CLC consideró imprescindible iniciar un diálogo directo con quienes trabajaban en el sistema de justicia juvenil para conocer sus necesidades, los desafíos que enfrentaban en ese momento y sus prioridades para la reforma del derecho y de las políticas en el ámbito de la justicia juvenil. Entre febrero y agosto de 2009, se utilizaron grupos focales, entrevistas y encuestas en línea para obtener aportaciones del poder judicial, las fuerzas del orden, padres y madres, jóvenes, abogades y oficiales de libertad condicional y de programas de desvío —denominados colectivamente partes interesadas—.</w:t>
      </w:r>
      <w:r w:rsidRPr="009257E7">
        <w:rPr>
          <w:rStyle w:val="FootnoteReference"/>
        </w:rPr>
        <w:footnoteReference w:id="325"/>
      </w:r>
    </w:p>
    <w:p w14:paraId="30E639AC" w14:textId="652BDC4E" w:rsidR="00F84B54" w:rsidRPr="009257E7" w:rsidRDefault="00F84B54" w:rsidP="00F84B54">
      <w:pPr>
        <w:pStyle w:val="NormalWeb"/>
        <w:ind w:firstLine="720"/>
      </w:pPr>
      <w:r w:rsidRPr="009257E7">
        <w:t>Sin embargo, al igual que otros tipos de investigación y análisis, el mapeo de partes interesadas no se limita a las etapas iniciales de un proyecto ni a su planificación. Por el contrario, los resultados del análisis de partes interesadas también pueden mapearse para crear una herramienta dinámica destinada a gestionar relaciones durante un proyecto o una campaña de larga duración, en cuyo transcurso las personalidades, les participantes y las circunstancias pueden fluctuar tanto de manera leve como drástica. Para ilustrar este punto, les académicos del derecho y dirigentes de programas clínicos Jayashri Srikantiah y Janet Martínez explican de manera concreta la importancia del mapeo de partes interesadas para gestionar relaciones clave a lo largo de un proyecto de abogacía:</w:t>
      </w:r>
    </w:p>
    <w:p w14:paraId="0B3F51A8" w14:textId="658998C4" w:rsidR="00F84B54" w:rsidRPr="009257E7" w:rsidRDefault="00F84B54" w:rsidP="00F84B54">
      <w:pPr>
        <w:pStyle w:val="NormalWeb"/>
        <w:ind w:left="720"/>
      </w:pPr>
      <w:r w:rsidRPr="009257E7">
        <w:t xml:space="preserve">Los asuntos jurídicos de clientes organizacionales suelen ser bastante complejos, durar muchos años e involucrar múltiples modalidades de abogacía, niveles altos de conocimientos especializados y numerosos actores —tanto colaboradores como adversarios—… La representación de organizaciones implica interacciones con una variedad de personas y entidades externas a la organización, incluidas otras organizaciones del mismo campo, partes adversarias, responsables de la toma de decisiones —incluidos los jueces—, organismos reguladores y financiadores. Si la organización trabaja en coalición con otras entidades sin fines de lucro, probablemente mantenga relaciones de larga duración con grupos comunitarios, organizaciones de asistencia jurídica, funcionarios electos, fuerzas del orden y otras entidades. La representación de clientes institucionales también comprende interacciones con personas dentro de la organización: el personal, la junta directiva, la dirección ejecutiva y otras. </w:t>
      </w:r>
      <w:r w:rsidRPr="009257E7">
        <w:lastRenderedPageBreak/>
        <w:t>Consideramos que, para representar con éxito a un cliente institucional, les estudiantes deben conocer las diversas partes interesadas dentro y fuera de la organización.</w:t>
      </w:r>
      <w:r w:rsidRPr="009257E7">
        <w:rPr>
          <w:rStyle w:val="FootnoteReference"/>
        </w:rPr>
        <w:footnoteReference w:id="326"/>
      </w:r>
    </w:p>
    <w:p w14:paraId="172C492A" w14:textId="08FD0D7A" w:rsidR="00F84B54" w:rsidRPr="009257E7" w:rsidRDefault="00F84B54" w:rsidP="00F84B54">
      <w:pPr>
        <w:pStyle w:val="NormalWeb"/>
        <w:ind w:firstLine="720"/>
      </w:pPr>
      <w:r w:rsidRPr="009257E7">
        <w:t>Por tanto, el mapeo de partes interesadas —al igual que el mapeo de activos— no solo capta una representación de los intereses existentes y de quienes los poseen, sino también la manera de gestionarlos de forma dinámica y estratégica para lograr, a lo largo del tiempo y aprovechando el tiempo de manera estratégica, soluciones de tres niveles en diversos contextos de resolución de problemas.</w:t>
      </w:r>
    </w:p>
    <w:p w14:paraId="18FF8D67" w14:textId="1EE9B96A" w:rsidR="00F84B54" w:rsidRPr="009257E7" w:rsidRDefault="00F84B54" w:rsidP="00F84B54">
      <w:pPr>
        <w:pStyle w:val="NormalWeb"/>
        <w:ind w:firstLine="720"/>
      </w:pPr>
      <w:r w:rsidRPr="009257E7">
        <w:t>Además, al igual que otros tipos de mapeo —y que la abogacía efectiva en general—, el análisis de partes interesadas debe adaptarse a un contexto sistémico particular. En el Reino Unido, por ejemplo, académicos y abogades preocupades por proteger a personas LGBTQ de la violencia han utilizado el análisis de partes interesadas para identificar tres tipos distintos de partes interesadas</w:t>
      </w:r>
      <w:r w:rsidRPr="009257E7">
        <w:rPr>
          <w:rStyle w:val="FootnoteReference"/>
        </w:rPr>
        <w:footnoteReference w:id="327"/>
      </w:r>
      <w:r w:rsidRPr="009257E7">
        <w:t>. En este ejemplo, los tres tipos incluyen “partes interesadas primarias”, que tienen un interés personal en la seguridad de las personas y los grupos LGBTQ; “partes interesadas con obligaciones”, responsables de proporcionar servicios de protección, como jueces y tribunales o fuerzas internacionales de mantenimiento de la paz; y “partes interesadas clave”, es decir, aliades que podrían ejercer presión sobre las partes interesadas con obligaciones</w:t>
      </w:r>
      <w:r w:rsidR="00623048" w:rsidRPr="009257E7">
        <w:t>,</w:t>
      </w:r>
      <w:r w:rsidRPr="009257E7">
        <w:t xml:space="preserve"> si estas no protegen de manera efectiva a las personas LGBTQ o a quienes las defienden. Les abogades representan entonces a las partes interesadas en una matriz de protección y especifican los objetivos e intereses de cada una, entre otras características pertinentes al contexto. </w:t>
      </w:r>
      <w:r w:rsidR="00623048" w:rsidRPr="009257E7">
        <w:t>Como resultado, e</w:t>
      </w:r>
      <w:r w:rsidRPr="009257E7">
        <w:t>l mapa visual permite a les abogades decidir cómo aplicar tanto la persuasión como la coerción para motivar a diversas partes interesadas a utilizar su poder, privilegio o influencia</w:t>
      </w:r>
      <w:r w:rsidR="00D33C81" w:rsidRPr="009257E7">
        <w:t xml:space="preserve">, con el </w:t>
      </w:r>
      <w:r w:rsidRPr="009257E7">
        <w:t xml:space="preserve">fin de alcanzar los objetivos de la abogacía </w:t>
      </w:r>
      <w:r w:rsidR="00D33C81" w:rsidRPr="009257E7">
        <w:t>en</w:t>
      </w:r>
      <w:r w:rsidRPr="009257E7">
        <w:t xml:space="preserve"> ese contexto sistémico o escenario de abogacía. De este modo, mapear las partes interesadas en relación con los problemas y los activos ya mapeados ayuda a los grupos y a les abogades que los apoyan a elaborar planes de acción prácticos, específicos y de tres niveles que, además, estén basados en principios y sujetos a rendición de cuentas.</w:t>
      </w:r>
    </w:p>
    <w:p w14:paraId="1EE0644A" w14:textId="77A9A2A6" w:rsidR="00F84B54" w:rsidRPr="009257E7" w:rsidRDefault="00D33C81" w:rsidP="00D33C81">
      <w:pPr>
        <w:rPr>
          <w:rFonts w:ascii="Times New Roman" w:hAnsi="Times New Roman" w:cs="Times New Roman"/>
          <w:b/>
          <w:bCs/>
        </w:rPr>
      </w:pPr>
      <w:r w:rsidRPr="009257E7">
        <w:rPr>
          <w:rFonts w:ascii="Times New Roman" w:hAnsi="Times New Roman" w:cs="Times New Roman"/>
          <w:b/>
          <w:bCs/>
        </w:rPr>
        <w:t>D. Mapeo de poder</w:t>
      </w:r>
    </w:p>
    <w:p w14:paraId="21742362" w14:textId="071F3750" w:rsidR="00F84B54" w:rsidRPr="009257E7" w:rsidRDefault="00F84B54" w:rsidP="00D33C81">
      <w:pPr>
        <w:pStyle w:val="NormalWeb"/>
        <w:ind w:firstLine="720"/>
      </w:pPr>
      <w:r w:rsidRPr="009257E7">
        <w:t>Por último, el cuarto tipo de mapeo que examinamos aquí es el de poder, que se c</w:t>
      </w:r>
      <w:r w:rsidR="00D33C81" w:rsidRPr="009257E7">
        <w:t>entra</w:t>
      </w:r>
      <w:r w:rsidRPr="009257E7">
        <w:t xml:space="preserve"> específica</w:t>
      </w:r>
      <w:r w:rsidR="00D33C81" w:rsidRPr="009257E7">
        <w:t>mente</w:t>
      </w:r>
      <w:r w:rsidRPr="009257E7">
        <w:t xml:space="preserve"> en los responsables reales de la toma de decisiones. Los responsables clave de la toma de decisiones dentro de un contexto o escenario determinado pueden representar una autoridad formal —la persona electa como dirigente o el alto ejecutivo de una corporación— o una autoridad informal —un cabildero, dirigente informal o integrante del personal que orienta la toma de decisiones de quienes poseen autoridad formal—, o bien cualquier otra persona que pueda influir, directa o indirectamente, en actos discrecionales dotados de autoridad</w:t>
      </w:r>
      <w:r w:rsidR="00D33C81" w:rsidRPr="009257E7">
        <w:rPr>
          <w:rStyle w:val="FootnoteReference"/>
        </w:rPr>
        <w:footnoteReference w:id="328"/>
      </w:r>
      <w:r w:rsidRPr="009257E7">
        <w:t>.</w:t>
      </w:r>
      <w:r w:rsidR="00D33C81" w:rsidRPr="009257E7">
        <w:t xml:space="preserve"> </w:t>
      </w:r>
      <w:r w:rsidRPr="009257E7">
        <w:t>Como vimos en el ejemplo anterior del Reino Unido, estas personas pueden incluir partes interesadas</w:t>
      </w:r>
      <w:r w:rsidR="00D33C81" w:rsidRPr="009257E7">
        <w:t>, es decir,</w:t>
      </w:r>
      <w:r w:rsidRPr="009257E7">
        <w:t xml:space="preserve"> quienes tienen el deber o la autoridad </w:t>
      </w:r>
      <w:r w:rsidR="00D33C81" w:rsidRPr="009257E7">
        <w:t>para</w:t>
      </w:r>
      <w:r w:rsidRPr="009257E7">
        <w:t xml:space="preserve"> decidir y actuar. Al igual que los activos y </w:t>
      </w:r>
      <w:r w:rsidRPr="009257E7">
        <w:lastRenderedPageBreak/>
        <w:t xml:space="preserve">las partes interesadas, los responsables de la toma de decisiones y su poder adoptan múltiples formas y siempre se mapean </w:t>
      </w:r>
      <w:r w:rsidR="00D33C81" w:rsidRPr="009257E7">
        <w:t>en</w:t>
      </w:r>
      <w:r w:rsidRPr="009257E7">
        <w:t xml:space="preserve"> su contexto para elaborar planes y acciones de tres niveles.</w:t>
      </w:r>
    </w:p>
    <w:p w14:paraId="7F7E186D" w14:textId="38FD6525" w:rsidR="00F84B54" w:rsidRPr="009257E7" w:rsidRDefault="00F84B54" w:rsidP="00D33C81">
      <w:pPr>
        <w:pStyle w:val="NormalWeb"/>
        <w:ind w:firstLine="720"/>
      </w:pPr>
      <w:r w:rsidRPr="009257E7">
        <w:t xml:space="preserve">Considere cómo el académico de estudios laborales Tom Juravich describe el mapeo de poder para diseñar </w:t>
      </w:r>
      <w:r w:rsidR="00D33C81" w:rsidRPr="009257E7">
        <w:t>de manera creativa</w:t>
      </w:r>
      <w:r w:rsidRPr="009257E7">
        <w:t xml:space="preserve"> una campaña destinada a presionar a </w:t>
      </w:r>
      <w:r w:rsidR="00D33C81" w:rsidRPr="009257E7">
        <w:t xml:space="preserve">los </w:t>
      </w:r>
      <w:r w:rsidRPr="009257E7">
        <w:t>responsables corporativos de la toma de decisiones. Emmett Boyle era el director ejecutivo de Ravenswood Aluminum durante una campaña internacional de organización dirigida por el sindicato U.S. Steelworkers International Union</w:t>
      </w:r>
      <w:r w:rsidR="00D33C81" w:rsidRPr="009257E7">
        <w:rPr>
          <w:rStyle w:val="FootnoteReference"/>
        </w:rPr>
        <w:footnoteReference w:id="329"/>
      </w:r>
      <w:r w:rsidRPr="009257E7">
        <w:t>. Después de realizar un análisis para determinar quién “realmente” decidía los resultados, el sindicato descubrió que “Boyle era poco más que un títere y que la empresa estaba controlada por Marc Rich, un financista radicado en Suiza”</w:t>
      </w:r>
      <w:r w:rsidR="00D33C81" w:rsidRPr="009257E7">
        <w:rPr>
          <w:rStyle w:val="FootnoteReference"/>
        </w:rPr>
        <w:footnoteReference w:id="330"/>
      </w:r>
      <w:r w:rsidRPr="009257E7">
        <w:t>. El mapa de poder se centró en Marc Rich en relación con Emmett Boyle. Esta técnica de mapeo permitió a les abogades determinar cómo motivar a Rich para que, a su vez, motivara a Boyle.</w:t>
      </w:r>
    </w:p>
    <w:p w14:paraId="237C05C9" w14:textId="291C2D2A" w:rsidR="00F84B54" w:rsidRPr="009257E7" w:rsidRDefault="00F84B54" w:rsidP="00D33C81">
      <w:pPr>
        <w:pStyle w:val="NormalWeb"/>
        <w:ind w:firstLine="720"/>
      </w:pPr>
      <w:r w:rsidRPr="009257E7">
        <w:t xml:space="preserve">El mapeo de poder, al igual que otros tipos de mapeo, puede ir desde lo sencillo hasta lo sumamente complejo. El mapeo sencillo del poder corporativo “implica colocar a la empresa a la que se dirige la acción en el centro de una página y luego realizar una lluvia de ideas sobre todas las conexiones posibles con la alta gerencia, </w:t>
      </w:r>
      <w:r w:rsidR="00D33C81" w:rsidRPr="009257E7">
        <w:t xml:space="preserve">los </w:t>
      </w:r>
      <w:r w:rsidRPr="009257E7">
        <w:t xml:space="preserve">integrantes de la junta directiva, </w:t>
      </w:r>
      <w:r w:rsidR="00D33C81" w:rsidRPr="009257E7">
        <w:t xml:space="preserve">los </w:t>
      </w:r>
      <w:r w:rsidRPr="009257E7">
        <w:t>clientes,</w:t>
      </w:r>
      <w:r w:rsidR="00D33C81" w:rsidRPr="009257E7">
        <w:t xml:space="preserve"> los</w:t>
      </w:r>
      <w:r w:rsidRPr="009257E7">
        <w:t xml:space="preserve"> grupos comunitarios y otros actores similares”</w:t>
      </w:r>
      <w:r w:rsidR="00D33C81" w:rsidRPr="009257E7">
        <w:rPr>
          <w:rStyle w:val="FootnoteReference"/>
        </w:rPr>
        <w:footnoteReference w:id="331"/>
      </w:r>
      <w:r w:rsidRPr="009257E7">
        <w:t>. Un modelo más sofisticado se basa en el mismo principio:</w:t>
      </w:r>
    </w:p>
    <w:p w14:paraId="67F6B0FB" w14:textId="2B14A686" w:rsidR="00F84B54" w:rsidRPr="009257E7" w:rsidRDefault="00F84B54" w:rsidP="00D33C81">
      <w:pPr>
        <w:pStyle w:val="NormalWeb"/>
        <w:ind w:left="720"/>
      </w:pPr>
      <w:r w:rsidRPr="009257E7">
        <w:t xml:space="preserve">[Primero,] distingue </w:t>
      </w:r>
      <w:r w:rsidR="00D33C81" w:rsidRPr="009257E7">
        <w:t xml:space="preserve">entre </w:t>
      </w:r>
      <w:r w:rsidRPr="009257E7">
        <w:t>lo que se encuentra dentro y</w:t>
      </w:r>
      <w:r w:rsidR="00D33C81" w:rsidRPr="009257E7">
        <w:t xml:space="preserve"> lo que se encuentra</w:t>
      </w:r>
      <w:r w:rsidRPr="009257E7">
        <w:t xml:space="preserve"> fuera del empleador al que se dirige la acción. También distingue entre tres niveles: mando y control, operaciones y partes interesadas externas. Finalmente, en lugar de simplemente ofrecer un espacio en blanco, [les investigadores] procuraron elaborar una lista exhaustiva de las áreas básicas de la investigación estratégica corporativa.</w:t>
      </w:r>
      <w:r w:rsidR="00D33C81" w:rsidRPr="009257E7">
        <w:rPr>
          <w:rStyle w:val="FootnoteReference"/>
        </w:rPr>
        <w:footnoteReference w:id="332"/>
      </w:r>
    </w:p>
    <w:p w14:paraId="7DF07987" w14:textId="0FD39E8D" w:rsidR="00F84B54" w:rsidRPr="009257E7" w:rsidRDefault="00F84B54" w:rsidP="00D33C81">
      <w:pPr>
        <w:pStyle w:val="NormalWeb"/>
        <w:ind w:firstLine="720"/>
      </w:pPr>
      <w:r w:rsidRPr="009257E7">
        <w:t>Esta lista puede incluir información básica de la empresa; productos; instalaciones; fuerza laboral; información financiera; historia; estrategia; administración; accionistas/inversionistas; junta directiva; prestamistas; empresa matriz; subsidiarias; competidores; proveedores de materias primas, suministros o servicios; componentes de transporte y distribución; sistemas de adquisición; servicios públicos; clientes; asuntos de seguridad y salud; asuntos ambientales; otras relaciones regulatorias o jurídicas; conexiones comunitarias; y vínculos políticos</w:t>
      </w:r>
      <w:r w:rsidR="00D33C81" w:rsidRPr="009257E7">
        <w:rPr>
          <w:rStyle w:val="FootnoteReference"/>
        </w:rPr>
        <w:footnoteReference w:id="333"/>
      </w:r>
      <w:r w:rsidRPr="009257E7">
        <w:t>. Esta lista es ilustrativa, no exhaustiva. Aunque la tarea puede resultar onerosa, todas las preguntas pertinentes al contexto se investigan y analizan de manera exhaustiva para garantizar una base sólida para los diagnósticos y las estrategias.</w:t>
      </w:r>
    </w:p>
    <w:p w14:paraId="0D7322E9" w14:textId="5B29FEAE" w:rsidR="00F84B54" w:rsidRPr="009257E7" w:rsidRDefault="00F84B54" w:rsidP="00D33C81">
      <w:pPr>
        <w:pStyle w:val="NormalWeb"/>
        <w:ind w:firstLine="720"/>
      </w:pPr>
      <w:r w:rsidRPr="009257E7">
        <w:t xml:space="preserve">Les abogades pueden complementar este mapeo de las relaciones de poder mediante investigación estratégica adicional centrada en acuerdos o relaciones jurídicas, requisitos o autorizaciones regulatorias y </w:t>
      </w:r>
      <w:r w:rsidR="00D33C81" w:rsidRPr="009257E7">
        <w:t xml:space="preserve">en </w:t>
      </w:r>
      <w:r w:rsidRPr="009257E7">
        <w:t xml:space="preserve">cualquier aspecto jurídico del plan de acción. Sin embargo, para </w:t>
      </w:r>
      <w:r w:rsidRPr="009257E7">
        <w:lastRenderedPageBreak/>
        <w:t>brindar este apoyo, les abogades y estudiantes de derecho también —o primero— pueden necesitar aprender destrezas de investigación más amplias, como las analizadas anteriormente, para llevar a cabo con mayor capacidad investigaciones estratégicas corporativas u otros tipos de investigación crítica</w:t>
      </w:r>
      <w:r w:rsidR="00D33C81" w:rsidRPr="009257E7">
        <w:rPr>
          <w:rStyle w:val="FootnoteReference"/>
        </w:rPr>
        <w:footnoteReference w:id="334"/>
      </w:r>
      <w:r w:rsidRPr="009257E7">
        <w:t>. De ser así, mediante un proceso de revisión, análisis y reconceptualización de los datos brutos, los grupos y les abogades comienzan a identificar los “centros de ganancias, el plan de crecimiento, los responsables de la toma de decisiones y las relaciones clave”</w:t>
      </w:r>
      <w:r w:rsidR="00D33C81" w:rsidRPr="009257E7">
        <w:rPr>
          <w:rStyle w:val="FootnoteReference"/>
        </w:rPr>
        <w:footnoteReference w:id="335"/>
      </w:r>
      <w:r w:rsidRPr="009257E7">
        <w:t xml:space="preserve"> más pertinentes para las soluciones necesarias. Durante este proceso, les abogades pueden identificar tanto los vínculos fuertes como los débiles dentro de las redes de las élites para planificar acciones y dirigir intervenciones. Este tipo de mapeo amplio y detallado del poder y de las relaciones permite a les abogades utilizar con gran precisión la persuasión y la presión para incentivar —y defender— avances en los tres niveles.</w:t>
      </w:r>
    </w:p>
    <w:p w14:paraId="150F09A8" w14:textId="2F443E79" w:rsidR="00F84B54" w:rsidRPr="009257E7" w:rsidRDefault="00F84B54" w:rsidP="00D33C81">
      <w:pPr>
        <w:pStyle w:val="NormalWeb"/>
        <w:ind w:firstLine="720"/>
      </w:pPr>
      <w:r w:rsidRPr="009257E7">
        <w:t>Como señalamos anteriormente, el mapeo de poder, al igual que otras técnicas de mapeo, puede abarcar desde métodos de baja tecnología —como dibujar un gráfico sencillo en el que un eje indique el grado de importancia que tienen determinadas personas o entidades respecto de un asunto y el otro represente su nivel de apoyo a los objetivos del cliente o de la comunidad— hasta métodos de tecnología altamente sofisticada. Como ejemplo de este último extremo, LittleSis es una herramienta en línea que recopila información de les abogades, organizadores y activistas que trabajan con problemas en múltiples regiones y luego transforma toda esa información en mapas de múltiples niveles con el propósito de “visualizar redes de influencia”, como las redes de quienes obtienen beneficios de la actividad policial en Ferguson, Misuri, o aquellas que vinculan a la Federal Communications Commission con corporaciones de telecomunicaciones, entre otros ejemplos</w:t>
      </w:r>
      <w:r w:rsidR="00D33C81" w:rsidRPr="009257E7">
        <w:rPr>
          <w:rStyle w:val="FootnoteReference"/>
        </w:rPr>
        <w:footnoteReference w:id="336"/>
      </w:r>
      <w:r w:rsidRPr="009257E7">
        <w:t>. LittleSis explica sus métodos de investigación colaborativa para mapear el poder de esta manera sofisticada, matizada y dirigida:</w:t>
      </w:r>
      <w:r w:rsidR="00D33C81" w:rsidRPr="009257E7">
        <w:t xml:space="preserve"> </w:t>
      </w:r>
    </w:p>
    <w:p w14:paraId="7CF230AB" w14:textId="77777777" w:rsidR="00F84B54" w:rsidRPr="009257E7" w:rsidRDefault="00F84B54" w:rsidP="00D33C81">
      <w:pPr>
        <w:pStyle w:val="NormalWeb"/>
        <w:ind w:left="720"/>
      </w:pPr>
      <w:r w:rsidRPr="009257E7">
        <w:t>La “investigación sobre el poder” es una investigación investigativa que “sigue el dinero” y “conecta los puntos” entre actores clave de la estructura de poder. Por lo general, la realizan activistas, investigadores académicos y periodistas interesades en mapear, cuestionar y comprender los sistemas de poder.</w:t>
      </w:r>
    </w:p>
    <w:p w14:paraId="72420AA0" w14:textId="31D96771" w:rsidR="00F84B54" w:rsidRPr="009257E7" w:rsidRDefault="00F84B54" w:rsidP="00D33C81">
      <w:pPr>
        <w:pStyle w:val="NormalWeb"/>
        <w:ind w:left="720"/>
      </w:pPr>
      <w:r w:rsidRPr="009257E7">
        <w:t xml:space="preserve">La investigación sobre el poder se concentra en redes: personas, organizaciones y sus diversas relaciones empresariales, políticas y personales. También reconoce que la estructura de poder no se limita a las instituciones y personas que, según se nos suele decir, </w:t>
      </w:r>
      <w:r w:rsidR="00D33C81" w:rsidRPr="009257E7">
        <w:t>ejerc</w:t>
      </w:r>
      <w:r w:rsidRPr="009257E7">
        <w:t xml:space="preserve">en poder </w:t>
      </w:r>
      <w:r w:rsidR="00D33C81" w:rsidRPr="009257E7">
        <w:t>en</w:t>
      </w:r>
      <w:r w:rsidRPr="009257E7">
        <w:t xml:space="preserve"> una democracia —por ejemplo, funcionarios electos—. Por el </w:t>
      </w:r>
      <w:r w:rsidRPr="009257E7">
        <w:lastRenderedPageBreak/>
        <w:t xml:space="preserve">contrario, adoptamos una perspectiva más amplia y ascendemos por la cadena de poder para examinar grandes corporaciones, multimillonarios y otras organizaciones y personas que ejercen </w:t>
      </w:r>
      <w:r w:rsidR="00D33C81" w:rsidRPr="009257E7">
        <w:t>una</w:t>
      </w:r>
      <w:r w:rsidRPr="009257E7">
        <w:t xml:space="preserve"> influencia y </w:t>
      </w:r>
      <w:r w:rsidR="00D33C81" w:rsidRPr="009257E7">
        <w:t xml:space="preserve">un </w:t>
      </w:r>
      <w:r w:rsidRPr="009257E7">
        <w:t xml:space="preserve">control </w:t>
      </w:r>
      <w:r w:rsidR="00D33C81" w:rsidRPr="009257E7">
        <w:t>extraordinarios</w:t>
      </w:r>
      <w:r w:rsidRPr="009257E7">
        <w:t xml:space="preserve"> </w:t>
      </w:r>
      <w:r w:rsidR="00D33C81" w:rsidRPr="009257E7">
        <w:t>en</w:t>
      </w:r>
      <w:r w:rsidRPr="009257E7">
        <w:t xml:space="preserve"> nuestra sociedad.</w:t>
      </w:r>
    </w:p>
    <w:p w14:paraId="6A9E9BBA" w14:textId="58A364D2" w:rsidR="00F84B54" w:rsidRPr="009257E7" w:rsidRDefault="00F84B54" w:rsidP="00D33C81">
      <w:pPr>
        <w:pStyle w:val="NormalWeb"/>
        <w:ind w:left="720"/>
      </w:pPr>
      <w:r w:rsidRPr="009257E7">
        <w:t>¿Quién se beneficia? ¿Quién gana? ¿Quién gobierna? ¿Quién tiene reputación de tener poder? Estos “indicadores de poder”</w:t>
      </w:r>
      <w:r w:rsidR="00D33C81" w:rsidRPr="009257E7">
        <w:t xml:space="preserve">… </w:t>
      </w:r>
      <w:r w:rsidRPr="009257E7">
        <w:t>ayudan a orientar la investigación sobre el poder al determinar dónde concentrarse y a quién estudiar.</w:t>
      </w:r>
    </w:p>
    <w:p w14:paraId="61C9154C" w14:textId="51917836" w:rsidR="00F84B54" w:rsidRPr="009257E7" w:rsidRDefault="00D33C81" w:rsidP="00D33C81">
      <w:pPr>
        <w:pStyle w:val="NormalWeb"/>
        <w:ind w:left="720"/>
      </w:pPr>
      <w:r w:rsidRPr="009257E7">
        <w:t>…</w:t>
      </w:r>
      <w:r w:rsidR="00F84B54" w:rsidRPr="009257E7">
        <w:t xml:space="preserve"> Si usted es activista u organizadore, esta investigación puede ayudarle a dar forma a su estrategia e identificar a quién o a qué se enfrenta realmente, o mostrarle cómo obtener capacidad de presión dentro de sus luchas. Dentro de los movimientos sociales, también puede contribuir a los esfuerzos de educación política, ayudando a construir conocimiento colectivo y a </w:t>
      </w:r>
      <w:r w:rsidR="00BC5B2A" w:rsidRPr="009257E7">
        <w:t>analizar</w:t>
      </w:r>
      <w:r w:rsidR="00F84B54" w:rsidRPr="009257E7">
        <w:t xml:space="preserve"> la estructura de poder para que pueda cuestionarse de manera efectiva. Les periodistas realizan con frecuencia investigación sobre el poder para poner al descubierto conflictos de interés y “seguir el dinero”. También puede ayudarles a identificar los asuntos, las personas y las instituciones sobre los que deben informar: no el delincuente de poca monta, sino el bandido multimillonario.</w:t>
      </w:r>
      <w:r w:rsidR="00BC5B2A" w:rsidRPr="009257E7">
        <w:rPr>
          <w:rStyle w:val="FootnoteReference"/>
        </w:rPr>
        <w:footnoteReference w:id="337"/>
      </w:r>
    </w:p>
    <w:p w14:paraId="7A42DF92" w14:textId="58755C8F" w:rsidR="00F84B54" w:rsidRPr="009257E7" w:rsidRDefault="00F84B54" w:rsidP="00BC5B2A">
      <w:pPr>
        <w:pStyle w:val="NormalWeb"/>
        <w:ind w:firstLine="720"/>
      </w:pPr>
      <w:r w:rsidRPr="009257E7">
        <w:t>El mapeo de poder, al igual que los demás métodos, normas y técnicas examinados aquí, tiene una naturaleza práctica. Cada uno y el conjunto ayuda</w:t>
      </w:r>
      <w:r w:rsidR="00BC5B2A" w:rsidRPr="009257E7">
        <w:t>n</w:t>
      </w:r>
      <w:r w:rsidRPr="009257E7">
        <w:t xml:space="preserve"> a les abogades a actuar de maneras basadas en principios, sujetas a rendición de cuentas y efectivas para apoyar luchas organizadas de largo plazo. Estas cuatro técnicas de mapeo contribuyen a aspectos distintos de la solución de problemas y, sin embargo, cada </w:t>
      </w:r>
      <w:r w:rsidR="00BC5B2A" w:rsidRPr="009257E7">
        <w:t>un</w:t>
      </w:r>
      <w:r w:rsidRPr="009257E7">
        <w:t>a se apoya en las demás para superar el Desafío Crítico del derecho y la justicia. Emplean recursos visuales</w:t>
      </w:r>
      <w:r w:rsidR="00BC5B2A" w:rsidRPr="009257E7">
        <w:t>,</w:t>
      </w:r>
      <w:r w:rsidRPr="009257E7">
        <w:t xml:space="preserve"> tanto sencillos como sofisticados</w:t>
      </w:r>
      <w:r w:rsidR="00BC5B2A" w:rsidRPr="009257E7">
        <w:t>,</w:t>
      </w:r>
      <w:r w:rsidRPr="009257E7">
        <w:t xml:space="preserve"> para “conectar los puntos” pertinentes al análisis sistémico. Al igual que los métodos y las normas de investigación crítica, estas técnicas están arraigadas en valores de antisubordinación</w:t>
      </w:r>
      <w:r w:rsidR="00BC5B2A" w:rsidRPr="009257E7">
        <w:t>;</w:t>
      </w:r>
      <w:r w:rsidRPr="009257E7">
        <w:t xml:space="preserve"> se superponen y </w:t>
      </w:r>
      <w:r w:rsidR="00BC5B2A" w:rsidRPr="009257E7">
        <w:t>oper</w:t>
      </w:r>
      <w:r w:rsidRPr="009257E7">
        <w:t>an de manera continua para orientar las decisiones de abogacía</w:t>
      </w:r>
      <w:r w:rsidR="00BC5B2A" w:rsidRPr="009257E7">
        <w:t>,</w:t>
      </w:r>
      <w:r w:rsidRPr="009257E7">
        <w:t xml:space="preserve"> relacionadas con el diagnóstico y la estrategia. El conjunto está diseñado para ayudar a les abogades a actuar de maneras adaptadas y contextualizadas que reflejen las relaciones sistémicas entre identidades, grupos, intereses y poder </w:t>
      </w:r>
      <w:r w:rsidR="00BC5B2A" w:rsidRPr="009257E7">
        <w:t>en</w:t>
      </w:r>
      <w:r w:rsidRPr="009257E7">
        <w:t xml:space="preserve"> cualquier contexto determinado de solución de problemas.</w:t>
      </w:r>
    </w:p>
    <w:p w14:paraId="7287D182" w14:textId="1BB981BF" w:rsidR="00F84B54" w:rsidRPr="009257E7" w:rsidRDefault="00F84B54" w:rsidP="00BC5B2A">
      <w:pPr>
        <w:pStyle w:val="NormalWeb"/>
        <w:ind w:firstLine="720"/>
      </w:pPr>
      <w:r w:rsidRPr="009257E7">
        <w:t xml:space="preserve">La </w:t>
      </w:r>
      <w:r w:rsidR="00BC5B2A" w:rsidRPr="009257E7">
        <w:t>p</w:t>
      </w:r>
      <w:r w:rsidRPr="009257E7">
        <w:t xml:space="preserve">rimera etapa de la abogacía sistémica se centra en diagnosticar problemas como base para elaborar estrategias y soluciones. Para desarrollar bases fácticas para los diagnósticos y las estrategias, les abogades realizan investigaciones tradicionales, pero también utilizan métodos ampliados como la investigación-acción participativa, el empirismo crítico y las narrativas analíticas. Amplían el impacto de la investigación mediante normas que enfatizan el conocimiento contradisciplinario, </w:t>
      </w:r>
      <w:r w:rsidR="00BC5B2A" w:rsidRPr="009257E7">
        <w:t xml:space="preserve">así como </w:t>
      </w:r>
      <w:r w:rsidRPr="009257E7">
        <w:t xml:space="preserve">las perspectivas derivadas del comparativismo crítico y </w:t>
      </w:r>
      <w:r w:rsidR="00BC5B2A" w:rsidRPr="009257E7">
        <w:t xml:space="preserve">de </w:t>
      </w:r>
      <w:r w:rsidRPr="009257E7">
        <w:t xml:space="preserve">la analítica social y de datos. Además, les abogades y activistas utilizan técnicas de mapeo para evaluar conceptos y problemas, activos, partes interesadas y poder. Como parte de un conjunto ampliado de herramientas críticas, estos métodos, normas y técnicas desde abajo amplían la investigación y el análisis jurídicos tradicionales para diseñar y llevar a cabo de mejor manera acciones complejas —o proyectos de abogacía sistémica—, como se explica con mayor detalle en el capítulo siguiente al presentar la </w:t>
      </w:r>
      <w:r w:rsidR="00BC5B2A" w:rsidRPr="009257E7">
        <w:t>s</w:t>
      </w:r>
      <w:r w:rsidRPr="009257E7">
        <w:t>egunda etapa de este trabajo.</w:t>
      </w:r>
    </w:p>
    <w:p w14:paraId="58AAC71A" w14:textId="77777777" w:rsidR="00D00121" w:rsidRPr="009257E7" w:rsidRDefault="00D00121" w:rsidP="00D00121">
      <w:pPr>
        <w:spacing w:before="100" w:beforeAutospacing="1" w:after="100" w:afterAutospacing="1" w:line="240" w:lineRule="auto"/>
        <w:ind w:firstLine="720"/>
        <w:rPr>
          <w:rFonts w:ascii="Times New Roman" w:eastAsia="Times New Roman" w:hAnsi="Times New Roman" w:cs="Times New Roman"/>
          <w:kern w:val="0"/>
          <w14:ligatures w14:val="none"/>
        </w:rPr>
      </w:pPr>
    </w:p>
    <w:p w14:paraId="0FC28158" w14:textId="50104792" w:rsidR="007643ED" w:rsidRPr="009257E7" w:rsidRDefault="007643ED">
      <w:pPr>
        <w:rPr>
          <w:rFonts w:ascii="Times New Roman" w:eastAsia="Times New Roman" w:hAnsi="Times New Roman" w:cs="Times New Roman"/>
          <w:kern w:val="0"/>
          <w14:ligatures w14:val="none"/>
        </w:rPr>
      </w:pPr>
      <w:r w:rsidRPr="009257E7">
        <w:rPr>
          <w:rFonts w:ascii="Times New Roman" w:eastAsia="Times New Roman" w:hAnsi="Times New Roman" w:cs="Times New Roman"/>
          <w:kern w:val="0"/>
          <w14:ligatures w14:val="none"/>
        </w:rPr>
        <w:br w:type="page"/>
      </w:r>
    </w:p>
    <w:p w14:paraId="792A93F1" w14:textId="15892A90" w:rsidR="007643ED" w:rsidRPr="009257E7" w:rsidRDefault="007643ED" w:rsidP="007643ED">
      <w:pPr>
        <w:spacing w:before="100" w:beforeAutospacing="1" w:after="100" w:afterAutospacing="1" w:line="240" w:lineRule="auto"/>
        <w:outlineLvl w:val="2"/>
        <w:rPr>
          <w:rFonts w:ascii="Times New Roman" w:eastAsia="Times New Roman" w:hAnsi="Times New Roman" w:cs="Times New Roman"/>
          <w:b/>
          <w:bCs/>
          <w:kern w:val="0"/>
          <w:lang w:val="es-ES"/>
          <w14:ligatures w14:val="none"/>
        </w:rPr>
      </w:pPr>
      <w:r w:rsidRPr="009257E7">
        <w:rPr>
          <w:rFonts w:ascii="Times New Roman" w:eastAsia="Times New Roman" w:hAnsi="Times New Roman" w:cs="Times New Roman"/>
          <w:b/>
          <w:bCs/>
          <w:kern w:val="0"/>
          <w:lang w:val="es-ES"/>
          <w14:ligatures w14:val="none"/>
        </w:rPr>
        <w:lastRenderedPageBreak/>
        <w:t>Capítulo 9: Segunda etapa: diseñ</w:t>
      </w:r>
      <w:r w:rsidR="00944921" w:rsidRPr="009257E7">
        <w:rPr>
          <w:rFonts w:ascii="Times New Roman" w:eastAsia="Times New Roman" w:hAnsi="Times New Roman" w:cs="Times New Roman"/>
          <w:b/>
          <w:bCs/>
          <w:kern w:val="0"/>
          <w:lang w:val="es-ES"/>
          <w14:ligatures w14:val="none"/>
        </w:rPr>
        <w:t>o</w:t>
      </w:r>
      <w:r w:rsidRPr="009257E7">
        <w:rPr>
          <w:rFonts w:ascii="Times New Roman" w:eastAsia="Times New Roman" w:hAnsi="Times New Roman" w:cs="Times New Roman"/>
          <w:b/>
          <w:bCs/>
          <w:kern w:val="0"/>
          <w:lang w:val="es-ES"/>
          <w14:ligatures w14:val="none"/>
        </w:rPr>
        <w:t xml:space="preserve"> y ejecu</w:t>
      </w:r>
      <w:r w:rsidR="00944921" w:rsidRPr="009257E7">
        <w:rPr>
          <w:rFonts w:ascii="Times New Roman" w:eastAsia="Times New Roman" w:hAnsi="Times New Roman" w:cs="Times New Roman"/>
          <w:b/>
          <w:bCs/>
          <w:kern w:val="0"/>
          <w:lang w:val="es-ES"/>
          <w14:ligatures w14:val="none"/>
        </w:rPr>
        <w:t>ción</w:t>
      </w:r>
      <w:r w:rsidRPr="009257E7">
        <w:rPr>
          <w:rFonts w:ascii="Times New Roman" w:eastAsia="Times New Roman" w:hAnsi="Times New Roman" w:cs="Times New Roman"/>
          <w:b/>
          <w:bCs/>
          <w:kern w:val="0"/>
          <w:lang w:val="es-ES"/>
          <w14:ligatures w14:val="none"/>
        </w:rPr>
        <w:t xml:space="preserve"> </w:t>
      </w:r>
      <w:r w:rsidR="00944921" w:rsidRPr="009257E7">
        <w:rPr>
          <w:rFonts w:ascii="Times New Roman" w:eastAsia="Times New Roman" w:hAnsi="Times New Roman" w:cs="Times New Roman"/>
          <w:b/>
          <w:bCs/>
          <w:kern w:val="0"/>
          <w:lang w:val="es-ES"/>
          <w14:ligatures w14:val="none"/>
        </w:rPr>
        <w:t xml:space="preserve">de </w:t>
      </w:r>
      <w:r w:rsidRPr="009257E7">
        <w:rPr>
          <w:rFonts w:ascii="Times New Roman" w:eastAsia="Times New Roman" w:hAnsi="Times New Roman" w:cs="Times New Roman"/>
          <w:b/>
          <w:bCs/>
          <w:kern w:val="0"/>
          <w:lang w:val="es-ES"/>
          <w14:ligatures w14:val="none"/>
        </w:rPr>
        <w:t>acciones complejas</w:t>
      </w:r>
    </w:p>
    <w:p w14:paraId="396777ED" w14:textId="4A916EBE" w:rsidR="00944921" w:rsidRPr="009257E7" w:rsidRDefault="00944921" w:rsidP="00944921">
      <w:pPr>
        <w:pStyle w:val="NormalWeb"/>
      </w:pPr>
      <w:r w:rsidRPr="009257E7">
        <w:rPr>
          <w:rStyle w:val="Emphasis"/>
        </w:rPr>
        <w:t>Para que nosotres, como personas pobres y oprimidas, podamos formar parte de una sociedad que tenga sentido, el sistema bajo el cual vivimos actualmente debe cambiar radicalmente… Esto significa enfrentarse a un sistema que no responde a sus necesidades y concebir los medios para cambiarlo.</w:t>
      </w:r>
    </w:p>
    <w:p w14:paraId="5170A00E" w14:textId="77777777" w:rsidR="00944921" w:rsidRPr="009257E7" w:rsidRDefault="00944921" w:rsidP="00944921">
      <w:pPr>
        <w:pStyle w:val="NormalWeb"/>
        <w:rPr>
          <w:b/>
          <w:bCs/>
        </w:rPr>
      </w:pPr>
      <w:r w:rsidRPr="009257E7">
        <w:rPr>
          <w:rStyle w:val="Strong"/>
          <w:b w:val="0"/>
          <w:bCs w:val="0"/>
        </w:rPr>
        <w:t>—Ella Baker</w:t>
      </w:r>
    </w:p>
    <w:p w14:paraId="68B91492" w14:textId="3C86B575" w:rsidR="00944921" w:rsidRPr="009257E7" w:rsidRDefault="00944921" w:rsidP="00944921">
      <w:pPr>
        <w:pStyle w:val="NormalWeb"/>
        <w:rPr>
          <w:b/>
          <w:bCs/>
          <w:i/>
          <w:iCs/>
        </w:rPr>
      </w:pPr>
      <w:r w:rsidRPr="009257E7">
        <w:rPr>
          <w:rStyle w:val="Emphasis"/>
          <w:b/>
          <w:bCs/>
          <w:i w:val="0"/>
          <w:iCs w:val="0"/>
        </w:rPr>
        <w:t>Introducción</w:t>
      </w:r>
    </w:p>
    <w:p w14:paraId="1F571CED" w14:textId="08B6689A" w:rsidR="00944921" w:rsidRPr="009257E7" w:rsidRDefault="00944921" w:rsidP="001162EC">
      <w:pPr>
        <w:pStyle w:val="NormalWeb"/>
        <w:ind w:firstLine="720"/>
      </w:pPr>
      <w:r w:rsidRPr="009257E7">
        <w:t xml:space="preserve">En el capítulo anterior, explicamos cómo la investigación y el análisis críticos de la </w:t>
      </w:r>
      <w:r w:rsidR="001162EC" w:rsidRPr="009257E7">
        <w:t>p</w:t>
      </w:r>
      <w:r w:rsidRPr="009257E7">
        <w:t xml:space="preserve">rimera etapa sientan las bases para las acciones complejas de </w:t>
      </w:r>
      <w:r w:rsidR="001162EC" w:rsidRPr="009257E7">
        <w:t xml:space="preserve">la </w:t>
      </w:r>
      <w:r w:rsidRPr="009257E7">
        <w:t>abogacía</w:t>
      </w:r>
      <w:r w:rsidR="001162EC" w:rsidRPr="009257E7">
        <w:t>:</w:t>
      </w:r>
      <w:r w:rsidRPr="009257E7">
        <w:t xml:space="preserve"> la segunda etapa de la abogacía sistémica. Estas acciones están diseñadas para superar las complejidades colectivas de los problemas sociales persistentes. Para ello, las acciones complejas combinan actividades jurídicas y extrajurídicas </w:t>
      </w:r>
      <w:r w:rsidR="001162EC" w:rsidRPr="009257E7">
        <w:t>para</w:t>
      </w:r>
      <w:r w:rsidRPr="009257E7">
        <w:t xml:space="preserve"> lograr </w:t>
      </w:r>
      <w:r w:rsidR="001162EC" w:rsidRPr="009257E7">
        <w:t>avances</w:t>
      </w:r>
      <w:r w:rsidRPr="009257E7">
        <w:t xml:space="preserve"> en los tres niveles. Estas acciones utilizan el tiempo como recurso para construir las concepciones colectivas, la conciencia y la solidaridad necesarias para sostener la lucha grupal. Estas acciones también son complejas porque procuran reorientar —transformar— no solo el derecho como sistema, sino también las realidades simbólicas y materiales de la sociedad. En este capítulo, describimos las acciones complejas como una segunda etapa —y como un cambio en la manera de concebir— </w:t>
      </w:r>
      <w:r w:rsidR="001162EC" w:rsidRPr="009257E7">
        <w:t>d</w:t>
      </w:r>
      <w:r w:rsidRPr="009257E7">
        <w:t>el trabajo de campo típico de la abogacía por la justicia igualitaria.</w:t>
      </w:r>
    </w:p>
    <w:p w14:paraId="6BFD7B8C" w14:textId="44A57CA5" w:rsidR="00944921" w:rsidRPr="009257E7" w:rsidRDefault="00944921" w:rsidP="001162EC">
      <w:pPr>
        <w:pStyle w:val="NormalWeb"/>
        <w:ind w:firstLine="720"/>
      </w:pPr>
      <w:r w:rsidRPr="009257E7">
        <w:t xml:space="preserve">Nos concentramos específicamente en dos acciones complejas </w:t>
      </w:r>
      <w:r w:rsidR="001162EC" w:rsidRPr="009257E7">
        <w:t xml:space="preserve">y </w:t>
      </w:r>
      <w:r w:rsidRPr="009257E7">
        <w:t xml:space="preserve">paradigmáticas de la </w:t>
      </w:r>
      <w:r w:rsidR="001162EC" w:rsidRPr="009257E7">
        <w:t>s</w:t>
      </w:r>
      <w:r w:rsidRPr="009257E7">
        <w:t>egunda etapa de la abogacía sistémica: las campañas temáticas y los proyectos de desarrollo comunitario (DC)</w:t>
      </w:r>
      <w:r w:rsidR="001162EC" w:rsidRPr="009257E7">
        <w:rPr>
          <w:rStyle w:val="FootnoteReference"/>
        </w:rPr>
        <w:footnoteReference w:id="338"/>
      </w:r>
      <w:r w:rsidRPr="009257E7">
        <w:t xml:space="preserve">. Las campañas temáticas se concentran en problemas específicos, locales o globales, para producir cambios en las políticas y en la sociedad. De manera similar, los proyectos de DC pueden centrarse en </w:t>
      </w:r>
      <w:r w:rsidR="001162EC" w:rsidRPr="009257E7">
        <w:t>divers</w:t>
      </w:r>
      <w:r w:rsidRPr="009257E7">
        <w:t xml:space="preserve">os tipos de desarrollo institucional destinados a satisfacer </w:t>
      </w:r>
      <w:r w:rsidR="001162EC" w:rsidRPr="009257E7">
        <w:t xml:space="preserve">las </w:t>
      </w:r>
      <w:r w:rsidRPr="009257E7">
        <w:t>necesidades o aspiraciones de la comunidad. Sin embargo, con mayor frecuencia se concentran en necesidades y avances materiales, es decir, en formas económicas de desarrollo comunitario</w:t>
      </w:r>
      <w:r w:rsidR="001162EC" w:rsidRPr="009257E7">
        <w:rPr>
          <w:rStyle w:val="FootnoteReference"/>
        </w:rPr>
        <w:footnoteReference w:id="339"/>
      </w:r>
      <w:r w:rsidRPr="009257E7">
        <w:t xml:space="preserve">. No obstante, los proyectos de desarrollo comunitario no se limitan a agendas económicas. Por el contrario, tanto las campañas temáticas como los proyectos de desarrollo comunitario pueden —y deben— adaptarse al contexto y reajustarse a medida que cambian las circunstancias. En la práctica, como señala Jim Freeman, director del Grassroots Action Support Team, tanto las campañas como los proyectos de DC exigen que les abogades “mejoremos y ampliemos nuestra formación mediante la adopción de enfoques diferentes para abordar </w:t>
      </w:r>
      <w:r w:rsidRPr="009257E7">
        <w:lastRenderedPageBreak/>
        <w:t>problemas jurídicos o sociales, la incorporación de un conjunto más amplio de estrategias y tácticas de abogacía, la adquisición de destrezas nuevas y la disposición a descartar aquellos aspectos de nuestra formación jurídica inicial que obstaculicen nuestros esfuerzos”</w:t>
      </w:r>
      <w:r w:rsidR="001162EC" w:rsidRPr="009257E7">
        <w:rPr>
          <w:rStyle w:val="FootnoteReference"/>
        </w:rPr>
        <w:footnoteReference w:id="340"/>
      </w:r>
      <w:r w:rsidRPr="009257E7">
        <w:t>.</w:t>
      </w:r>
    </w:p>
    <w:p w14:paraId="7679A6B0" w14:textId="76ACF2A8" w:rsidR="00944921" w:rsidRPr="009257E7" w:rsidRDefault="00944921" w:rsidP="001162EC">
      <w:pPr>
        <w:pStyle w:val="NormalWeb"/>
        <w:ind w:firstLine="720"/>
      </w:pPr>
      <w:r w:rsidRPr="009257E7">
        <w:t>En ocasiones, las campañas temáticas y los proyectos de DC se utilizan de manera independiente y, en otras, se combinan de forma innovadora. Por ejemplo, una campaña o un proyecto de DC puede involucrar uno o más litigios, negociaciones contractuales u otras actividades jurídicas típicas; sin embargo, triunfar en los casos, contratos u otras acciones jurídicas no constituye el fin. Los medios jurídicos, como el litigio y las transacciones, se combinan intencionalmente con actividades extrajurídicas, como la organización, la educación y la acción directa, para diseñar acciones complejas orientadas a la mejora y la transformación: los objetivos de tres niveles.</w:t>
      </w:r>
    </w:p>
    <w:p w14:paraId="33FC9F4E" w14:textId="592AA703" w:rsidR="00944921" w:rsidRPr="009257E7" w:rsidRDefault="00944921" w:rsidP="001162EC">
      <w:pPr>
        <w:pStyle w:val="NormalWeb"/>
        <w:ind w:firstLine="720"/>
      </w:pPr>
      <w:r w:rsidRPr="009257E7">
        <w:t xml:space="preserve">Como se analizó en el capítulo 6, este marco de tres niveles constituye una diferencia fundamental entre el derecho como industria y la abogacía por la justicia sistémica. Considere estas acciones como una praxis de antisubordinación —una unión entre acción y teoría— desplegada en espacios judiciales y de formulación de políticas. Al aplicar el conocimiento recopilado durante la </w:t>
      </w:r>
      <w:r w:rsidR="001162EC" w:rsidRPr="009257E7">
        <w:t>p</w:t>
      </w:r>
      <w:r w:rsidRPr="009257E7">
        <w:t xml:space="preserve">rimera etapa, las acciones complejas, como las campañas temáticas y los proyectos de DC, constituyen los mecanismos mediante los cuales les abogades invierten los guiones dominantes y crean ventanas de oportunidad para el progreso en los tres niveles. A medida que les abogades ayudan a los grupos de clientes a convertirse en jugadores </w:t>
      </w:r>
      <w:r w:rsidR="00AE0B8C" w:rsidRPr="009257E7">
        <w:t xml:space="preserve">recurrentes </w:t>
      </w:r>
      <w:r w:rsidRPr="009257E7">
        <w:t>que cuestionan las reglas básicas, aumentan el progreso, la capacidad y la sostenibilidad.</w:t>
      </w:r>
    </w:p>
    <w:p w14:paraId="7D78466E" w14:textId="53428B85" w:rsidR="00944921" w:rsidRPr="009257E7" w:rsidRDefault="00944921" w:rsidP="00AE0B8C">
      <w:pPr>
        <w:pStyle w:val="NormalWeb"/>
        <w:ind w:firstLine="720"/>
      </w:pPr>
      <w:r w:rsidRPr="009257E7">
        <w:t xml:space="preserve">Al igual que en la investigación y el análisis de la </w:t>
      </w:r>
      <w:r w:rsidR="00AE0B8C" w:rsidRPr="009257E7">
        <w:t>p</w:t>
      </w:r>
      <w:r w:rsidRPr="009257E7">
        <w:t xml:space="preserve">rimera etapa, las acciones complejas de la </w:t>
      </w:r>
      <w:r w:rsidR="00AE0B8C" w:rsidRPr="009257E7">
        <w:t>s</w:t>
      </w:r>
      <w:r w:rsidRPr="009257E7">
        <w:t xml:space="preserve">egunda etapa se planifican para impulsar objetivos en los tres niveles: solucionar problemas técnicos, construir poder grupal y transformar las concepciones culturales. En conjunto, estas dos etapas de la abogacía diagnostican </w:t>
      </w:r>
      <w:r w:rsidRPr="009257E7">
        <w:rPr>
          <w:rStyle w:val="Emphasis"/>
        </w:rPr>
        <w:t>y</w:t>
      </w:r>
      <w:r w:rsidRPr="009257E7">
        <w:t xml:space="preserve"> elaboran estrategias para abordar de manera efectiva los problemas sociales en estos tres niveles. Al igual que las etapas, estos dos tipos de acciones complejas también se superponen, </w:t>
      </w:r>
      <w:r w:rsidR="00AE0B8C" w:rsidRPr="009257E7">
        <w:t>se recicla</w:t>
      </w:r>
      <w:r w:rsidRPr="009257E7">
        <w:t>n y se refuerzan mutuamente: los proyectos de DC pueden diseñarse para llevar a cabo campañas, las campañas pueden diseñarse para sostener proyectos de DC y l</w:t>
      </w:r>
      <w:r w:rsidR="00AE0B8C" w:rsidRPr="009257E7">
        <w:t>o</w:t>
      </w:r>
      <w:r w:rsidRPr="009257E7">
        <w:t>s abogad</w:t>
      </w:r>
      <w:r w:rsidR="00AE0B8C" w:rsidRPr="009257E7">
        <w:t>o</w:t>
      </w:r>
      <w:r w:rsidRPr="009257E7">
        <w:t>s sistémi</w:t>
      </w:r>
      <w:r w:rsidR="00AE0B8C" w:rsidRPr="009257E7">
        <w:t>co</w:t>
      </w:r>
      <w:r w:rsidRPr="009257E7">
        <w:t>s deciden, según el contexto, cuál es la mejor manera de combinar estas acciones. Como ocurre con todo lo demás, les abogades incorporan la materialidad en estas decisiones.</w:t>
      </w:r>
    </w:p>
    <w:p w14:paraId="0A32D4AA" w14:textId="55FA7D5F" w:rsidR="00944921" w:rsidRPr="009257E7" w:rsidRDefault="00944921" w:rsidP="00AE0B8C">
      <w:pPr>
        <w:pStyle w:val="NormalWeb"/>
        <w:ind w:firstLine="720"/>
      </w:pPr>
      <w:r w:rsidRPr="009257E7">
        <w:t>Las acciones complejas utilizan tanto la persuasión como la presión —o la “capacidad de presión”— para lograr cambios sistémicos con potencial transformador. Les abogades dirigen estas acciones hacia los responsables de la toma de decisiones a quienes se dirige la acción</w:t>
      </w:r>
      <w:r w:rsidR="00AE0B8C" w:rsidRPr="009257E7">
        <w:t>,</w:t>
      </w:r>
      <w:r w:rsidRPr="009257E7">
        <w:t xml:space="preserve"> para lograr que adopten las medidas que busca el equipo de abogacía. Los tres niveles de la abogacía se estructuran para promover la persuasión y la presión necesarias y sentar las bases para rondas futuras de trabajo defensivo y ofensivo. Las personas o entidades a quienes se dirige la acción pueden incluir élites tradicionales —responsables corporativos de la toma de decisiones, élites jurídicas, funcionarios electos— o también otras personas, como integrantes de la comunidad afectada por problemas sociales, otras partes interesadas o aliades, o el público en general. Los métodos, las normas y las técnicas críticas ampliadas de la investigación y el análisis de la </w:t>
      </w:r>
      <w:r w:rsidR="00AE0B8C" w:rsidRPr="009257E7">
        <w:lastRenderedPageBreak/>
        <w:t>p</w:t>
      </w:r>
      <w:r w:rsidRPr="009257E7">
        <w:t>rimera etapa encuentran su correspondencia en un conjunto más amplio de métodos y herramientas desarrollados para acciones complejas. De este modo, les abogades y activistas persiguen, a lo largo del tiempo —y utilizando el tiempo—, un progreso micro-macro que es tanto orientado a la mejora como transformador.</w:t>
      </w:r>
    </w:p>
    <w:p w14:paraId="5B15240B" w14:textId="3E5E3841" w:rsidR="00944921" w:rsidRPr="009257E7" w:rsidRDefault="00944921" w:rsidP="00AE0B8C">
      <w:pPr>
        <w:pStyle w:val="NormalWeb"/>
        <w:ind w:firstLine="720"/>
      </w:pPr>
      <w:r w:rsidRPr="009257E7">
        <w:t xml:space="preserve">Por último, y también debido a esta complejidad, el papel de le abogade dentro de las campañas temáticas y los proyectos de DC puede variar. Les abogades se preparan para desempeñar múltiples funciones y trabajar </w:t>
      </w:r>
      <w:r w:rsidR="00AE0B8C" w:rsidRPr="009257E7">
        <w:t>en diversos</w:t>
      </w:r>
      <w:r w:rsidRPr="009257E7">
        <w:t xml:space="preserve"> </w:t>
      </w:r>
      <w:r w:rsidR="00AE0B8C" w:rsidRPr="009257E7">
        <w:t>ámbitos</w:t>
      </w:r>
      <w:r w:rsidRPr="009257E7">
        <w:t xml:space="preserve"> de práctica</w:t>
      </w:r>
      <w:r w:rsidR="00AE0B8C" w:rsidRPr="009257E7">
        <w:t xml:space="preserve">, con el </w:t>
      </w:r>
      <w:r w:rsidRPr="009257E7">
        <w:t xml:space="preserve">fin de contribuir de manera efectiva. Algunes pueden trabajar directamente para grupos comunitarios o sindicales. Otres pueden trabajar en organizaciones de servicios jurídicos u otros bufetes sin fines de lucro. Otres pueden trabajar en bufetes privados y desempeñar funciones de asesoría como parte de un equipo colaborativo. Otres pueden colaborar a tiempo parcial en casos jurídicos o trabajo transaccional, ya sea mediante honorarios o </w:t>
      </w:r>
      <w:r w:rsidRPr="009257E7">
        <w:rPr>
          <w:rStyle w:val="Emphasis"/>
        </w:rPr>
        <w:t>pro bono</w:t>
      </w:r>
      <w:r w:rsidRPr="009257E7">
        <w:t>. Otres pueden representar a quienes son objeto de campañas o proyectos —agencias gubernamentales, políticos o corporaciones—, y estes abogades pueden influir considerablemente en la naturaleza del diálogo y de la negociación. Asimismo, algunes pueden desempeñar funciones como funcionarios electos o jueces y actuar directamente como responsables de la toma de decisiones respecto de determinadas políticas y prácticas. Dependiendo del contexto, las acciones complejas pueden involucrar a les abogades —tanto profesionales del derecho como personas que no lo son— en cualquiera de estas funciones, en todas ellas y en muchas otras.</w:t>
      </w:r>
    </w:p>
    <w:p w14:paraId="5514B33B" w14:textId="7678A6D1" w:rsidR="00944921" w:rsidRPr="009257E7" w:rsidRDefault="00944921" w:rsidP="00AE0B8C">
      <w:pPr>
        <w:pStyle w:val="NormalWeb"/>
        <w:ind w:firstLine="720"/>
      </w:pPr>
      <w:r w:rsidRPr="009257E7">
        <w:t xml:space="preserve">Esta multiplicidad de funciones puede conferir a les abogades una influencia indebida sobre las decisiones y acciones del grupo. Tanto en las campañas temáticas como en los proyectos de DC, les abogades deben definir su función o funciones en la creación y administración de métodos de gobernanza para ayudar a garantizar la colaboración dentro de los equipos y la rendición de cuentas ante los grupos de clientes y las comunidades. Les abogades utilizan la conciencia dual y sus competencias críticas ampliadas para ayudar a que los grupos organizados funcionen de manera ética y democrática. Aunque siempre resulta difícil, les abogades deben situar sus funciones de apoyo en relación con el grupo y con los conflictos de maneras claras, acordadas y basadas en principios. Dentro de este proceso, gestionar la tensión y el conflicto es fundamental para el éxito. Por esta razón, las acciones complejas combinan la presión con la persuasión para lograr y preservar el progreso. Estos son los puntos fundamentales que se abordan en este capítulo sobre la </w:t>
      </w:r>
      <w:r w:rsidR="00AE0B8C" w:rsidRPr="009257E7">
        <w:t>s</w:t>
      </w:r>
      <w:r w:rsidRPr="009257E7">
        <w:t>egunda etapa de la abogacía sistémica.</w:t>
      </w:r>
    </w:p>
    <w:p w14:paraId="1B855C38" w14:textId="7FD4F210" w:rsidR="00AE0B8C" w:rsidRPr="009257E7" w:rsidRDefault="007643ED" w:rsidP="00AE0B8C">
      <w:pPr>
        <w:spacing w:before="100" w:beforeAutospacing="1" w:after="100" w:afterAutospacing="1" w:line="240" w:lineRule="auto"/>
        <w:rPr>
          <w:rFonts w:ascii="Times New Roman" w:hAnsi="Times New Roman" w:cs="Times New Roman"/>
        </w:rPr>
      </w:pPr>
      <w:r w:rsidRPr="009257E7">
        <w:rPr>
          <w:rFonts w:ascii="Times New Roman" w:eastAsia="Times New Roman" w:hAnsi="Times New Roman" w:cs="Times New Roman"/>
          <w:b/>
          <w:bCs/>
          <w:kern w:val="0"/>
          <w:lang w:val="es-ES"/>
          <w14:ligatures w14:val="none"/>
        </w:rPr>
        <w:t>9.1 Las acciones complejas combinan presión y persuasión en la segunda etapa de la abogacía sistémica</w:t>
      </w:r>
    </w:p>
    <w:p w14:paraId="662F8085" w14:textId="72D4AEAC" w:rsidR="00AE0B8C" w:rsidRPr="009257E7" w:rsidRDefault="00AE0B8C" w:rsidP="00AE0B8C">
      <w:pPr>
        <w:pStyle w:val="NormalWeb"/>
        <w:ind w:firstLine="720"/>
      </w:pPr>
      <w:r w:rsidRPr="009257E7">
        <w:t>Les abogades, como hemos visto, utilizan herramientas de persuasión para convencer a las élites —por ejemplo, a los jueces— de que fallen a su favor en un litigio. De manera simultánea y sinérgica, les abogades en Estados Unidos y en el ámbito internacional también redactan informes, promueven audiencias públicas o utilizan otras tácticas para generar presión material —como la amenaza o la pérdida efectiva de ganancias— o presión reputacional que afecte a los responsables de la toma de decisiones a quienes se dirige la acción. Jeremy Perelman, académico de derechos humanos transnacionales, describe algunos usos de la práctica de “señalar y avergonzar” dentro de la abogacía:</w:t>
      </w:r>
    </w:p>
    <w:p w14:paraId="476266A7" w14:textId="7CB31B4D" w:rsidR="00AE0B8C" w:rsidRPr="009257E7" w:rsidRDefault="00AE0B8C" w:rsidP="00AE0B8C">
      <w:pPr>
        <w:pStyle w:val="NormalWeb"/>
        <w:ind w:left="720"/>
      </w:pPr>
      <w:r w:rsidRPr="009257E7">
        <w:lastRenderedPageBreak/>
        <w:t>[Muches abogades] se han alejado cada vez más de su zona tradicional de comodidad, centrada en el cumplimiento por parte de los Estados de [los derechos civiles y políticos protegidos internacionalmente], y han comenzado a abordar la dimensión estructural de los derechos humanos dentro de la globalización económica y la pobreza mundial… [mediante el desarrollo de] vías nuevas para señalar y avergonzar dentro de la abogacía internacional en materia de derechos humanos.</w:t>
      </w:r>
      <w:r w:rsidRPr="009257E7">
        <w:rPr>
          <w:rStyle w:val="FootnoteReference"/>
        </w:rPr>
        <w:footnoteReference w:id="341"/>
      </w:r>
    </w:p>
    <w:p w14:paraId="2508E392" w14:textId="42FFF581" w:rsidR="00AE0B8C" w:rsidRPr="009257E7" w:rsidRDefault="00AE0B8C" w:rsidP="00AE0B8C">
      <w:pPr>
        <w:pStyle w:val="NormalWeb"/>
        <w:ind w:firstLine="720"/>
      </w:pPr>
      <w:r w:rsidRPr="009257E7">
        <w:t>La abogacía sistémica no se limita exclusivamente a la persuasión. La acción de abogacía</w:t>
      </w:r>
      <w:r w:rsidRPr="009257E7">
        <w:rPr>
          <w:rStyle w:val="FootnoteReference"/>
        </w:rPr>
        <w:footnoteReference w:id="342"/>
      </w:r>
      <w:r w:rsidRPr="009257E7">
        <w:t xml:space="preserve"> —ya sea una campaña temática o un proyecto de DC— constituye un marco paradigmático para coordinar actividades destinadas a generar la presión deseada y el efecto persuasivo necesario para alcanzar los objetivos de la abogacía dentro de un contexto sistémico específico. Como se resume de manera general a continuación, existen algunas diferencias entre los proyectos de DC y las campañas temáticas:</w:t>
      </w:r>
    </w:p>
    <w:tbl>
      <w:tblPr>
        <w:tblStyle w:val="TableGrid"/>
        <w:tblW w:w="0" w:type="auto"/>
        <w:tblLook w:val="04A0" w:firstRow="1" w:lastRow="0" w:firstColumn="1" w:lastColumn="0" w:noHBand="0" w:noVBand="1"/>
      </w:tblPr>
      <w:tblGrid>
        <w:gridCol w:w="1462"/>
        <w:gridCol w:w="3624"/>
        <w:gridCol w:w="4264"/>
      </w:tblGrid>
      <w:tr w:rsidR="00AE0B8C" w:rsidRPr="009257E7" w14:paraId="6E1A80F4" w14:textId="77777777" w:rsidTr="00AE0B8C">
        <w:tc>
          <w:tcPr>
            <w:tcW w:w="0" w:type="auto"/>
            <w:hideMark/>
          </w:tcPr>
          <w:p w14:paraId="610F15C7" w14:textId="77777777" w:rsidR="00AE0B8C" w:rsidRPr="009257E7" w:rsidRDefault="00AE0B8C">
            <w:pPr>
              <w:rPr>
                <w:rFonts w:ascii="Times New Roman" w:hAnsi="Times New Roman" w:cs="Times New Roman"/>
              </w:rPr>
            </w:pPr>
          </w:p>
        </w:tc>
        <w:tc>
          <w:tcPr>
            <w:tcW w:w="0" w:type="auto"/>
            <w:hideMark/>
          </w:tcPr>
          <w:p w14:paraId="1AC366E9" w14:textId="77777777" w:rsidR="00AE0B8C" w:rsidRPr="009257E7" w:rsidRDefault="00AE0B8C">
            <w:pPr>
              <w:jc w:val="center"/>
              <w:rPr>
                <w:rFonts w:ascii="Times New Roman" w:hAnsi="Times New Roman" w:cs="Times New Roman"/>
                <w:b/>
                <w:bCs/>
              </w:rPr>
            </w:pPr>
            <w:r w:rsidRPr="009257E7">
              <w:rPr>
                <w:rFonts w:ascii="Times New Roman" w:hAnsi="Times New Roman" w:cs="Times New Roman"/>
                <w:b/>
                <w:bCs/>
              </w:rPr>
              <w:t>Campaña temática</w:t>
            </w:r>
          </w:p>
        </w:tc>
        <w:tc>
          <w:tcPr>
            <w:tcW w:w="0" w:type="auto"/>
            <w:hideMark/>
          </w:tcPr>
          <w:p w14:paraId="554FB689" w14:textId="77777777" w:rsidR="00AE0B8C" w:rsidRPr="009257E7" w:rsidRDefault="00AE0B8C">
            <w:pPr>
              <w:jc w:val="center"/>
              <w:rPr>
                <w:rFonts w:ascii="Times New Roman" w:hAnsi="Times New Roman" w:cs="Times New Roman"/>
                <w:b/>
                <w:bCs/>
              </w:rPr>
            </w:pPr>
            <w:r w:rsidRPr="009257E7">
              <w:rPr>
                <w:rFonts w:ascii="Times New Roman" w:hAnsi="Times New Roman" w:cs="Times New Roman"/>
                <w:b/>
                <w:bCs/>
              </w:rPr>
              <w:t>Proyecto de desarrollo comunitario</w:t>
            </w:r>
          </w:p>
        </w:tc>
      </w:tr>
      <w:tr w:rsidR="00AE0B8C" w:rsidRPr="009257E7" w14:paraId="061D65B4" w14:textId="77777777" w:rsidTr="00AE0B8C">
        <w:tc>
          <w:tcPr>
            <w:tcW w:w="0" w:type="auto"/>
            <w:hideMark/>
          </w:tcPr>
          <w:p w14:paraId="09D21305" w14:textId="77777777" w:rsidR="00AE0B8C" w:rsidRPr="009257E7" w:rsidRDefault="00AE0B8C">
            <w:pPr>
              <w:rPr>
                <w:rFonts w:ascii="Times New Roman" w:hAnsi="Times New Roman" w:cs="Times New Roman"/>
              </w:rPr>
            </w:pPr>
            <w:r w:rsidRPr="009257E7">
              <w:rPr>
                <w:rStyle w:val="Strong"/>
                <w:rFonts w:ascii="Times New Roman" w:hAnsi="Times New Roman" w:cs="Times New Roman"/>
              </w:rPr>
              <w:t>Enfoque</w:t>
            </w:r>
          </w:p>
        </w:tc>
        <w:tc>
          <w:tcPr>
            <w:tcW w:w="0" w:type="auto"/>
            <w:hideMark/>
          </w:tcPr>
          <w:p w14:paraId="5B305C64" w14:textId="77777777" w:rsidR="00AE0B8C" w:rsidRPr="009257E7" w:rsidRDefault="00AE0B8C">
            <w:pPr>
              <w:rPr>
                <w:rFonts w:ascii="Times New Roman" w:hAnsi="Times New Roman" w:cs="Times New Roman"/>
              </w:rPr>
            </w:pPr>
            <w:r w:rsidRPr="009257E7">
              <w:rPr>
                <w:rFonts w:ascii="Times New Roman" w:hAnsi="Times New Roman" w:cs="Times New Roman"/>
              </w:rPr>
              <w:t>Cualquier área temática</w:t>
            </w:r>
          </w:p>
        </w:tc>
        <w:tc>
          <w:tcPr>
            <w:tcW w:w="0" w:type="auto"/>
            <w:hideMark/>
          </w:tcPr>
          <w:p w14:paraId="69553D4B" w14:textId="77777777" w:rsidR="00AE0B8C" w:rsidRPr="009257E7" w:rsidRDefault="00AE0B8C">
            <w:pPr>
              <w:rPr>
                <w:rFonts w:ascii="Times New Roman" w:hAnsi="Times New Roman" w:cs="Times New Roman"/>
              </w:rPr>
            </w:pPr>
            <w:r w:rsidRPr="009257E7">
              <w:rPr>
                <w:rFonts w:ascii="Times New Roman" w:hAnsi="Times New Roman" w:cs="Times New Roman"/>
              </w:rPr>
              <w:t>Por lo general, oportunidad económica y desarrollo</w:t>
            </w:r>
          </w:p>
        </w:tc>
      </w:tr>
      <w:tr w:rsidR="00AE0B8C" w:rsidRPr="009257E7" w14:paraId="0024CDE6" w14:textId="77777777" w:rsidTr="00AE0B8C">
        <w:tc>
          <w:tcPr>
            <w:tcW w:w="0" w:type="auto"/>
            <w:hideMark/>
          </w:tcPr>
          <w:p w14:paraId="30D35CBE" w14:textId="77777777" w:rsidR="00AE0B8C" w:rsidRPr="009257E7" w:rsidRDefault="00AE0B8C">
            <w:pPr>
              <w:rPr>
                <w:rFonts w:ascii="Times New Roman" w:hAnsi="Times New Roman" w:cs="Times New Roman"/>
              </w:rPr>
            </w:pPr>
            <w:r w:rsidRPr="009257E7">
              <w:rPr>
                <w:rStyle w:val="Strong"/>
                <w:rFonts w:ascii="Times New Roman" w:hAnsi="Times New Roman" w:cs="Times New Roman"/>
              </w:rPr>
              <w:t>Geografía</w:t>
            </w:r>
          </w:p>
        </w:tc>
        <w:tc>
          <w:tcPr>
            <w:tcW w:w="0" w:type="auto"/>
            <w:hideMark/>
          </w:tcPr>
          <w:p w14:paraId="3799C143" w14:textId="77777777" w:rsidR="00AE0B8C" w:rsidRPr="009257E7" w:rsidRDefault="00AE0B8C">
            <w:pPr>
              <w:rPr>
                <w:rFonts w:ascii="Times New Roman" w:hAnsi="Times New Roman" w:cs="Times New Roman"/>
              </w:rPr>
            </w:pPr>
            <w:r w:rsidRPr="009257E7">
              <w:rPr>
                <w:rFonts w:ascii="Times New Roman" w:hAnsi="Times New Roman" w:cs="Times New Roman"/>
              </w:rPr>
              <w:t>Varía</w:t>
            </w:r>
          </w:p>
        </w:tc>
        <w:tc>
          <w:tcPr>
            <w:tcW w:w="0" w:type="auto"/>
            <w:hideMark/>
          </w:tcPr>
          <w:p w14:paraId="2097F1D2" w14:textId="77777777" w:rsidR="00AE0B8C" w:rsidRPr="009257E7" w:rsidRDefault="00AE0B8C">
            <w:pPr>
              <w:rPr>
                <w:rFonts w:ascii="Times New Roman" w:hAnsi="Times New Roman" w:cs="Times New Roman"/>
              </w:rPr>
            </w:pPr>
            <w:r w:rsidRPr="009257E7">
              <w:rPr>
                <w:rFonts w:ascii="Times New Roman" w:hAnsi="Times New Roman" w:cs="Times New Roman"/>
              </w:rPr>
              <w:t>Por lo general, local</w:t>
            </w:r>
          </w:p>
        </w:tc>
      </w:tr>
      <w:tr w:rsidR="00AE0B8C" w:rsidRPr="009257E7" w14:paraId="2E7B27F1" w14:textId="77777777" w:rsidTr="00AE0B8C">
        <w:tc>
          <w:tcPr>
            <w:tcW w:w="0" w:type="auto"/>
            <w:hideMark/>
          </w:tcPr>
          <w:p w14:paraId="1EFBA468" w14:textId="77777777" w:rsidR="00AE0B8C" w:rsidRPr="009257E7" w:rsidRDefault="00AE0B8C">
            <w:pPr>
              <w:rPr>
                <w:rFonts w:ascii="Times New Roman" w:hAnsi="Times New Roman" w:cs="Times New Roman"/>
              </w:rPr>
            </w:pPr>
            <w:r w:rsidRPr="009257E7">
              <w:rPr>
                <w:rStyle w:val="Strong"/>
                <w:rFonts w:ascii="Times New Roman" w:hAnsi="Times New Roman" w:cs="Times New Roman"/>
              </w:rPr>
              <w:t>Duración</w:t>
            </w:r>
          </w:p>
        </w:tc>
        <w:tc>
          <w:tcPr>
            <w:tcW w:w="0" w:type="auto"/>
            <w:hideMark/>
          </w:tcPr>
          <w:p w14:paraId="36DEF7EF" w14:textId="77777777" w:rsidR="00AE0B8C" w:rsidRPr="009257E7" w:rsidRDefault="00AE0B8C">
            <w:pPr>
              <w:rPr>
                <w:rFonts w:ascii="Times New Roman" w:hAnsi="Times New Roman" w:cs="Times New Roman"/>
              </w:rPr>
            </w:pPr>
            <w:r w:rsidRPr="009257E7">
              <w:rPr>
                <w:rFonts w:ascii="Times New Roman" w:hAnsi="Times New Roman" w:cs="Times New Roman"/>
              </w:rPr>
              <w:t>Por lo general, un periodo limitado, con un marco temporal bastante definido</w:t>
            </w:r>
          </w:p>
        </w:tc>
        <w:tc>
          <w:tcPr>
            <w:tcW w:w="0" w:type="auto"/>
            <w:hideMark/>
          </w:tcPr>
          <w:p w14:paraId="22DA5EFF" w14:textId="77777777" w:rsidR="00AE0B8C" w:rsidRPr="009257E7" w:rsidRDefault="00AE0B8C">
            <w:pPr>
              <w:rPr>
                <w:rFonts w:ascii="Times New Roman" w:hAnsi="Times New Roman" w:cs="Times New Roman"/>
              </w:rPr>
            </w:pPr>
            <w:r w:rsidRPr="009257E7">
              <w:rPr>
                <w:rFonts w:ascii="Times New Roman" w:hAnsi="Times New Roman" w:cs="Times New Roman"/>
              </w:rPr>
              <w:t>Con frecuencia, continua, con un marco temporal indefinido</w:t>
            </w:r>
          </w:p>
        </w:tc>
      </w:tr>
      <w:tr w:rsidR="00AE0B8C" w:rsidRPr="009257E7" w14:paraId="1C33A8B7" w14:textId="77777777" w:rsidTr="00AE0B8C">
        <w:tc>
          <w:tcPr>
            <w:tcW w:w="0" w:type="auto"/>
            <w:hideMark/>
          </w:tcPr>
          <w:p w14:paraId="45B81115" w14:textId="77777777" w:rsidR="00AE0B8C" w:rsidRPr="009257E7" w:rsidRDefault="00AE0B8C">
            <w:pPr>
              <w:rPr>
                <w:rFonts w:ascii="Times New Roman" w:hAnsi="Times New Roman" w:cs="Times New Roman"/>
              </w:rPr>
            </w:pPr>
            <w:r w:rsidRPr="009257E7">
              <w:rPr>
                <w:rStyle w:val="Strong"/>
                <w:rFonts w:ascii="Times New Roman" w:hAnsi="Times New Roman" w:cs="Times New Roman"/>
              </w:rPr>
              <w:t>Objetivos</w:t>
            </w:r>
          </w:p>
        </w:tc>
        <w:tc>
          <w:tcPr>
            <w:tcW w:w="0" w:type="auto"/>
            <w:hideMark/>
          </w:tcPr>
          <w:p w14:paraId="417425E0" w14:textId="77777777" w:rsidR="00AE0B8C" w:rsidRPr="009257E7" w:rsidRDefault="00AE0B8C">
            <w:pPr>
              <w:rPr>
                <w:rFonts w:ascii="Times New Roman" w:hAnsi="Times New Roman" w:cs="Times New Roman"/>
              </w:rPr>
            </w:pPr>
            <w:r w:rsidRPr="009257E7">
              <w:rPr>
                <w:rFonts w:ascii="Times New Roman" w:hAnsi="Times New Roman" w:cs="Times New Roman"/>
              </w:rPr>
              <w:t>Cambio en las políticas o prácticas de los responsables de la toma de decisiones a quienes se dirige la acción</w:t>
            </w:r>
          </w:p>
        </w:tc>
        <w:tc>
          <w:tcPr>
            <w:tcW w:w="0" w:type="auto"/>
            <w:hideMark/>
          </w:tcPr>
          <w:p w14:paraId="1FDDD4A6" w14:textId="77777777" w:rsidR="00AE0B8C" w:rsidRPr="009257E7" w:rsidRDefault="00AE0B8C">
            <w:pPr>
              <w:rPr>
                <w:rFonts w:ascii="Times New Roman" w:hAnsi="Times New Roman" w:cs="Times New Roman"/>
              </w:rPr>
            </w:pPr>
            <w:r w:rsidRPr="009257E7">
              <w:rPr>
                <w:rFonts w:ascii="Times New Roman" w:hAnsi="Times New Roman" w:cs="Times New Roman"/>
              </w:rPr>
              <w:t>Creación de instituciones o programas para ampliar oportunidades, a menudo centrados en empleo, vivienda o pequeñas empresas</w:t>
            </w:r>
          </w:p>
        </w:tc>
      </w:tr>
      <w:tr w:rsidR="00AE0B8C" w:rsidRPr="009257E7" w14:paraId="5F82D25F" w14:textId="77777777" w:rsidTr="00AE0B8C">
        <w:tc>
          <w:tcPr>
            <w:tcW w:w="0" w:type="auto"/>
            <w:hideMark/>
          </w:tcPr>
          <w:p w14:paraId="04DC481B" w14:textId="77777777" w:rsidR="00AE0B8C" w:rsidRPr="009257E7" w:rsidRDefault="00AE0B8C">
            <w:pPr>
              <w:rPr>
                <w:rFonts w:ascii="Times New Roman" w:hAnsi="Times New Roman" w:cs="Times New Roman"/>
              </w:rPr>
            </w:pPr>
            <w:r w:rsidRPr="009257E7">
              <w:rPr>
                <w:rStyle w:val="Strong"/>
                <w:rFonts w:ascii="Times New Roman" w:hAnsi="Times New Roman" w:cs="Times New Roman"/>
              </w:rPr>
              <w:t>Destrezas jurídicas</w:t>
            </w:r>
          </w:p>
        </w:tc>
        <w:tc>
          <w:tcPr>
            <w:tcW w:w="0" w:type="auto"/>
            <w:hideMark/>
          </w:tcPr>
          <w:p w14:paraId="11C6DC33" w14:textId="77777777" w:rsidR="00AE0B8C" w:rsidRPr="009257E7" w:rsidRDefault="00AE0B8C">
            <w:pPr>
              <w:rPr>
                <w:rFonts w:ascii="Times New Roman" w:hAnsi="Times New Roman" w:cs="Times New Roman"/>
              </w:rPr>
            </w:pPr>
            <w:r w:rsidRPr="009257E7">
              <w:rPr>
                <w:rFonts w:ascii="Times New Roman" w:hAnsi="Times New Roman" w:cs="Times New Roman"/>
              </w:rPr>
              <w:t>Varían, pero con frecuencia incluyen litigio y abogacía en materia de políticas</w:t>
            </w:r>
          </w:p>
        </w:tc>
        <w:tc>
          <w:tcPr>
            <w:tcW w:w="0" w:type="auto"/>
            <w:hideMark/>
          </w:tcPr>
          <w:p w14:paraId="14FA4056" w14:textId="77777777" w:rsidR="00AE0B8C" w:rsidRPr="009257E7" w:rsidRDefault="00AE0B8C">
            <w:pPr>
              <w:rPr>
                <w:rFonts w:ascii="Times New Roman" w:hAnsi="Times New Roman" w:cs="Times New Roman"/>
              </w:rPr>
            </w:pPr>
            <w:r w:rsidRPr="009257E7">
              <w:rPr>
                <w:rFonts w:ascii="Times New Roman" w:hAnsi="Times New Roman" w:cs="Times New Roman"/>
              </w:rPr>
              <w:t>Varían, pero por lo general incluyen trabajo transaccional</w:t>
            </w:r>
          </w:p>
        </w:tc>
      </w:tr>
    </w:tbl>
    <w:p w14:paraId="38CD6A04" w14:textId="137588AF" w:rsidR="00AE0B8C" w:rsidRPr="009257E7" w:rsidRDefault="00AE0B8C" w:rsidP="00AE0B8C">
      <w:pPr>
        <w:pStyle w:val="NormalWeb"/>
        <w:ind w:firstLine="720"/>
      </w:pPr>
      <w:r w:rsidRPr="009257E7">
        <w:t xml:space="preserve">Por tanto, las campañas suelen tener una duración limitada, mientras que los proyectos de DC pueden carecer de finales claramente delimitados. Debido a que se concentran en un asunto con un objetivo claramente formulado, las campañas prevén una culminación o una “victoria”, mientras que un proyecto de DC implica una inversión continua para ampliar las oportunidades económicas, el poder y la equidad dentro de una población determinada, puede estar más </w:t>
      </w:r>
      <w:r w:rsidRPr="009257E7">
        <w:lastRenderedPageBreak/>
        <w:t>delimitado por la geografía que por el tiempo. Entre otras posibilidades, el proyecto de DC procura crear una institución o un programa nuevo orientado a la comunidad —no necesariamente de carácter económico— y gestionar proyectos comunitarios continuos, o implementar, monitorear y hacer cumplir un acuerdo previamente alcanzado. En ocasiones, las campañas conducen a acuerdos que dan lugar a instituciones o proyectos comunitarios, mientras que, en otras, las instituciones emprenden campañas para lograr acuerdos. Estas acciones complejas permiten a les abogades combinar conocimientos y herramientas con flexibilidad para adaptarlos al contexto y a los objetivos.</w:t>
      </w:r>
    </w:p>
    <w:p w14:paraId="3B68FDAF" w14:textId="77777777" w:rsidR="00AE0B8C" w:rsidRPr="009257E7" w:rsidRDefault="00AE0B8C" w:rsidP="00AE0B8C">
      <w:pPr>
        <w:pStyle w:val="NormalWeb"/>
      </w:pPr>
      <w:r w:rsidRPr="009257E7">
        <w:rPr>
          <w:rStyle w:val="Strong"/>
        </w:rPr>
        <w:t>Campañas temáticas:</w:t>
      </w:r>
    </w:p>
    <w:p w14:paraId="45D9016F" w14:textId="77777777" w:rsidR="00AE0B8C" w:rsidRPr="009257E7" w:rsidRDefault="00AE0B8C" w:rsidP="00AE0B8C">
      <w:pPr>
        <w:pStyle w:val="NormalWeb"/>
        <w:ind w:firstLine="720"/>
      </w:pPr>
      <w:r w:rsidRPr="009257E7">
        <w:t>Las campañas temáticas son actividades coordinadas, tanto jurídicas como extrajurídicas, destinadas a lograr un cambio en una política o práctica relacionada con un problema social persistente. Un manual destacado para activistas las ha descrito como actividades coordinadas “llevadas a cabo para lograr una victoria respecto de un asunto específico”:</w:t>
      </w:r>
    </w:p>
    <w:p w14:paraId="3118D784" w14:textId="3514B4F3" w:rsidR="00AE0B8C" w:rsidRPr="009257E7" w:rsidRDefault="00AE0B8C" w:rsidP="00AE0B8C">
      <w:pPr>
        <w:pStyle w:val="NormalWeb"/>
        <w:ind w:left="720"/>
      </w:pPr>
      <w:r w:rsidRPr="009257E7">
        <w:t>Una campaña temática termina con una victoria específica. Las personas obtienen algo que antes no tenían. Alguien con poder acepta hacer algo que ante</w:t>
      </w:r>
      <w:r w:rsidR="00F3040A" w:rsidRPr="009257E7">
        <w:t>s</w:t>
      </w:r>
      <w:r w:rsidRPr="009257E7">
        <w:t xml:space="preserve"> se negaba a hacer. La palabra “campaña” implica una serie de acontecimientos conectados a lo largo de un periodo, cada uno de los cuales fortalece a la organización y la acerca a la victoria. Pocas organizaciones tienen la fuerza </w:t>
      </w:r>
      <w:r w:rsidR="00F3040A" w:rsidRPr="009257E7">
        <w:t>necesaria</w:t>
      </w:r>
      <w:r w:rsidRPr="009257E7">
        <w:t xml:space="preserve"> para lograr una exigencia importante con solo pedirla</w:t>
      </w:r>
      <w:r w:rsidR="00F3040A" w:rsidRPr="009257E7">
        <w:t>…</w:t>
      </w:r>
      <w:r w:rsidRPr="009257E7">
        <w:t xml:space="preserve"> Una campaña temática tiene un comienzo, un desarrollo y un final. Rara vez constituye un acontecimiento aislado, ni es simplemente una serie de acontecimientos unidos por un tema común. Es un método para construir poder y fortalecer la organización.</w:t>
      </w:r>
      <w:r w:rsidRPr="009257E7">
        <w:rPr>
          <w:rStyle w:val="FootnoteReference"/>
        </w:rPr>
        <w:footnoteReference w:id="343"/>
      </w:r>
    </w:p>
    <w:p w14:paraId="2110B4C7" w14:textId="77E6BA89" w:rsidR="00AE0B8C" w:rsidRPr="009257E7" w:rsidRDefault="00AE0B8C" w:rsidP="00F3040A">
      <w:pPr>
        <w:pStyle w:val="NormalWeb"/>
        <w:ind w:firstLine="720"/>
      </w:pPr>
      <w:r w:rsidRPr="009257E7">
        <w:t>Las campañas temáticas pueden llevarse a cabo a nivel local, entre regiones y naciones o de manera transnacional. Los sindicatos y las organizaciones no gubernamentales abordan los problemas planteados por la globalización económica “mediante la investigación estratégica corporativa y el desarrollo de campañas estratégicas integrales”</w:t>
      </w:r>
      <w:r w:rsidR="00F3040A" w:rsidRPr="009257E7">
        <w:rPr>
          <w:rStyle w:val="FootnoteReference"/>
        </w:rPr>
        <w:footnoteReference w:id="344"/>
      </w:r>
      <w:r w:rsidRPr="009257E7">
        <w:t>. Las campañas temáticas pueden concentrarse en muchos problemas sociales persistentes:</w:t>
      </w:r>
    </w:p>
    <w:p w14:paraId="18F3F742" w14:textId="47C24AF2" w:rsidR="00AE0B8C" w:rsidRPr="009257E7" w:rsidRDefault="00AE0B8C" w:rsidP="00F3040A">
      <w:pPr>
        <w:pStyle w:val="NormalWeb"/>
        <w:ind w:left="720"/>
      </w:pPr>
      <w:r w:rsidRPr="009257E7">
        <w:t xml:space="preserve">[E]n todos los estados de Estados Unidos existen campañas continuas dirigidas desde las bases para abordar el encarcelamiento masivo y la rendición de cuentas de la policía, proteger las escuelas públicas frente a la reducción de fondos y el cierre, crear políticas de salario digno, garantizar una política migratoria integral y humana y proteger frente al deterioro de la red de seguridad social, entre muchos otros asuntos importantes. Este auge reciente de energía desde las bases crea posibilidades nuevas para generar cambio social </w:t>
      </w:r>
      <w:r w:rsidRPr="009257E7">
        <w:lastRenderedPageBreak/>
        <w:t>positivo, y les abogades se encuentran en una posición singular para apoyar, fortalecer y ampliar esos movimientos sociales.</w:t>
      </w:r>
      <w:r w:rsidR="00F3040A" w:rsidRPr="009257E7">
        <w:rPr>
          <w:rStyle w:val="FootnoteReference"/>
        </w:rPr>
        <w:footnoteReference w:id="345"/>
      </w:r>
    </w:p>
    <w:p w14:paraId="626164F5" w14:textId="77777777" w:rsidR="00AE0B8C" w:rsidRPr="009257E7" w:rsidRDefault="00AE0B8C" w:rsidP="00F3040A">
      <w:pPr>
        <w:pStyle w:val="NormalWeb"/>
        <w:ind w:firstLine="720"/>
      </w:pPr>
      <w:r w:rsidRPr="009257E7">
        <w:t>Como muestra este panorama breve, una campaña se adapta a su contexto sistémico y a su propósito social. A partir de la investigación y el análisis críticos, los grupos y les abogades diseñan las actividades de la campaña y procuran siempre actuar de maneras informadas, colaborativas, basadas en principios, sujetas a rendición de cuentas y prácticas.</w:t>
      </w:r>
    </w:p>
    <w:p w14:paraId="4D6AFDDE" w14:textId="77777777" w:rsidR="00AE0B8C" w:rsidRPr="009257E7" w:rsidRDefault="00AE0B8C" w:rsidP="00AE0B8C">
      <w:pPr>
        <w:pStyle w:val="NormalWeb"/>
      </w:pPr>
      <w:r w:rsidRPr="009257E7">
        <w:rPr>
          <w:rStyle w:val="Strong"/>
        </w:rPr>
        <w:t>Proyectos de desarrollo comunitario (DC):</w:t>
      </w:r>
    </w:p>
    <w:p w14:paraId="1C9A18F3" w14:textId="1665DC87" w:rsidR="00AE0B8C" w:rsidRPr="009257E7" w:rsidRDefault="00AE0B8C" w:rsidP="00F3040A">
      <w:pPr>
        <w:pStyle w:val="NormalWeb"/>
        <w:ind w:firstLine="720"/>
      </w:pPr>
      <w:r w:rsidRPr="009257E7">
        <w:t>Los proyectos de desarrollo comunitario abordan preocupaciones relacionadas con la equidad social y tienden a centrarse en el progreso material: desarrollo económico, sostenibilidad y oportunidades. Tradicionalmente, los proyectos de DC han tendido a centrarse en geografías locales. William Simon, académico y clínico con una trayectoria extensa centrada en el desarrollo económico comunitario, señala que los proyectos de DC suelen compartir tres elementos: “(1) esfuerzos para desarrollar vivienda, empleo u oportunidades empresariales para personas de bajos ingresos, (2) en los que organizaciones no gubernamentales sin fines de lucro desempeñan un papel principal, (3) y que rinden cuentas ante comunidades definidas por su lugar de residencia”</w:t>
      </w:r>
      <w:r w:rsidR="00260098" w:rsidRPr="009257E7">
        <w:rPr>
          <w:rStyle w:val="FootnoteReference"/>
        </w:rPr>
        <w:footnoteReference w:id="346"/>
      </w:r>
      <w:r w:rsidRPr="009257E7">
        <w:t xml:space="preserve">. Por tanto, con frecuencia, un proyecto de DC procura establecer una institución —una organización sin fines de lucro, una cooperativa de trabajadores u otra entidad— para llevar a cabo esfuerzos continuos que generen vivienda, empleo y oportunidades empresariales, con una gobernanza del proyecto diseñada para rendir cuentas a </w:t>
      </w:r>
      <w:r w:rsidR="00260098" w:rsidRPr="009257E7">
        <w:t xml:space="preserve">sus </w:t>
      </w:r>
      <w:r w:rsidRPr="009257E7">
        <w:t xml:space="preserve">integrantes o </w:t>
      </w:r>
      <w:r w:rsidR="00260098" w:rsidRPr="009257E7">
        <w:t xml:space="preserve">a sus </w:t>
      </w:r>
      <w:r w:rsidRPr="009257E7">
        <w:t>comunidades. Este tipo de proyecto de DC incluye modalidades conocidas, como las que ayudan a clientes a desarrollar pequeñas empresas, utilizan tácticas relacionadas con el mercado para el empoderamiento económico y político</w:t>
      </w:r>
      <w:r w:rsidR="00260098" w:rsidRPr="009257E7">
        <w:t>,</w:t>
      </w:r>
      <w:r w:rsidRPr="009257E7">
        <w:t xml:space="preserve"> o realizan abogacía </w:t>
      </w:r>
      <w:r w:rsidR="00260098" w:rsidRPr="009257E7">
        <w:t>en</w:t>
      </w:r>
      <w:r w:rsidRPr="009257E7">
        <w:t xml:space="preserve"> situaciones específicas de justicia económica</w:t>
      </w:r>
      <w:r w:rsidR="00260098" w:rsidRPr="009257E7">
        <w:rPr>
          <w:rStyle w:val="FootnoteReference"/>
        </w:rPr>
        <w:footnoteReference w:id="347"/>
      </w:r>
      <w:r w:rsidRPr="009257E7">
        <w:t xml:space="preserve">. Los proyectos de DC también implementan y monitorean acuerdos o planes —que con frecuencia son resultado de campañas— y pueden diseñarse para continuar </w:t>
      </w:r>
      <w:r w:rsidR="00260098" w:rsidRPr="009257E7">
        <w:t>indefinidamente</w:t>
      </w:r>
      <w:r w:rsidRPr="009257E7">
        <w:t>.</w:t>
      </w:r>
    </w:p>
    <w:p w14:paraId="5EBBD9F3" w14:textId="2240AB02" w:rsidR="00AE0B8C" w:rsidRPr="009257E7" w:rsidRDefault="00AE0B8C" w:rsidP="00260098">
      <w:pPr>
        <w:pStyle w:val="NormalWeb"/>
        <w:ind w:firstLine="720"/>
      </w:pPr>
      <w:r w:rsidRPr="009257E7">
        <w:t xml:space="preserve">Además, los proyectos de DC abren vías para la participación pública en el desarrollo económico y en otras decisiones de política </w:t>
      </w:r>
      <w:r w:rsidR="00260098" w:rsidRPr="009257E7">
        <w:t xml:space="preserve">pública </w:t>
      </w:r>
      <w:r w:rsidRPr="009257E7">
        <w:t>que probablemente afecten al grupo o a la comunidad. Debido a esta característica, les abogades se han concentrado en cómo estructurar mejor esa participación para promover la justicia colectiva. La estructura de la participación comunitaria debe superar el “enfoque restringido” típico</w:t>
      </w:r>
      <w:r w:rsidR="00260098" w:rsidRPr="009257E7">
        <w:t>,</w:t>
      </w:r>
      <w:r w:rsidRPr="009257E7">
        <w:t xml:space="preserve"> en el que las únicas aportaciones de</w:t>
      </w:r>
      <w:r w:rsidR="00260098" w:rsidRPr="009257E7">
        <w:t xml:space="preserve"> los</w:t>
      </w:r>
      <w:r w:rsidRPr="009257E7">
        <w:t xml:space="preserve"> integrantes de la comunidad a las políticas consisten, por ejemplo, en comentarios de dos minutos durante </w:t>
      </w:r>
      <w:r w:rsidR="00260098" w:rsidRPr="009257E7">
        <w:t xml:space="preserve">las </w:t>
      </w:r>
      <w:r w:rsidRPr="009257E7">
        <w:t>audiencias públicas</w:t>
      </w:r>
      <w:r w:rsidR="00260098" w:rsidRPr="009257E7">
        <w:rPr>
          <w:rStyle w:val="FootnoteReference"/>
        </w:rPr>
        <w:footnoteReference w:id="348"/>
      </w:r>
      <w:r w:rsidRPr="009257E7">
        <w:t xml:space="preserve">. Por el contrario, los procesos de participación plena </w:t>
      </w:r>
      <w:r w:rsidRPr="009257E7">
        <w:lastRenderedPageBreak/>
        <w:t>exigen que las agencias “identifiquen pasos intermedios fundamentales [dentro del proceso de elaboración de políticas] que darán forma y establecerán límites a la decisión final; desarrollen una variedad de alternativas; proporcionen análisis e información oportunos[;]</w:t>
      </w:r>
      <w:r w:rsidR="00260098" w:rsidRPr="009257E7">
        <w:t>…</w:t>
      </w:r>
      <w:r w:rsidRPr="009257E7">
        <w:t xml:space="preserve"> faciliten la traducción de las aportaciones del público en resultados de la toma de decisiones; y financien a grupos comunitarios para involucrar a les residentes”</w:t>
      </w:r>
      <w:r w:rsidR="00260098" w:rsidRPr="009257E7">
        <w:rPr>
          <w:rStyle w:val="FootnoteReference"/>
        </w:rPr>
        <w:footnoteReference w:id="349"/>
      </w:r>
      <w:r w:rsidRPr="009257E7">
        <w:t>.</w:t>
      </w:r>
    </w:p>
    <w:p w14:paraId="67A5178A" w14:textId="761A8907" w:rsidR="00AE0B8C" w:rsidRPr="009257E7" w:rsidRDefault="00AE0B8C" w:rsidP="00260098">
      <w:pPr>
        <w:pStyle w:val="NormalWeb"/>
        <w:ind w:firstLine="720"/>
      </w:pPr>
      <w:r w:rsidRPr="009257E7">
        <w:t xml:space="preserve">Dentro de este proceso específico de estructuración de la participación pública en las decisiones de política, las campañas temáticas y los proyectos de DC vuelven a combinarse e intersectarse de acuerdo con el contexto. Les abogades, por ejemplo, pueden emprender campañas para crear oportunidades de participación desde abajo en la </w:t>
      </w:r>
      <w:r w:rsidR="00396723" w:rsidRPr="009257E7">
        <w:t xml:space="preserve">toma de </w:t>
      </w:r>
      <w:r w:rsidRPr="009257E7">
        <w:t xml:space="preserve">decisiones </w:t>
      </w:r>
      <w:r w:rsidR="00396723" w:rsidRPr="009257E7">
        <w:t xml:space="preserve">de </w:t>
      </w:r>
      <w:r w:rsidRPr="009257E7">
        <w:t>política</w:t>
      </w:r>
      <w:r w:rsidR="00396723" w:rsidRPr="009257E7">
        <w:t xml:space="preserve"> pública</w:t>
      </w:r>
      <w:r w:rsidRPr="009257E7">
        <w:t xml:space="preserve">. Después, utilizando el poder generado por esos avances u oportunidades, presionan aún más para desarrollar programas continuos de empleo, </w:t>
      </w:r>
      <w:r w:rsidR="00396723" w:rsidRPr="009257E7">
        <w:t xml:space="preserve">de </w:t>
      </w:r>
      <w:r w:rsidRPr="009257E7">
        <w:t xml:space="preserve">pequeñas empresas, </w:t>
      </w:r>
      <w:r w:rsidR="00396723" w:rsidRPr="009257E7">
        <w:t xml:space="preserve">de </w:t>
      </w:r>
      <w:r w:rsidRPr="009257E7">
        <w:t>vivienda,</w:t>
      </w:r>
      <w:r w:rsidR="00396723" w:rsidRPr="009257E7">
        <w:t xml:space="preserve"> de</w:t>
      </w:r>
      <w:r w:rsidRPr="009257E7">
        <w:t xml:space="preserve"> atención médica u otros ámbitos. Estos esfuerzos aprovechan —y defienden— el acceso y los recursos logrados mediante la participación política previa para </w:t>
      </w:r>
      <w:r w:rsidR="00396723" w:rsidRPr="009257E7">
        <w:t>segui</w:t>
      </w:r>
      <w:r w:rsidRPr="009257E7">
        <w:t>r impulsando un “desarrollo sujeto a rendición de cuentas”. Este enfoque procura empoderar a las comunidades subordinadas para que asuman un control cada vez mayor sobre las condiciones, las decisiones y las perspectivas locales.</w:t>
      </w:r>
    </w:p>
    <w:p w14:paraId="43850849" w14:textId="03DC34C9" w:rsidR="00AE0B8C" w:rsidRPr="009257E7" w:rsidRDefault="00AE0B8C" w:rsidP="00396723">
      <w:pPr>
        <w:pStyle w:val="NormalWeb"/>
        <w:ind w:firstLine="720"/>
      </w:pPr>
      <w:r w:rsidRPr="009257E7">
        <w:t xml:space="preserve">Al igual que en las campañas, la investigación y el análisis críticos son necesarios para desarrollar planes de acción contextuales que permitan crear y sostener proyectos de DC. Como reflejo de este punto fundamental, un desafío clave para los proyectos de DC es el desajuste sistémico que se </w:t>
      </w:r>
      <w:r w:rsidR="00396723" w:rsidRPr="009257E7">
        <w:t>produce</w:t>
      </w:r>
      <w:r w:rsidRPr="009257E7">
        <w:t xml:space="preserve"> al utilizar “estrategias localizadas en vecindarios urbanos del centro de las ciudades para combatir los </w:t>
      </w:r>
      <w:r w:rsidR="00396723" w:rsidRPr="009257E7">
        <w:t>efect</w:t>
      </w:r>
      <w:r w:rsidRPr="009257E7">
        <w:t>os del cambio económico estructural en regiones metropolitanas”</w:t>
      </w:r>
      <w:r w:rsidR="00396723" w:rsidRPr="009257E7">
        <w:rPr>
          <w:rStyle w:val="FootnoteReference"/>
        </w:rPr>
        <w:footnoteReference w:id="350"/>
      </w:r>
      <w:r w:rsidRPr="009257E7">
        <w:t xml:space="preserve">. En otras palabras, los proyectos de DC —o las campañas— que concentran la investigación, el análisis y la acción </w:t>
      </w:r>
      <w:r w:rsidRPr="009257E7">
        <w:rPr>
          <w:rStyle w:val="Emphasis"/>
        </w:rPr>
        <w:t>únicamente</w:t>
      </w:r>
      <w:r w:rsidRPr="009257E7">
        <w:t xml:space="preserve"> en su contexto inmediato pueden pasar por alto perspectivas, peligros u oportunidades importantes que solo pueden percibirse desde horizontes más amplios.</w:t>
      </w:r>
    </w:p>
    <w:p w14:paraId="619BBBB9" w14:textId="1F9BF961" w:rsidR="00AE0B8C" w:rsidRPr="009257E7" w:rsidRDefault="00AE0B8C" w:rsidP="00396723">
      <w:pPr>
        <w:pStyle w:val="NormalWeb"/>
        <w:ind w:firstLine="720"/>
      </w:pPr>
      <w:r w:rsidRPr="009257E7">
        <w:t>Por ejemplo, las “Zonas de Empoderamiento” son vecindarios creados en áreas urbanas pobres con el propósito de remediar la falta de empleos locales de calidad, pero estas zonas no funcionaron particularmente bien para sacar a les residentes de la pobreza. ¿Por qué? Una crítica temprana de las Zonas de Empoderamiento realizada por la académica del derecho Audrey McFarlane concluyó que la estrategia fracasó como plataforma para una acción efectiva porque la premisa subyacente sostenía que la pobreza urbana era “generada internamente y susceptible de remediarse internamente” por quienes vivían en vecindarios pobres</w:t>
      </w:r>
      <w:r w:rsidR="00396723" w:rsidRPr="009257E7">
        <w:rPr>
          <w:rStyle w:val="FootnoteReference"/>
        </w:rPr>
        <w:footnoteReference w:id="351"/>
      </w:r>
      <w:r w:rsidRPr="009257E7">
        <w:t xml:space="preserve">. El contexto inmediato y su historia eran —y siguen siendo— pertinentes para el diagnóstico y la estrategia, pero las soluciones también deben abordar “el legado de programas históricos” que generaron pobreza </w:t>
      </w:r>
      <w:r w:rsidR="00396723" w:rsidRPr="009257E7">
        <w:t>en</w:t>
      </w:r>
      <w:r w:rsidRPr="009257E7">
        <w:t xml:space="preserve"> las ciudades, “el impacto de la globalización y la tecnología” y el “contexto urbano ‘vivido’ </w:t>
      </w:r>
      <w:r w:rsidRPr="009257E7">
        <w:lastRenderedPageBreak/>
        <w:t>actual del espacio racializado”</w:t>
      </w:r>
      <w:r w:rsidR="00396723" w:rsidRPr="009257E7">
        <w:rPr>
          <w:rStyle w:val="FootnoteReference"/>
        </w:rPr>
        <w:footnoteReference w:id="352"/>
      </w:r>
      <w:r w:rsidRPr="009257E7">
        <w:t>.[12] Sin una investigación y un análisis críticos suficientemente amplios, los proyectos de DC y las campañas tendrán impactos sociales limitados y, quizás, regresivos.</w:t>
      </w:r>
    </w:p>
    <w:p w14:paraId="2E7D94EE" w14:textId="44324F63" w:rsidR="00AE0B8C" w:rsidRPr="009257E7" w:rsidRDefault="00AE0B8C" w:rsidP="00396723">
      <w:pPr>
        <w:pStyle w:val="NormalWeb"/>
        <w:ind w:firstLine="720"/>
      </w:pPr>
      <w:r w:rsidRPr="009257E7">
        <w:t>Pasamos ahora a una lista de comprobación informal de puntos básicos que ayudan a preparar a les abogades para desarrollar campañas y proyectos de DC con éxito. Esta “lista de comprobación de acciones” no es exhaustiva ni se aplica de manera mecánica; únicamente proporciona algunos puntos de referencia que les abogades deben adaptar según sea necesario. Los puntos básicos que siguen son prácticos y conceptuales</w:t>
      </w:r>
      <w:r w:rsidR="00396723" w:rsidRPr="009257E7">
        <w:t>,</w:t>
      </w:r>
      <w:r w:rsidRPr="009257E7">
        <w:t xml:space="preserve"> y están diseñados como un conjunto para ayudar a les abogades y a los equipos a desempeñarse de la mejor manera posible</w:t>
      </w:r>
      <w:r w:rsidR="00396723" w:rsidRPr="009257E7">
        <w:t xml:space="preserve">, en </w:t>
      </w:r>
      <w:r w:rsidRPr="009257E7">
        <w:t>cualquier contexto determinado.</w:t>
      </w:r>
    </w:p>
    <w:p w14:paraId="2290FF49" w14:textId="77777777" w:rsidR="00396723" w:rsidRPr="009257E7" w:rsidRDefault="00396723" w:rsidP="00396723">
      <w:pPr>
        <w:pStyle w:val="NormalWeb"/>
        <w:rPr>
          <w:b/>
          <w:bCs/>
        </w:rPr>
      </w:pPr>
      <w:r w:rsidRPr="009257E7">
        <w:rPr>
          <w:b/>
          <w:bCs/>
        </w:rPr>
        <w:t>Lista de comprobación de acciones:</w:t>
      </w:r>
    </w:p>
    <w:p w14:paraId="2F9E5FB9" w14:textId="606FBBFD" w:rsidR="00396723" w:rsidRPr="009257E7" w:rsidRDefault="00396723" w:rsidP="00396723">
      <w:pPr>
        <w:pStyle w:val="NormalWeb"/>
        <w:ind w:firstLine="720"/>
      </w:pPr>
      <w:r w:rsidRPr="009257E7">
        <w:t xml:space="preserve">Para maximizar el impacto social, les abogades deben diseñar y ejecutar acciones complejas de manera competente. Para ello, deben abordar componentes fundamentales o preocupaciones persistentes que sustentan las campañas y los proyectos de DC exitosos. Aunque estos no constituyen “pasos” secuenciales, estas preocupaciones o componentes reflejan, en la medida de lo posible, la manera en que se desarrollan en la práctica. Les abogades recorren diariamente estos pasos o preocupaciones en circunstancias cambiantes, de modo que cada una se apoye en las anteriores. Tal como se aplica en el trabajo de campo, la lista que sigue funciona como una lista de comprobación continua para apoyar una abogacía efectiva. Cada componente incluye aspectos recurrentes de la práctica en campañas y proyectos de DC y enfatiza destrezas más amplias que las tradicionales, necesarias para ambos. </w:t>
      </w:r>
    </w:p>
    <w:p w14:paraId="69CB0BA1" w14:textId="4146A8BE" w:rsidR="00396723" w:rsidRPr="009257E7" w:rsidRDefault="00396723" w:rsidP="00396723">
      <w:pPr>
        <w:numPr>
          <w:ilvl w:val="0"/>
          <w:numId w:val="20"/>
        </w:numPr>
        <w:spacing w:before="100" w:beforeAutospacing="1" w:after="100" w:afterAutospacing="1" w:line="240" w:lineRule="auto"/>
        <w:rPr>
          <w:rFonts w:ascii="Times New Roman" w:hAnsi="Times New Roman" w:cs="Times New Roman"/>
          <w:b/>
          <w:bCs/>
        </w:rPr>
      </w:pPr>
      <w:r w:rsidRPr="009257E7">
        <w:rPr>
          <w:rFonts w:ascii="Times New Roman" w:hAnsi="Times New Roman" w:cs="Times New Roman"/>
          <w:b/>
          <w:bCs/>
        </w:rPr>
        <w:t>Prepararse para el éxito—adquirir y mantener una base sólida</w:t>
      </w:r>
    </w:p>
    <w:p w14:paraId="2D8A0E02" w14:textId="77777777" w:rsidR="00396723" w:rsidRPr="009257E7" w:rsidRDefault="00396723" w:rsidP="00396723">
      <w:pPr>
        <w:pStyle w:val="NormalWeb"/>
      </w:pPr>
      <w:r w:rsidRPr="009257E7">
        <w:t>Adquirir una base sólida incluye (a) utilizar prácticas de autoconciencia y competencia intercultural para evaluar sus relaciones individuales y su posición dentro de ese contexto; (b) evaluar las limitaciones y oportunidades institucionales relacionadas con la campaña temática o el proyecto de DC; (c) evaluar los riesgos de manera consciente; y (d) pensar a largo plazo.</w:t>
      </w:r>
    </w:p>
    <w:p w14:paraId="2448397F" w14:textId="5C9E795C" w:rsidR="00396723" w:rsidRPr="009257E7" w:rsidRDefault="00396723" w:rsidP="00396723">
      <w:pPr>
        <w:numPr>
          <w:ilvl w:val="0"/>
          <w:numId w:val="21"/>
        </w:numPr>
        <w:spacing w:before="100" w:beforeAutospacing="1" w:after="100" w:afterAutospacing="1" w:line="240" w:lineRule="auto"/>
        <w:rPr>
          <w:rFonts w:ascii="Times New Roman" w:hAnsi="Times New Roman" w:cs="Times New Roman"/>
          <w:b/>
          <w:bCs/>
        </w:rPr>
      </w:pPr>
      <w:r w:rsidRPr="009257E7">
        <w:rPr>
          <w:rFonts w:ascii="Times New Roman" w:hAnsi="Times New Roman" w:cs="Times New Roman"/>
          <w:b/>
          <w:bCs/>
        </w:rPr>
        <w:t>Comenzar—</w:t>
      </w:r>
      <w:r w:rsidR="000B14B1" w:rsidRPr="009257E7">
        <w:rPr>
          <w:rFonts w:ascii="Times New Roman" w:hAnsi="Times New Roman" w:cs="Times New Roman"/>
          <w:b/>
          <w:bCs/>
        </w:rPr>
        <w:t>e</w:t>
      </w:r>
      <w:r w:rsidRPr="009257E7">
        <w:rPr>
          <w:rFonts w:ascii="Times New Roman" w:hAnsi="Times New Roman" w:cs="Times New Roman"/>
          <w:b/>
          <w:bCs/>
        </w:rPr>
        <w:t>nfocar a los “clientes” y las organizaciones</w:t>
      </w:r>
    </w:p>
    <w:p w14:paraId="01D27DA7" w14:textId="5AD15654" w:rsidR="00396723" w:rsidRPr="009257E7" w:rsidRDefault="00396723" w:rsidP="00396723">
      <w:pPr>
        <w:pStyle w:val="NormalWeb"/>
      </w:pPr>
      <w:r w:rsidRPr="009257E7">
        <w:t>Enfocar a las organizaciones como “protagonistas” de la abogacía sistémica implica considera</w:t>
      </w:r>
      <w:r w:rsidR="000B14B1" w:rsidRPr="009257E7">
        <w:t>r:</w:t>
      </w:r>
      <w:r w:rsidRPr="009257E7">
        <w:t xml:space="preserve"> (a) comprender la naturaleza, las misiones y las teorías del cambio de los grupos de clientes y de los grupos socios de coalición; (b) aclarar la estructura de toma de decisiones de los grupos de clientes y </w:t>
      </w:r>
      <w:r w:rsidR="000B14B1" w:rsidRPr="009257E7">
        <w:t xml:space="preserve">de los grupos </w:t>
      </w:r>
      <w:r w:rsidRPr="009257E7">
        <w:t>socios</w:t>
      </w:r>
      <w:r w:rsidR="000B14B1" w:rsidRPr="009257E7">
        <w:t xml:space="preserve"> de coalición</w:t>
      </w:r>
      <w:r w:rsidRPr="009257E7">
        <w:t xml:space="preserve"> para garantizar la rendición de cuentas ante los intereses de</w:t>
      </w:r>
      <w:r w:rsidR="000B14B1" w:rsidRPr="009257E7">
        <w:t xml:space="preserve"> sus</w:t>
      </w:r>
      <w:r w:rsidRPr="009257E7">
        <w:t xml:space="preserve"> integrantes o constituyentes; y (c) identificar los desafíos éticos que puedan surgir.</w:t>
      </w:r>
    </w:p>
    <w:p w14:paraId="032B3235" w14:textId="3F62F86F" w:rsidR="00396723" w:rsidRPr="009257E7" w:rsidRDefault="00396723" w:rsidP="00396723">
      <w:pPr>
        <w:numPr>
          <w:ilvl w:val="0"/>
          <w:numId w:val="22"/>
        </w:numPr>
        <w:spacing w:before="100" w:beforeAutospacing="1" w:after="100" w:afterAutospacing="1" w:line="240" w:lineRule="auto"/>
        <w:rPr>
          <w:rFonts w:ascii="Times New Roman" w:hAnsi="Times New Roman" w:cs="Times New Roman"/>
          <w:b/>
          <w:bCs/>
        </w:rPr>
      </w:pPr>
      <w:r w:rsidRPr="009257E7">
        <w:rPr>
          <w:rFonts w:ascii="Times New Roman" w:hAnsi="Times New Roman" w:cs="Times New Roman"/>
          <w:b/>
          <w:bCs/>
        </w:rPr>
        <w:lastRenderedPageBreak/>
        <w:t>Establecer los términos de participación—</w:t>
      </w:r>
      <w:r w:rsidR="000B14B1" w:rsidRPr="009257E7">
        <w:rPr>
          <w:rFonts w:ascii="Times New Roman" w:hAnsi="Times New Roman" w:cs="Times New Roman"/>
          <w:b/>
          <w:bCs/>
        </w:rPr>
        <w:t>i</w:t>
      </w:r>
      <w:r w:rsidRPr="009257E7">
        <w:rPr>
          <w:rFonts w:ascii="Times New Roman" w:hAnsi="Times New Roman" w:cs="Times New Roman"/>
          <w:b/>
          <w:bCs/>
        </w:rPr>
        <w:t>dentificar audiencias y enmarcar mensajes</w:t>
      </w:r>
    </w:p>
    <w:p w14:paraId="2B31DA1F" w14:textId="77777777" w:rsidR="00396723" w:rsidRPr="009257E7" w:rsidRDefault="00396723" w:rsidP="00396723">
      <w:pPr>
        <w:pStyle w:val="NormalWeb"/>
      </w:pPr>
      <w:r w:rsidRPr="009257E7">
        <w:t xml:space="preserve">Este componente implica tareas como (a) comprender críticamente los marcos como recursos para la abogacía a corto y largo plazo; (b) seleccionar los marcos clave de la campaña o del proyecto; (c) desarrollar mensajes diseñados para contar historias convincentes a modo de “retratos” de las personas y comunidades afectadas </w:t>
      </w:r>
      <w:r w:rsidRPr="009257E7">
        <w:rPr>
          <w:rStyle w:val="Emphasis"/>
        </w:rPr>
        <w:t>y</w:t>
      </w:r>
      <w:r w:rsidRPr="009257E7">
        <w:t xml:space="preserve"> explicar el “paisaje” contextual crítico que creó y mantuvo el problema social; (d) comprender y utilizar innovaciones tecnológicas para la comunicación y la movilización; y (e) evaluar el potencial de métodos de comunicación participativa para la campaña o el proyecto.</w:t>
      </w:r>
    </w:p>
    <w:p w14:paraId="3289B0F3" w14:textId="77777777" w:rsidR="00396723" w:rsidRPr="009257E7" w:rsidRDefault="00396723" w:rsidP="00396723">
      <w:pPr>
        <w:numPr>
          <w:ilvl w:val="0"/>
          <w:numId w:val="23"/>
        </w:numPr>
        <w:spacing w:before="100" w:beforeAutospacing="1" w:after="100" w:afterAutospacing="1" w:line="240" w:lineRule="auto"/>
        <w:rPr>
          <w:rFonts w:ascii="Times New Roman" w:hAnsi="Times New Roman" w:cs="Times New Roman"/>
          <w:b/>
          <w:bCs/>
        </w:rPr>
      </w:pPr>
      <w:r w:rsidRPr="009257E7">
        <w:rPr>
          <w:rFonts w:ascii="Times New Roman" w:hAnsi="Times New Roman" w:cs="Times New Roman"/>
          <w:b/>
          <w:bCs/>
        </w:rPr>
        <w:t>Diseñar estrategias y tácticas para ejecutar planes de acción complejos</w:t>
      </w:r>
    </w:p>
    <w:p w14:paraId="6756165E" w14:textId="3AE73520" w:rsidR="00396723" w:rsidRPr="009257E7" w:rsidRDefault="00396723" w:rsidP="00396723">
      <w:pPr>
        <w:pStyle w:val="NormalWeb"/>
      </w:pPr>
      <w:r w:rsidRPr="009257E7">
        <w:t>Los equipos de abogacía se concentran en (a) comprender quiénes son los responsables de la toma de decisiones a quienes se dirige la acción y evaluar las estrategias y tácticas disponibles dentro de un contexto particular; (b) aclarar los procesos de planificación con los grupos de clientes o socios; (c) definir las tácticas jurídicas clave de capacidad de presión y las funciones del equipo dentro del plan de acción; y (d) crear un calendario de tácticas de escalada y puntos de compresión</w:t>
      </w:r>
      <w:r w:rsidR="000B14B1" w:rsidRPr="009257E7">
        <w:rPr>
          <w:rStyle w:val="FootnoteReference"/>
        </w:rPr>
        <w:footnoteReference w:id="353"/>
      </w:r>
      <w:r w:rsidRPr="009257E7">
        <w:t xml:space="preserve">. Todo este trabajo se integrará en su plan de acción para lograr </w:t>
      </w:r>
      <w:r w:rsidR="000B14B1" w:rsidRPr="009257E7">
        <w:t xml:space="preserve">un </w:t>
      </w:r>
      <w:r w:rsidRPr="009257E7">
        <w:t>progreso a largo plazo.</w:t>
      </w:r>
    </w:p>
    <w:p w14:paraId="6CA507E9" w14:textId="77777777" w:rsidR="00396723" w:rsidRPr="009257E7" w:rsidRDefault="00396723" w:rsidP="00396723">
      <w:pPr>
        <w:numPr>
          <w:ilvl w:val="0"/>
          <w:numId w:val="24"/>
        </w:numPr>
        <w:spacing w:before="100" w:beforeAutospacing="1" w:after="100" w:afterAutospacing="1" w:line="240" w:lineRule="auto"/>
        <w:rPr>
          <w:rFonts w:ascii="Times New Roman" w:hAnsi="Times New Roman" w:cs="Times New Roman"/>
          <w:b/>
          <w:bCs/>
        </w:rPr>
      </w:pPr>
      <w:r w:rsidRPr="009257E7">
        <w:rPr>
          <w:rFonts w:ascii="Times New Roman" w:hAnsi="Times New Roman" w:cs="Times New Roman"/>
          <w:b/>
          <w:bCs/>
        </w:rPr>
        <w:t>Construir coaliciones y gestionar equipos para organizar la colaboración</w:t>
      </w:r>
    </w:p>
    <w:p w14:paraId="122D67D7" w14:textId="77777777" w:rsidR="00396723" w:rsidRPr="009257E7" w:rsidRDefault="00396723" w:rsidP="00396723">
      <w:pPr>
        <w:pStyle w:val="NormalWeb"/>
      </w:pPr>
      <w:r w:rsidRPr="009257E7">
        <w:t>El trabajo efectivo en equipo requiere (a) comprender la diferencia entre los “equipos” y otros “grupos”; (b) planificar una comunicación interdisciplinaria efectiva y el desarrollo del equipo; (c) gestionar el conflicto; y (d) desarrollar espacios para la sanación interpersonal e intergrupal.</w:t>
      </w:r>
    </w:p>
    <w:p w14:paraId="72F54FAF" w14:textId="77777777" w:rsidR="00396723" w:rsidRPr="009257E7" w:rsidRDefault="00396723" w:rsidP="00396723">
      <w:pPr>
        <w:numPr>
          <w:ilvl w:val="0"/>
          <w:numId w:val="25"/>
        </w:numPr>
        <w:spacing w:before="100" w:beforeAutospacing="1" w:after="100" w:afterAutospacing="1" w:line="240" w:lineRule="auto"/>
        <w:rPr>
          <w:rFonts w:ascii="Times New Roman" w:hAnsi="Times New Roman" w:cs="Times New Roman"/>
          <w:b/>
          <w:bCs/>
        </w:rPr>
      </w:pPr>
      <w:r w:rsidRPr="009257E7">
        <w:rPr>
          <w:rFonts w:ascii="Times New Roman" w:hAnsi="Times New Roman" w:cs="Times New Roman"/>
          <w:b/>
          <w:bCs/>
        </w:rPr>
        <w:t>Mantener una actitud proactiva y anticipar la oposición</w:t>
      </w:r>
    </w:p>
    <w:p w14:paraId="47FEEFB3" w14:textId="55568925" w:rsidR="00396723" w:rsidRPr="009257E7" w:rsidRDefault="00396723" w:rsidP="00396723">
      <w:pPr>
        <w:pStyle w:val="NormalWeb"/>
      </w:pPr>
      <w:r w:rsidRPr="009257E7">
        <w:t xml:space="preserve">Dado que la oposición es constante, los equipos de abogacía dedican tiempo a (a) comprender la oposición y la reacción adversa; (b) anticipar represalias contra personas; (c) abordar la intimidación organizativa; y (d) gestionar la ambigüedad </w:t>
      </w:r>
      <w:r w:rsidR="000B14B1" w:rsidRPr="009257E7">
        <w:t>en</w:t>
      </w:r>
      <w:r w:rsidRPr="009257E7">
        <w:t xml:space="preserve"> relaciones “de oposición” y de otro tipo.</w:t>
      </w:r>
    </w:p>
    <w:p w14:paraId="1A3E7AEC" w14:textId="77777777" w:rsidR="00396723" w:rsidRPr="009257E7" w:rsidRDefault="00396723" w:rsidP="00396723">
      <w:pPr>
        <w:numPr>
          <w:ilvl w:val="0"/>
          <w:numId w:val="26"/>
        </w:numPr>
        <w:spacing w:before="100" w:beforeAutospacing="1" w:after="100" w:afterAutospacing="1" w:line="240" w:lineRule="auto"/>
        <w:rPr>
          <w:rFonts w:ascii="Times New Roman" w:hAnsi="Times New Roman" w:cs="Times New Roman"/>
          <w:b/>
          <w:bCs/>
        </w:rPr>
      </w:pPr>
      <w:r w:rsidRPr="009257E7">
        <w:rPr>
          <w:rFonts w:ascii="Times New Roman" w:hAnsi="Times New Roman" w:cs="Times New Roman"/>
          <w:b/>
          <w:bCs/>
        </w:rPr>
        <w:t>Monitorear y hacer cumplir las “victorias” para consolidar el “progreso”</w:t>
      </w:r>
    </w:p>
    <w:p w14:paraId="69FE81DB" w14:textId="77777777" w:rsidR="00396723" w:rsidRPr="009257E7" w:rsidRDefault="00396723" w:rsidP="00396723">
      <w:pPr>
        <w:pStyle w:val="NormalWeb"/>
      </w:pPr>
      <w:r w:rsidRPr="009257E7">
        <w:t xml:space="preserve">Sostener los avances implica (a) evaluar la importancia estratégica de la implementación, la aplicación y el monitoreo; (b) crear programas de monitoreo que empoderen a las comunidades </w:t>
      </w:r>
      <w:r w:rsidRPr="009257E7">
        <w:lastRenderedPageBreak/>
        <w:t>afectadas; y (c) evaluar de manera autocrítica y desarrollar la capacidad de abogacía, recordando utilizar de manera proactiva tanto el tiempo como el momento oportuno para lograr progreso en los tres niveles.</w:t>
      </w:r>
    </w:p>
    <w:p w14:paraId="63C88B65" w14:textId="77777777" w:rsidR="00396723" w:rsidRPr="009257E7" w:rsidRDefault="00396723" w:rsidP="00396723">
      <w:pPr>
        <w:numPr>
          <w:ilvl w:val="0"/>
          <w:numId w:val="27"/>
        </w:numPr>
        <w:spacing w:before="100" w:beforeAutospacing="1" w:after="100" w:afterAutospacing="1" w:line="240" w:lineRule="auto"/>
        <w:rPr>
          <w:rFonts w:ascii="Times New Roman" w:hAnsi="Times New Roman" w:cs="Times New Roman"/>
          <w:b/>
          <w:bCs/>
        </w:rPr>
      </w:pPr>
      <w:r w:rsidRPr="009257E7">
        <w:rPr>
          <w:rFonts w:ascii="Times New Roman" w:hAnsi="Times New Roman" w:cs="Times New Roman"/>
          <w:b/>
          <w:bCs/>
        </w:rPr>
        <w:t>Obtener o rechazar recursos para la autonomía colectiva</w:t>
      </w:r>
    </w:p>
    <w:p w14:paraId="1F987D8E" w14:textId="559E1F6F" w:rsidR="00396723" w:rsidRPr="009257E7" w:rsidRDefault="00396723" w:rsidP="00396723">
      <w:pPr>
        <w:pStyle w:val="NormalWeb"/>
      </w:pPr>
      <w:r w:rsidRPr="009257E7">
        <w:t xml:space="preserve">Esta preocupación continua depende de (a) evaluar de manera autocrítica la naturaleza y las fuentes de financiamiento de les abogades, los grupos de clientes y los grupos socios; (b) planificar la recaudación estratégica de fondos; y (c) explorar </w:t>
      </w:r>
      <w:r w:rsidR="000B14B1" w:rsidRPr="009257E7">
        <w:t>iniciativas</w:t>
      </w:r>
      <w:r w:rsidRPr="009257E7">
        <w:t xml:space="preserve"> de financiamiento sujetas a rendición de cuentas ante las comunidades de clientes.</w:t>
      </w:r>
    </w:p>
    <w:p w14:paraId="38157E96" w14:textId="074CD55C" w:rsidR="00396723" w:rsidRPr="009257E7" w:rsidRDefault="00396723" w:rsidP="000B14B1">
      <w:pPr>
        <w:pStyle w:val="NormalWeb"/>
        <w:ind w:firstLine="720"/>
      </w:pPr>
      <w:r w:rsidRPr="009257E7">
        <w:t xml:space="preserve">Hemos examinado una variedad de acciones, componentes y preocupaciones relacionados con la </w:t>
      </w:r>
      <w:r w:rsidR="000B14B1" w:rsidRPr="009257E7">
        <w:t>s</w:t>
      </w:r>
      <w:r w:rsidRPr="009257E7">
        <w:t>egunda etapa de la abogacía sistémica. Este esquema de componentes o preocupaciones prácticas ofrece algunas pautas básicas para ayudar a les abogades a actuar con la mayor efectividad posible. Sin embargo, como siempre, las decisiones de abogacía dependerán del contexto y de los objetivos y deben estar fundamentadas en conocimiento desde abajo para apoyar luchas organizadas de largo plazo.</w:t>
      </w:r>
      <w:r w:rsidR="000B14B1" w:rsidRPr="009257E7">
        <w:t xml:space="preserve"> </w:t>
      </w:r>
    </w:p>
    <w:p w14:paraId="2BA61DB4" w14:textId="7D9BA18D" w:rsidR="00396723" w:rsidRPr="009257E7" w:rsidRDefault="00396723" w:rsidP="000B14B1">
      <w:pPr>
        <w:pStyle w:val="NormalWeb"/>
        <w:ind w:firstLine="720"/>
      </w:pPr>
      <w:r w:rsidRPr="009257E7">
        <w:t>Les abogades y</w:t>
      </w:r>
      <w:r w:rsidR="000B14B1" w:rsidRPr="009257E7">
        <w:t xml:space="preserve"> los</w:t>
      </w:r>
      <w:r w:rsidRPr="009257E7">
        <w:t xml:space="preserve"> grupos locales combinan palancas jurídicas y extrajurídicas para impulsar </w:t>
      </w:r>
      <w:r w:rsidR="000B14B1" w:rsidRPr="009257E7">
        <w:t xml:space="preserve">el </w:t>
      </w:r>
      <w:r w:rsidRPr="009257E7">
        <w:t xml:space="preserve">progreso en los tres niveles mediante una campaña orientada </w:t>
      </w:r>
      <w:r w:rsidR="000B14B1" w:rsidRPr="009257E7">
        <w:t xml:space="preserve">a </w:t>
      </w:r>
      <w:r w:rsidRPr="009257E7">
        <w:t>objetivos explícitos y claramente formulados. Estas palancas incluyen, pero también trascienden, el pensamiento y la práctica jurídic</w:t>
      </w:r>
      <w:r w:rsidR="000B14B1" w:rsidRPr="009257E7">
        <w:t>os</w:t>
      </w:r>
      <w:r w:rsidRPr="009257E7">
        <w:t xml:space="preserve"> tradicionales; exigen que les abogades participen en una variedad de acciones tradicionales —litigio— y no tradicionales —organización, cabildeo y publicidad— que con frecuencia implican colaboraciones complejas. Dentro de esta acción compleja, grupos comunitarios organizados, les abogades y aliades trabajan en coalición, apoyándose en cierta medida en proyectos de DC preexistentes y utilizando el litigio de manera estratégica para fines tan importantes como una victoria jurídica técnica o inmediata, si no más importantes.</w:t>
      </w:r>
    </w:p>
    <w:p w14:paraId="1ECE5ABC" w14:textId="7E9F2B1F" w:rsidR="00396723" w:rsidRPr="009257E7" w:rsidRDefault="000B14B1" w:rsidP="000B14B1">
      <w:pPr>
        <w:pStyle w:val="NormalWeb"/>
        <w:ind w:firstLine="720"/>
      </w:pPr>
      <w:r w:rsidRPr="009257E7">
        <w:t>En</w:t>
      </w:r>
      <w:r w:rsidR="00396723" w:rsidRPr="009257E7">
        <w:t xml:space="preserve"> este contexto social y sistémico multifacético, las cooperativas de trabajadores se han convertido en una respuesta organizada que cumple </w:t>
      </w:r>
      <w:r w:rsidRPr="009257E7">
        <w:t xml:space="preserve">con </w:t>
      </w:r>
      <w:r w:rsidR="00396723" w:rsidRPr="009257E7">
        <w:t>propósitos de tres niveles. Proporcionan “estructuras empresariales democráticas” como alternativas a la estructuración jurídica convencional de la riqueza económica, que subordina los intereses de todes les trabajadores y de otras partes interesadas de la comunidad al objetivo y a los intereses de los accionistas</w:t>
      </w:r>
      <w:r w:rsidRPr="009257E7">
        <w:t>, orientados</w:t>
      </w:r>
      <w:r w:rsidR="00396723" w:rsidRPr="009257E7">
        <w:t xml:space="preserve"> </w:t>
      </w:r>
      <w:r w:rsidRPr="009257E7">
        <w:t>a</w:t>
      </w:r>
      <w:r w:rsidR="00396723" w:rsidRPr="009257E7">
        <w:t xml:space="preserve"> maximizar la riqueza. La formación de cooperativas propiedad de les trabajadores es una estrategia de desarrollo comunitario que ha cobrado impulso y despertado interés en distintos sectores, tanto entre grupos de organización desde abajo, como la National Domestic Workers Alliance, como entre analistas y financiadores desde arriba provenientes de bancos grandes y firmas de contabilidad. Carmen Molinari, Lexi Owens y Robert Fontana sostienen que quienes apoyan las cooperativas se sienten atraídos por ellas</w:t>
      </w:r>
      <w:r w:rsidRPr="009257E7">
        <w:t>,</w:t>
      </w:r>
      <w:r w:rsidR="00396723" w:rsidRPr="009257E7">
        <w:t xml:space="preserve"> en gran medida</w:t>
      </w:r>
      <w:r w:rsidRPr="009257E7">
        <w:t>,</w:t>
      </w:r>
      <w:r w:rsidR="00396723" w:rsidRPr="009257E7">
        <w:t xml:space="preserve"> como una “vía de salida de la organización contra el patrón”, que ofrece un camino ilusoriamente más fácil hacia la igualdad económica y la autodeterminación. Con frecuencia, señalan, las cooperativas se han formado después del fracaso de campañas de organización sindical:</w:t>
      </w:r>
    </w:p>
    <w:p w14:paraId="6D7B97B1" w14:textId="77777777" w:rsidR="00396723" w:rsidRPr="009257E7" w:rsidRDefault="00396723" w:rsidP="000B14B1">
      <w:pPr>
        <w:pStyle w:val="NormalWeb"/>
        <w:ind w:left="720"/>
      </w:pPr>
      <w:r w:rsidRPr="009257E7">
        <w:t xml:space="preserve">Considere la campaña de United Electrical Workers (UE) en Augie’s, una cadena pequeña de cafeterías del sur de California. En julio del año pasado, el empleador cerró rápidamente sus cinco establecimientos y despidió a todes les trabajadores después de </w:t>
      </w:r>
      <w:r w:rsidRPr="009257E7">
        <w:lastRenderedPageBreak/>
        <w:t>que el sindicato naciente se “hiciera público” ante el empleador al solicitar reconocimiento voluntario. El sindicato cambió entonces rápidamente hacia una campaña de denuncia pública y en redes sociales contra el empleador; poco después, se creó una página de GoFundMe para ayudar a sustituir los salarios perdidos y recaudar capital inicial para lo que se convertiría en la “Slow Bloom Coffee Cooperative”.</w:t>
      </w:r>
    </w:p>
    <w:p w14:paraId="39774063" w14:textId="77777777" w:rsidR="00396723" w:rsidRPr="009257E7" w:rsidRDefault="00396723" w:rsidP="000B14B1">
      <w:pPr>
        <w:pStyle w:val="NormalWeb"/>
        <w:ind w:left="720"/>
      </w:pPr>
      <w:r w:rsidRPr="009257E7">
        <w:t>. . . [E]n lugar de que les trabajadores continuaran organizándose con otros empleadores del sector, ahora administran una pequeña empresa.</w:t>
      </w:r>
    </w:p>
    <w:p w14:paraId="2EEDDCC6" w14:textId="77777777" w:rsidR="00396723" w:rsidRPr="009257E7" w:rsidRDefault="00396723" w:rsidP="000B14B1">
      <w:pPr>
        <w:pStyle w:val="NormalWeb"/>
        <w:ind w:left="720"/>
      </w:pPr>
      <w:r w:rsidRPr="009257E7">
        <w:t>. . . [Pero, como ocurre con cualquier otra empresa, las presiones del mercado para las cooperativas significan] presión a la baja sobre los salarios, horas extra no remuneradas y la mayoría de las demás características del trabajo asalariado bajo el capitalismo.</w:t>
      </w:r>
    </w:p>
    <w:p w14:paraId="763B645B" w14:textId="4B7F5226" w:rsidR="00396723" w:rsidRPr="009257E7" w:rsidRDefault="00396723" w:rsidP="000B14B1">
      <w:pPr>
        <w:pStyle w:val="NormalWeb"/>
        <w:ind w:left="720"/>
      </w:pPr>
      <w:r w:rsidRPr="009257E7">
        <w:t>. . . La lucha por el poder</w:t>
      </w:r>
      <w:r w:rsidR="000B14B1" w:rsidRPr="009257E7">
        <w:t>,</w:t>
      </w:r>
      <w:r w:rsidRPr="009257E7">
        <w:t xml:space="preserve"> que se encuentra en el centro del capitalismo</w:t>
      </w:r>
      <w:r w:rsidR="000B14B1" w:rsidRPr="009257E7">
        <w:t>,</w:t>
      </w:r>
      <w:r w:rsidRPr="009257E7">
        <w:t xml:space="preserve"> no puede eludirse </w:t>
      </w:r>
      <w:r w:rsidR="000B14B1" w:rsidRPr="009257E7">
        <w:t>al hacer</w:t>
      </w:r>
      <w:r w:rsidRPr="009257E7">
        <w:t xml:space="preserve"> coincidir las funciones de “trabajador” y “propietario” dentro de una empresa particular situada en una economía que continúa </w:t>
      </w:r>
      <w:r w:rsidR="000B14B1" w:rsidRPr="009257E7">
        <w:t>oper</w:t>
      </w:r>
      <w:r w:rsidRPr="009257E7">
        <w:t>ando con el propósito de generar ganancias.</w:t>
      </w:r>
      <w:r w:rsidR="00E23F6D" w:rsidRPr="009257E7">
        <w:rPr>
          <w:rStyle w:val="FootnoteReference"/>
        </w:rPr>
        <w:footnoteReference w:id="354"/>
      </w:r>
    </w:p>
    <w:p w14:paraId="5F85DB63" w14:textId="77777777" w:rsidR="00396723" w:rsidRPr="009257E7" w:rsidRDefault="00396723" w:rsidP="00E23F6D">
      <w:pPr>
        <w:pStyle w:val="NormalWeb"/>
        <w:ind w:firstLine="720"/>
      </w:pPr>
      <w:r w:rsidRPr="009257E7">
        <w:t>Estas cooperativas pueden diseñarse intencionalmente para reforzar formaciones laborales existentes que procuran justicia material, y viceversa.</w:t>
      </w:r>
    </w:p>
    <w:p w14:paraId="2D3E4733" w14:textId="0EEC0AFA" w:rsidR="00396723" w:rsidRPr="009257E7" w:rsidRDefault="00396723" w:rsidP="00E23F6D">
      <w:pPr>
        <w:pStyle w:val="NormalWeb"/>
        <w:ind w:firstLine="720"/>
      </w:pPr>
      <w:r w:rsidRPr="009257E7">
        <w:t xml:space="preserve">Muchos sindicatos han comenzado a apoyar </w:t>
      </w:r>
      <w:r w:rsidR="00E23F6D" w:rsidRPr="009257E7">
        <w:t>a</w:t>
      </w:r>
      <w:r w:rsidRPr="009257E7">
        <w:t xml:space="preserve"> </w:t>
      </w:r>
      <w:r w:rsidR="00E23F6D" w:rsidRPr="009257E7">
        <w:t>las</w:t>
      </w:r>
      <w:r w:rsidRPr="009257E7">
        <w:t xml:space="preserve"> </w:t>
      </w:r>
      <w:r w:rsidR="00E23F6D" w:rsidRPr="009257E7">
        <w:t>cooperativas en</w:t>
      </w:r>
      <w:r w:rsidRPr="009257E7">
        <w:t xml:space="preserve"> sectores en los que las formas tradicionales de organización han fracasado. Por ejemplo, Communication Workers of America (CWA) creó una cooperativa de taxistas en Denver en 2009 para organizar a </w:t>
      </w:r>
      <w:r w:rsidR="00E23F6D" w:rsidRPr="009257E7">
        <w:t xml:space="preserve">los </w:t>
      </w:r>
      <w:r w:rsidRPr="009257E7">
        <w:t>trabajadores que conducían taxis con licencia. Más adelante, CWA organizó Green Taxi, una segunda empresa propiedad de les trabajadores, para establecer una presencia entre trabajadores de la economía de plataformas y apoyar a quienes conducen para servicios como Uber, Lyft u otros. Quienes apoyan estas cooperativas sostienen que representan “estrategias económicas alternativas” que muestran menor “complicidad con el capital” y ayudan a mantener una crítica profunda del capitalismo neoliberal. Este tipo de elaboración de estrategias contextual</w:t>
      </w:r>
      <w:r w:rsidR="00E23F6D" w:rsidRPr="009257E7">
        <w:t>es</w:t>
      </w:r>
      <w:r w:rsidRPr="009257E7">
        <w:t xml:space="preserve"> es fundamental para el éxito. </w:t>
      </w:r>
      <w:r w:rsidR="00E23F6D" w:rsidRPr="009257E7">
        <w:t>En</w:t>
      </w:r>
      <w:r w:rsidRPr="009257E7">
        <w:t xml:space="preserve"> este panorama complejo, encontrar una función </w:t>
      </w:r>
      <w:r w:rsidR="00E23F6D" w:rsidRPr="009257E7">
        <w:t>en</w:t>
      </w:r>
      <w:r w:rsidRPr="009257E7">
        <w:t xml:space="preserve"> un grupo organizado es fundamental para su éxito.</w:t>
      </w:r>
    </w:p>
    <w:p w14:paraId="1A538810" w14:textId="1C945C41" w:rsidR="00E23F6D" w:rsidRPr="009257E7" w:rsidRDefault="00E23F6D" w:rsidP="00E23F6D">
      <w:pPr>
        <w:rPr>
          <w:rFonts w:ascii="Times New Roman" w:hAnsi="Times New Roman" w:cs="Times New Roman"/>
          <w:b/>
          <w:bCs/>
        </w:rPr>
      </w:pPr>
      <w:r w:rsidRPr="009257E7">
        <w:rPr>
          <w:rFonts w:ascii="Times New Roman" w:hAnsi="Times New Roman" w:cs="Times New Roman"/>
          <w:b/>
          <w:bCs/>
        </w:rPr>
        <w:t>9.2 Apoyo a las acciones complejas de grupos organizados: encontrar su función</w:t>
      </w:r>
    </w:p>
    <w:p w14:paraId="088E6487" w14:textId="77777777" w:rsidR="00E23F6D" w:rsidRPr="009257E7" w:rsidRDefault="00E23F6D" w:rsidP="00E23F6D">
      <w:pPr>
        <w:pStyle w:val="NormalWeb"/>
        <w:ind w:firstLine="720"/>
      </w:pPr>
      <w:r w:rsidRPr="009257E7">
        <w:t xml:space="preserve">Las campañas temáticas y los proyectos de DC son necesariamente proyectos colaborativos: formas de praxis personales y, al mismo tiempo, colectivas que combinan teoría y acción dentro de una variedad de espacios de toma de decisiones para trascender los límites de la igualdad formal y de la industria jurídica. Dependen de grupos organizados, movilizados, basados en principios y sujetos a rendición de cuentas. Son acciones complejas, en parte, por esta razón. Sus complejidades también requieren una abogacía flexible e innovadora. En </w:t>
      </w:r>
      <w:r w:rsidRPr="009257E7">
        <w:lastRenderedPageBreak/>
        <w:t>consecuencia, las funciones de les abogades en las acciones complejas pueden variar considerablemente, y de hecho varían.</w:t>
      </w:r>
      <w:r w:rsidRPr="009257E7">
        <w:tab/>
      </w:r>
    </w:p>
    <w:p w14:paraId="7E69ECFB" w14:textId="4D13BA0F" w:rsidR="00E23F6D" w:rsidRPr="009257E7" w:rsidRDefault="00E23F6D" w:rsidP="00E23F6D">
      <w:pPr>
        <w:pStyle w:val="NormalWeb"/>
        <w:ind w:firstLine="720"/>
      </w:pPr>
      <w:r w:rsidRPr="009257E7">
        <w:t>Le abogade puede ser dirigente electe dentro de una organización. Une abogade con formación jurídica no siempre desempeña necesariamente la función de abogade propiamente dicha, pero puede recurrir, no obstante, a destrezas y conocimientos propios de la práctica jurídica. Como alternativa, le abogade puede ser integrante de un grupo comunitario, compartir preocupaciones, ayudar a formular estrategias y realizar tareas como les demás integrantes. Le abogade puede comenzar como integrante y posteriormente asumir una función de representación</w:t>
      </w:r>
      <w:r w:rsidRPr="009257E7">
        <w:rPr>
          <w:rStyle w:val="FootnoteReference"/>
        </w:rPr>
        <w:footnoteReference w:id="355"/>
      </w:r>
      <w:r w:rsidRPr="009257E7">
        <w:t>.[1] Por ejemplo, “[m]uches abogades indígenas se convierten en asesores jurídicos de sus propias tribus”</w:t>
      </w:r>
      <w:r w:rsidRPr="009257E7">
        <w:rPr>
          <w:rStyle w:val="FootnoteReference"/>
        </w:rPr>
        <w:footnoteReference w:id="356"/>
      </w:r>
      <w:r w:rsidRPr="009257E7">
        <w:t>. Les abogades apoyan acciones complejas desde múltiples funciones, múltiples espacios de práctica y mediante múltiples tipos de competencia.</w:t>
      </w:r>
    </w:p>
    <w:p w14:paraId="40B54934" w14:textId="4DD09E07" w:rsidR="00E23F6D" w:rsidRPr="009257E7" w:rsidRDefault="00E23F6D" w:rsidP="00E23F6D">
      <w:pPr>
        <w:pStyle w:val="NormalWeb"/>
        <w:ind w:firstLine="720"/>
      </w:pPr>
      <w:r w:rsidRPr="009257E7">
        <w:t xml:space="preserve">En el panorama general, son poques les abogades que trabajan directamente con grupos organizados. La mayoría de les abogades con licencia para ejercer el derecho —incluso quienes trabajan en el ámbito del interés público— no lo hacen. Existen muy pocos recursos de financiamiento y puestos que permitan a les abogades trabajar directamente con grupos organizados. Entonces, ¿qué significa afirmar que les abogades sistémiques deben tener en cuenta la organización y la construcción de poder colectivo cuando la mayoría —la inmensa mayoría— tendría que hacerlo a cierta distancia de grupos organizados reales? Este imperativo significa sencillamente que les abogades procuran siempre, de manera específica, impulsar los objetivos de tres niveles tan eficazmente como sea posible dadas las circunstancias. Como hemos visto, en ocasiones el contexto sistémico exigirá enfoques relativamente tradicionales y, en otras, no. Sin embargo, en ambos casos, les abogades conciben maneras creativas de construir poder colectivo dentro de los grupos, atender los intereses grupales de maneras sujetas a rendición de cuentas y promover, a lo largo del tiempo, un progreso basado en principios: un cambio orientado a la mejora </w:t>
      </w:r>
      <w:r w:rsidRPr="009257E7">
        <w:rPr>
          <w:rStyle w:val="Emphasis"/>
        </w:rPr>
        <w:t>y</w:t>
      </w:r>
      <w:r w:rsidRPr="009257E7">
        <w:t xml:space="preserve"> a la transformación</w:t>
      </w:r>
      <w:r w:rsidRPr="009257E7">
        <w:rPr>
          <w:rStyle w:val="FootnoteReference"/>
        </w:rPr>
        <w:footnoteReference w:id="357"/>
      </w:r>
      <w:r w:rsidRPr="009257E7">
        <w:t>.</w:t>
      </w:r>
    </w:p>
    <w:p w14:paraId="05C618A6" w14:textId="2059B2E1" w:rsidR="00E23F6D" w:rsidRPr="009257E7" w:rsidRDefault="00E23F6D" w:rsidP="00E23F6D">
      <w:pPr>
        <w:pStyle w:val="NormalWeb"/>
        <w:ind w:firstLine="720"/>
      </w:pPr>
      <w:r w:rsidRPr="009257E7">
        <w:lastRenderedPageBreak/>
        <w:t xml:space="preserve">Por tanto, este imperativo </w:t>
      </w:r>
      <w:r w:rsidRPr="009257E7">
        <w:rPr>
          <w:rStyle w:val="Emphasis"/>
        </w:rPr>
        <w:t>no</w:t>
      </w:r>
      <w:r w:rsidRPr="009257E7">
        <w:t xml:space="preserve"> significa que una forma o función sea intrínsecamente mejor que otra. Independientemente del contexto, para una abogacía efectiva se requieren múltiples espacios de práctica, funciones y competencias. Como señala Rebecca Sharpless, académica y dirigente de una clínica de derecho migratorio, les abogades deben resistir continuamente cualquier intento de reducir la variedad amplia de enfoques, estrategias, relaciones y funciones dentro de la abogacía a un solo “carril”. Por el contrario, les abogades y los grupos procuran construir múltiples rampas de acceso y caminos para avanzar de manera colaborativa y creativa:</w:t>
      </w:r>
    </w:p>
    <w:p w14:paraId="1BAC5A18" w14:textId="6CBF974A" w:rsidR="00E23F6D" w:rsidRPr="009257E7" w:rsidRDefault="00E23F6D" w:rsidP="00E23F6D">
      <w:pPr>
        <w:pStyle w:val="NormalWeb"/>
        <w:ind w:left="720"/>
      </w:pPr>
      <w:r w:rsidRPr="009257E7">
        <w:t>La idea de que existe una manera óptima de ejercer la abogacía por la justicia social presupone que le abogade individual constituye la unidad de análisis pertinente. Esta falacia de le abogade progresista ideal nos lleva a pasar por alto las maneras en que grupos colaborativos de personas con especialidades, talentos y temperamentos diferentes pueden trabajar —y de hecho trabajan— conjuntamente para alcanzar objetivos compartidos y específicos de justicia social. Les abogades de justicia social son muy diversos y aportan talentos y competencias diferentes. Al igual que todos los grupos de personas, manifiestan inteligencias múltiples. Les abogades de apelación pueden no tener talento para desempeñarse como abogades organizadores, y viceversa. Además, les abogades y sus colaboradores que no son profesionales del derecho utilizan herramientas numerosas y variadas para lograr resultados. Estas incluyen, entre otras: litigar ante tribunales judiciales y otros foros jurisdiccionales; organizar o trabajar con organizadores en una campaña común; realizar trabajo de prensa; desarrollar estudios de investigación; redactar informes; realizar cabildeo y trabaj</w:t>
      </w:r>
      <w:r w:rsidR="00F30468" w:rsidRPr="009257E7">
        <w:t>ar</w:t>
      </w:r>
      <w:r w:rsidRPr="009257E7">
        <w:t xml:space="preserve"> en materia de políticas</w:t>
      </w:r>
      <w:r w:rsidR="00F30468" w:rsidRPr="009257E7">
        <w:t xml:space="preserve"> públicas</w:t>
      </w:r>
      <w:r w:rsidRPr="009257E7">
        <w:t xml:space="preserve">; desarrollar campañas educativas; organizar protestas y otras acciones directas; realizar clínicas </w:t>
      </w:r>
      <w:r w:rsidRPr="009257E7">
        <w:rPr>
          <w:rStyle w:val="Emphasis"/>
        </w:rPr>
        <w:t>pro se</w:t>
      </w:r>
      <w:r w:rsidRPr="009257E7">
        <w:t xml:space="preserve">; y difundir mensajes </w:t>
      </w:r>
      <w:r w:rsidR="00F30468" w:rsidRPr="009257E7">
        <w:t>en</w:t>
      </w:r>
      <w:r w:rsidRPr="009257E7">
        <w:t xml:space="preserve"> redes sociales. Dada esta multiplicidad, podría resultar más efectivo y realista garantizar que existan múltiples</w:t>
      </w:r>
      <w:r w:rsidR="00F30468" w:rsidRPr="009257E7">
        <w:t xml:space="preserve"> competencias</w:t>
      </w:r>
      <w:r w:rsidRPr="009257E7">
        <w:t xml:space="preserve"> dentro de cada oficina o conjunto de oficinas, en lugar de exigir que cada abogad</w:t>
      </w:r>
      <w:r w:rsidR="00F30468" w:rsidRPr="009257E7">
        <w:t>e</w:t>
      </w:r>
      <w:r w:rsidRPr="009257E7">
        <w:t xml:space="preserve"> individual las posea todas.</w:t>
      </w:r>
      <w:r w:rsidR="002C3775" w:rsidRPr="009257E7">
        <w:rPr>
          <w:rStyle w:val="FootnoteReference"/>
        </w:rPr>
        <w:footnoteReference w:id="358"/>
      </w:r>
    </w:p>
    <w:p w14:paraId="3E0910A1" w14:textId="083EB402" w:rsidR="00E23F6D" w:rsidRPr="009257E7" w:rsidRDefault="00E23F6D" w:rsidP="00F30468">
      <w:pPr>
        <w:pStyle w:val="NormalWeb"/>
        <w:ind w:firstLine="720"/>
      </w:pPr>
      <w:r w:rsidRPr="009257E7">
        <w:t xml:space="preserve">Sin lugar a dudas, las personas pueden contribuir a la justicia sistémica desde muchos espacios o “plataformas” de trabajo y mediante funciones diversas. Sin embargo, aunque las funciones varían considerablemente, todas requieren fundamentos críticos y capacidades similares para la colaboración profesional, como los que se presentan a lo largo de este libro. </w:t>
      </w:r>
      <w:r w:rsidR="00F30468" w:rsidRPr="009257E7">
        <w:t>En</w:t>
      </w:r>
      <w:r w:rsidRPr="009257E7">
        <w:t xml:space="preserve"> todas las funciones y contextos, el objetivo consiste en impulsar —o proteger— los objetivos de tres niveles para apoyar las luchas de grupos organizados —o en proceso de organización— por la justicia igualitaria. En cada caso, l</w:t>
      </w:r>
      <w:r w:rsidR="00F30468" w:rsidRPr="009257E7">
        <w:t>e</w:t>
      </w:r>
      <w:r w:rsidRPr="009257E7">
        <w:t>s abogades desempeñan inevitablemente funciones diversas dentro de transacciones, litigios y negociaciones, con el propósito de utilizar el derecho en aras del “interés público” para impulsar progreso desde abajo.</w:t>
      </w:r>
    </w:p>
    <w:p w14:paraId="7CCFB605" w14:textId="688C531E" w:rsidR="00E23F6D" w:rsidRPr="009257E7" w:rsidRDefault="00E23F6D" w:rsidP="00F30468">
      <w:pPr>
        <w:pStyle w:val="NormalWeb"/>
        <w:ind w:firstLine="720"/>
      </w:pPr>
      <w:r w:rsidRPr="009257E7">
        <w:lastRenderedPageBreak/>
        <w:t>Como reflejo de esta realidad sistémica, Louise Trubek, académica clínica del derecho, explica cómo los modelos de práctica jurídica corporativa y de abogacía comunitaria pueden y deben diferir:</w:t>
      </w:r>
      <w:r w:rsidR="00F30468" w:rsidRPr="009257E7">
        <w:t xml:space="preserve"> </w:t>
      </w:r>
    </w:p>
    <w:p w14:paraId="4786CD3C" w14:textId="6A5D8E0C" w:rsidR="00E23F6D" w:rsidRPr="009257E7" w:rsidRDefault="00E23F6D" w:rsidP="00F30468">
      <w:pPr>
        <w:pStyle w:val="NormalWeb"/>
        <w:ind w:left="720"/>
      </w:pPr>
      <w:r w:rsidRPr="009257E7">
        <w:t>En ocasiones, el modelo de abogacía comunitaria se describe como hacer por las personas y comunidades pobres lo que les abogades corporativos especializados en transacciones hacen por sus clientes empresariales. [Sin embargo, una crítica bien fundamentada] sostiene que el cambio no puede producirse simplemente haciendo por las comunidades pobres lo mismo que les abogades corporativos hacen por las personas ricas. Para generar cambio social, debe</w:t>
      </w:r>
      <w:r w:rsidR="00F30468" w:rsidRPr="009257E7">
        <w:t>n</w:t>
      </w:r>
      <w:r w:rsidRPr="009257E7">
        <w:t xml:space="preserve"> existir tanto empoderamiento como un cuestionamiento del </w:t>
      </w:r>
      <w:r w:rsidRPr="009257E7">
        <w:rPr>
          <w:rStyle w:val="Emphasis"/>
        </w:rPr>
        <w:t>statu quo</w:t>
      </w:r>
      <w:r w:rsidRPr="009257E7">
        <w:t>.</w:t>
      </w:r>
    </w:p>
    <w:p w14:paraId="197C5489" w14:textId="45A46F0E" w:rsidR="00E23F6D" w:rsidRPr="009257E7" w:rsidRDefault="00E23F6D" w:rsidP="00F30468">
      <w:pPr>
        <w:pStyle w:val="NormalWeb"/>
        <w:ind w:left="720"/>
      </w:pPr>
      <w:r w:rsidRPr="009257E7">
        <w:t>. . . [U]na combinación de estructuras organizativas no tradicionales, destrezas ampliadas de práctica jurídica y colaboración intensiva crea prácticas que fomentan el empoderamiento de les clientes y promueven la transformación social.</w:t>
      </w:r>
      <w:r w:rsidR="00F30468" w:rsidRPr="009257E7">
        <w:rPr>
          <w:rStyle w:val="FootnoteReference"/>
        </w:rPr>
        <w:footnoteReference w:id="359"/>
      </w:r>
    </w:p>
    <w:p w14:paraId="51C3C829" w14:textId="77777777" w:rsidR="00E23F6D" w:rsidRPr="009257E7" w:rsidRDefault="00E23F6D" w:rsidP="00F30468">
      <w:pPr>
        <w:pStyle w:val="NormalWeb"/>
        <w:ind w:firstLine="720"/>
      </w:pPr>
      <w:r w:rsidRPr="009257E7">
        <w:t>Dentro de este esquema general, los grupos necesitan y desean el apoyo de les abogades con competencias múltiples que puedan desempeñar funciones diversas.</w:t>
      </w:r>
    </w:p>
    <w:p w14:paraId="5EE2B62B" w14:textId="77777777" w:rsidR="00E23F6D" w:rsidRPr="009257E7" w:rsidRDefault="00E23F6D" w:rsidP="00F30468">
      <w:pPr>
        <w:pStyle w:val="NormalWeb"/>
        <w:ind w:firstLine="720"/>
      </w:pPr>
      <w:r w:rsidRPr="009257E7">
        <w:t>Brian Glick, académico clínico del derecho, explica con mayor detalle cómo las funciones dentro de la abogacía ayudan a configurar la naturaleza y la profundidad de la colaboración:</w:t>
      </w:r>
    </w:p>
    <w:p w14:paraId="3A737154" w14:textId="642EB0A9" w:rsidR="00E23F6D" w:rsidRPr="009257E7" w:rsidRDefault="00E23F6D" w:rsidP="00F30468">
      <w:pPr>
        <w:pStyle w:val="NormalWeb"/>
        <w:ind w:left="720"/>
      </w:pPr>
      <w:r w:rsidRPr="009257E7">
        <w:t>Este enfoque [interno] hace que les abogades estén estructuralmente sujetes a rendición de cuentas ante un proceso colectivo y l</w:t>
      </w:r>
      <w:r w:rsidR="00F30468" w:rsidRPr="009257E7">
        <w:t>e</w:t>
      </w:r>
      <w:r w:rsidRPr="009257E7">
        <w:t>s integra de una manera que les permite contribuir profundamente a la toma de decisiones y a las actividades del grupo. Puede ofrecer oportunidades gratificantes para el crecimiento personal y político. Sin embargo, requiere una organización activista que cuente tanto con recursos financieros para contratar abogades a tiempo completo como con un liderazgo sólido y experimentado integrado por personas que no sean profesionales del derecho y que no pueda ser dominado ni intimidado por les abogades.</w:t>
      </w:r>
      <w:r w:rsidR="00F30468" w:rsidRPr="009257E7">
        <w:rPr>
          <w:rStyle w:val="FootnoteReference"/>
        </w:rPr>
        <w:footnoteReference w:id="360"/>
      </w:r>
    </w:p>
    <w:p w14:paraId="79CF77F5" w14:textId="77777777" w:rsidR="00E23F6D" w:rsidRPr="009257E7" w:rsidRDefault="00E23F6D" w:rsidP="00F30468">
      <w:pPr>
        <w:pStyle w:val="NormalWeb"/>
        <w:ind w:firstLine="720"/>
      </w:pPr>
      <w:r w:rsidRPr="009257E7">
        <w:t>Dada la manera en que funciona el poder sistémico, les abogades aportan mayor valor cuando trabajan con grupos en la organización de campañas o proyectos de DC que sean relacionales, sostenibles, sujetos a rendición de cuentas y capaces de ejercer poder.</w:t>
      </w:r>
    </w:p>
    <w:p w14:paraId="2739E70B" w14:textId="66A14FEA" w:rsidR="00E23F6D" w:rsidRPr="009257E7" w:rsidRDefault="00E23F6D" w:rsidP="00F30468">
      <w:pPr>
        <w:pStyle w:val="NormalWeb"/>
        <w:ind w:firstLine="720"/>
      </w:pPr>
      <w:r w:rsidRPr="009257E7">
        <w:t xml:space="preserve">El tiempo enseña que el impacto de las acciones complejas depende de acciones colectivas organizadas y sostenidas. Las acciones complejas exitosas dependen de la colaboración y la acción jurídica constituye con frecuencia una parte fundamental de ellas. Esta interconexión entre el derecho y la organización es integral y debe </w:t>
      </w:r>
      <w:r w:rsidR="00F30468" w:rsidRPr="009257E7">
        <w:t>funcionar d</w:t>
      </w:r>
      <w:r w:rsidRPr="009257E7">
        <w:t xml:space="preserve">e </w:t>
      </w:r>
      <w:r w:rsidR="00F30468" w:rsidRPr="009257E7">
        <w:t>manera</w:t>
      </w:r>
      <w:r w:rsidRPr="009257E7">
        <w:t xml:space="preserve"> </w:t>
      </w:r>
      <w:r w:rsidRPr="009257E7">
        <w:lastRenderedPageBreak/>
        <w:t>intencional</w:t>
      </w:r>
      <w:r w:rsidR="00F30468" w:rsidRPr="009257E7">
        <w:t>,</w:t>
      </w:r>
      <w:r w:rsidRPr="009257E7">
        <w:t xml:space="preserve"> de </w:t>
      </w:r>
      <w:r w:rsidR="00F30468" w:rsidRPr="009257E7">
        <w:t>modo</w:t>
      </w:r>
      <w:r w:rsidRPr="009257E7">
        <w:t xml:space="preserve"> que se refuercen mutuamente. Aunque el contexto importa, la abogacía sistémica depende necesariamente de múltiples tipos de colaboración y competencias para construir poder mediante la organización colectiva. </w:t>
      </w:r>
      <w:r w:rsidR="00F30468" w:rsidRPr="009257E7">
        <w:t>En</w:t>
      </w:r>
      <w:r w:rsidRPr="009257E7">
        <w:t xml:space="preserve"> la colaboración, el conflicto entra inevitablemente en juego.</w:t>
      </w:r>
      <w:r w:rsidR="00F30468" w:rsidRPr="009257E7">
        <w:t xml:space="preserve"> </w:t>
      </w:r>
    </w:p>
    <w:p w14:paraId="717A7611" w14:textId="1672AF80" w:rsidR="007643ED" w:rsidRPr="009257E7" w:rsidRDefault="007643ED" w:rsidP="007643ED">
      <w:pPr>
        <w:spacing w:before="100" w:beforeAutospacing="1" w:after="100" w:afterAutospacing="1" w:line="240" w:lineRule="auto"/>
        <w:rPr>
          <w:rFonts w:ascii="Times New Roman" w:eastAsia="Times New Roman" w:hAnsi="Times New Roman" w:cs="Times New Roman"/>
          <w:b/>
          <w:kern w:val="0"/>
          <w:lang w:val="es-ES"/>
          <w14:ligatures w14:val="none"/>
        </w:rPr>
      </w:pPr>
      <w:r w:rsidRPr="009257E7">
        <w:rPr>
          <w:rFonts w:ascii="Times New Roman" w:eastAsia="Times New Roman" w:hAnsi="Times New Roman" w:cs="Times New Roman"/>
          <w:b/>
          <w:kern w:val="0"/>
          <w:lang w:val="es-ES"/>
          <w14:ligatures w14:val="none"/>
        </w:rPr>
        <w:t>9.3 La colaboración y el conflicto coexisten en las acciones complejas</w:t>
      </w:r>
    </w:p>
    <w:p w14:paraId="57419475" w14:textId="3A2CC2C7" w:rsidR="00440443" w:rsidRPr="009257E7" w:rsidRDefault="00440443" w:rsidP="00440443">
      <w:pPr>
        <w:pStyle w:val="NormalWeb"/>
        <w:ind w:firstLine="720"/>
      </w:pPr>
      <w:r w:rsidRPr="009257E7">
        <w:t>La colaboración es esencial para las acciones complejas, aunque el conflicto resulte inevitable —tanto interno como externo—. La abogacía sistémica es un trabajo de equipo, intrínsecamente y necesariamente, para bien y para mal. Les abogades deben aceptar que la tensión y el conflicto son inevitables dentro de los grupos y los equipos, entre los socios de coalición y también con la oposición. Por tanto, la colaboración es difícil, pero fundamental. Dadas estas condiciones —la necesidad constante de cooperación y la posibilidad constante de conflicto—, les abogades deben afrontar el conflicto con honestidad como parte fundamental de su trabajo como profesionales colaborativos. Recuerde que los jugadores recurrentes y les abogades que los apoyan tendrán que volver a encontrarse mañana.</w:t>
      </w:r>
    </w:p>
    <w:p w14:paraId="09E933D5" w14:textId="0C9AB8B8" w:rsidR="00440443" w:rsidRPr="009257E7" w:rsidRDefault="00440443" w:rsidP="00440443">
      <w:pPr>
        <w:pStyle w:val="NormalWeb"/>
        <w:ind w:firstLine="720"/>
      </w:pPr>
      <w:r w:rsidRPr="009257E7">
        <w:t>Como hemos visto, les abogades sistémiques pueden desempeñar funciones que los sitúan en el centro de tensiones intragrupales. Con frecuencia, se les pide que ayuden a diseñar mecanismos de gobernanza interna destinados a promover una toma de decisiones basada en principios y sujeta a rendición de cuentas. Cuando integrantes del equipo discrepan respecto de tácticas y estrategias —y compiten por el poder—, puede pedirse a les abogades que evalúen críticamente su propio poder y aporten sus destrezas para ayudar a alcanzar una solución. Lo mismo ocurre con los conflictos entre grupos. Cuando socios de una coalición no logran entenderse debido a diferencias culturales y a historias prolongadas de opresión entre grupos, puede pedirse a les abogades que faciliten procesos que permitan la escucha y la sanación entre grupos. Cuando integrantes de grupos diferentes dentro de una coalición creen genuinamente en estereotipos perjudiciales para sus socios y, por ello, los repiten, puede pedirse a les abogades que compartan investigaciones y conocimientos que fomenten el respeto y la solidaridad. Así como la colaboración implica conflicto, el conflicto implica reconciliación. Ya sea en contextos intergrupales o intragrupales, la capacidad para colaborar requiere la capacidad de lograr reconciliaciones restaurativas y constructivas.</w:t>
      </w:r>
    </w:p>
    <w:p w14:paraId="5276385C" w14:textId="77777777" w:rsidR="00440443" w:rsidRPr="009257E7" w:rsidRDefault="00440443" w:rsidP="00440443">
      <w:pPr>
        <w:pStyle w:val="NormalWeb"/>
        <w:ind w:firstLine="720"/>
      </w:pPr>
      <w:r w:rsidRPr="009257E7">
        <w:t>El académico del derecho Eric Yamamoto describe algunos de los elementos de la sanación entre grupos, o reconciliación, que sustentan colaboraciones exitosas en la búsqueda de la justicia igualitaria:</w:t>
      </w:r>
    </w:p>
    <w:p w14:paraId="1C5D144A" w14:textId="01064BAD" w:rsidR="00440443" w:rsidRPr="009257E7" w:rsidRDefault="00440443" w:rsidP="00440443">
      <w:pPr>
        <w:pStyle w:val="NormalWeb"/>
        <w:ind w:left="720"/>
      </w:pPr>
      <w:r w:rsidRPr="009257E7">
        <w:t xml:space="preserve">El primero [de los elementos de la sanación entre grupos] es la noción de que la sanación, ya sea individual o grupal, implica alguna combinación del reconocimiento de la humanidad del Otro y de las fuentes del conflicto —incluidas las raíces históricas del conflicto actual—, la aceptación de la responsabilidad correspondiente —con frecuencia mediante una disculpa— y un cambio material —una alteración estructural de la relación—. El segundo es la noción de que la sanación de las heridas derivadas de actos percibidos como injustos, aunque con frecuencia sea complicada e incompleta, constituye una base para una acción comunitaria futura o, al menos, cooperativa. El tercer elemento común es que todos estos enfoques de la sanación entre grupos incorporan conceptos </w:t>
      </w:r>
      <w:r w:rsidRPr="009257E7">
        <w:lastRenderedPageBreak/>
        <w:t>jurídicos solo de manera indirecta y trascienden las nociones formales de justicia jurídica. [...] [S]in embargo, el derecho y las concepciones de justicia jurídica ofrecen una base potencialmente poderosa para construir enfoques integrados, tanto teóricos como prácticos —o de praxis—, para la sanación entre grupos y para la justicia interracial.</w:t>
      </w:r>
      <w:r w:rsidRPr="009257E7">
        <w:rPr>
          <w:rStyle w:val="FootnoteReference"/>
        </w:rPr>
        <w:footnoteReference w:id="361"/>
      </w:r>
    </w:p>
    <w:p w14:paraId="39E01FD1" w14:textId="45ACA4EB" w:rsidR="00440443" w:rsidRPr="009257E7" w:rsidRDefault="00440443" w:rsidP="00DB107C">
      <w:pPr>
        <w:pStyle w:val="NormalWeb"/>
        <w:ind w:firstLine="720"/>
      </w:pPr>
      <w:r w:rsidRPr="009257E7">
        <w:t xml:space="preserve">Las normas tradicionales de ética pretenden ayudar a les abogades a resolver conflictos. En ocasiones, lo hacen. Sin embargo, la ética jurídica tradicional ayuda y, al mismo tiempo, limita a les abogades porque las normas éticas fueron desarrolladas tanto para mantener el </w:t>
      </w:r>
      <w:r w:rsidRPr="009257E7">
        <w:rPr>
          <w:rStyle w:val="Emphasis"/>
        </w:rPr>
        <w:t>statu quo</w:t>
      </w:r>
      <w:r w:rsidRPr="009257E7">
        <w:t xml:space="preserve"> como para promover la justicia igualitaria. Los dictados desde arriba no ofrecen respuestas definitivas a las preguntas críticas sobre </w:t>
      </w:r>
      <w:r w:rsidR="00DB107C" w:rsidRPr="009257E7">
        <w:t xml:space="preserve">la </w:t>
      </w:r>
      <w:r w:rsidRPr="009257E7">
        <w:t xml:space="preserve">colaboración, </w:t>
      </w:r>
      <w:r w:rsidR="00DB107C" w:rsidRPr="009257E7">
        <w:t xml:space="preserve">el </w:t>
      </w:r>
      <w:r w:rsidRPr="009257E7">
        <w:t xml:space="preserve">conflicto y </w:t>
      </w:r>
      <w:r w:rsidR="00DB107C" w:rsidRPr="009257E7">
        <w:t>la</w:t>
      </w:r>
      <w:r w:rsidRPr="009257E7">
        <w:t xml:space="preserve"> </w:t>
      </w:r>
      <w:r w:rsidR="00DB107C" w:rsidRPr="009257E7">
        <w:t>reconciliación</w:t>
      </w:r>
      <w:r w:rsidRPr="009257E7">
        <w:t xml:space="preserve"> </w:t>
      </w:r>
      <w:r w:rsidR="00DB107C" w:rsidRPr="009257E7">
        <w:t>en</w:t>
      </w:r>
      <w:r w:rsidRPr="009257E7">
        <w:t xml:space="preserve"> las luchas de antisubordinación.</w:t>
      </w:r>
    </w:p>
    <w:p w14:paraId="663172F5" w14:textId="4C5E4392" w:rsidR="00440443" w:rsidRPr="009257E7" w:rsidRDefault="00440443" w:rsidP="00DB107C">
      <w:pPr>
        <w:pStyle w:val="NormalWeb"/>
        <w:ind w:firstLine="720"/>
      </w:pPr>
      <w:r w:rsidRPr="009257E7">
        <w:t xml:space="preserve">Dado que el trabajo es complejo e incierto, surgen conflictos </w:t>
      </w:r>
      <w:r w:rsidR="00DB107C" w:rsidRPr="009257E7">
        <w:t>sobr</w:t>
      </w:r>
      <w:r w:rsidRPr="009257E7">
        <w:t>e la mejor manera de maximizar las posibilidades de éxito a corto y</w:t>
      </w:r>
      <w:r w:rsidR="00DB107C" w:rsidRPr="009257E7">
        <w:t xml:space="preserve"> a</w:t>
      </w:r>
      <w:r w:rsidRPr="009257E7">
        <w:t xml:space="preserve"> largo plazo. Y dado que nadie tiene —ni puede tener— todas las respuestas, la tensión y el conflicto auténticos respecto de cómo avanzar en cada nivel son inevitables y, al mismo tiempo, necesarios para llegar a un plan viable, aunque siempre imperfecto. El objetivo de le abogade, entonces, consiste en tomar decisiones efectivas, flexibles, basadas en principios y sujetas a rendición de cuentas que sean significativas para quienes están abajo dentro de su contexto, y no decisiones abstractamente perfectas. En la práctica, les abogades y los grupos de clientes debaten continuamente cómo definir mejor las estrategias y las medidas de éxito en los tres niveles de objetivos a la luz de la experiencia acumulada, planteándose preguntas autocríticas como las siguientes:</w:t>
      </w:r>
    </w:p>
    <w:p w14:paraId="12141FA3" w14:textId="43156F78" w:rsidR="00440443" w:rsidRPr="009257E7" w:rsidRDefault="00440443" w:rsidP="00440443">
      <w:pPr>
        <w:numPr>
          <w:ilvl w:val="0"/>
          <w:numId w:val="28"/>
        </w:numPr>
        <w:spacing w:before="100" w:beforeAutospacing="1" w:after="100" w:afterAutospacing="1" w:line="240" w:lineRule="auto"/>
        <w:rPr>
          <w:rFonts w:ascii="Times New Roman" w:hAnsi="Times New Roman" w:cs="Times New Roman"/>
        </w:rPr>
      </w:pPr>
      <w:r w:rsidRPr="009257E7">
        <w:rPr>
          <w:rFonts w:ascii="Times New Roman" w:hAnsi="Times New Roman" w:cs="Times New Roman"/>
        </w:rPr>
        <w:t xml:space="preserve">¿Cuáles son las soluciones técnicas más adecuadas y las mejores </w:t>
      </w:r>
      <w:r w:rsidR="00DB107C" w:rsidRPr="009257E7">
        <w:rPr>
          <w:rFonts w:ascii="Times New Roman" w:hAnsi="Times New Roman" w:cs="Times New Roman"/>
        </w:rPr>
        <w:t>form</w:t>
      </w:r>
      <w:r w:rsidRPr="009257E7">
        <w:rPr>
          <w:rFonts w:ascii="Times New Roman" w:hAnsi="Times New Roman" w:cs="Times New Roman"/>
        </w:rPr>
        <w:t xml:space="preserve">as de </w:t>
      </w:r>
      <w:r w:rsidR="00DB107C" w:rsidRPr="009257E7">
        <w:rPr>
          <w:rFonts w:ascii="Times New Roman" w:hAnsi="Times New Roman" w:cs="Times New Roman"/>
        </w:rPr>
        <w:t>implement</w:t>
      </w:r>
      <w:r w:rsidRPr="009257E7">
        <w:rPr>
          <w:rFonts w:ascii="Times New Roman" w:hAnsi="Times New Roman" w:cs="Times New Roman"/>
        </w:rPr>
        <w:t>arlas? ¿Cuál es el mejor plan para el caso, las negociaciones, la campaña o el proyecto de desarrollo comunitario?</w:t>
      </w:r>
    </w:p>
    <w:p w14:paraId="290E62A5" w14:textId="77777777" w:rsidR="00440443" w:rsidRPr="009257E7" w:rsidRDefault="00440443" w:rsidP="00440443">
      <w:pPr>
        <w:numPr>
          <w:ilvl w:val="0"/>
          <w:numId w:val="28"/>
        </w:numPr>
        <w:spacing w:before="100" w:beforeAutospacing="1" w:after="100" w:afterAutospacing="1" w:line="240" w:lineRule="auto"/>
        <w:rPr>
          <w:rFonts w:ascii="Times New Roman" w:hAnsi="Times New Roman" w:cs="Times New Roman"/>
        </w:rPr>
      </w:pPr>
      <w:r w:rsidRPr="009257E7">
        <w:rPr>
          <w:rFonts w:ascii="Times New Roman" w:hAnsi="Times New Roman" w:cs="Times New Roman"/>
        </w:rPr>
        <w:t>¿Cómo puede llevarse a cabo una abogacía que construya poder grupal y garantice que la toma de decisiones del grupo continúe sujeta a rendición de cuentas ante sus integrantes, así como ante los intereses de un conjunto más amplio de constituyentes actuales o futuros?</w:t>
      </w:r>
    </w:p>
    <w:p w14:paraId="27EB10C9" w14:textId="77777777" w:rsidR="00440443" w:rsidRPr="009257E7" w:rsidRDefault="00440443" w:rsidP="00440443">
      <w:pPr>
        <w:numPr>
          <w:ilvl w:val="0"/>
          <w:numId w:val="28"/>
        </w:numPr>
        <w:spacing w:before="100" w:beforeAutospacing="1" w:after="100" w:afterAutospacing="1" w:line="240" w:lineRule="auto"/>
        <w:rPr>
          <w:rFonts w:ascii="Times New Roman" w:hAnsi="Times New Roman" w:cs="Times New Roman"/>
        </w:rPr>
      </w:pPr>
      <w:r w:rsidRPr="009257E7">
        <w:rPr>
          <w:rFonts w:ascii="Times New Roman" w:hAnsi="Times New Roman" w:cs="Times New Roman"/>
        </w:rPr>
        <w:t xml:space="preserve">¿Y cómo puede transformarse la cultura y la conciencia para profundizar la comprensión de los grupos, los problemas y las soluciones como fenómenos </w:t>
      </w:r>
      <w:r w:rsidRPr="009257E7">
        <w:rPr>
          <w:rStyle w:val="Emphasis"/>
          <w:rFonts w:ascii="Times New Roman" w:hAnsi="Times New Roman" w:cs="Times New Roman"/>
        </w:rPr>
        <w:t>sistémicos</w:t>
      </w:r>
      <w:r w:rsidRPr="009257E7">
        <w:rPr>
          <w:rFonts w:ascii="Times New Roman" w:hAnsi="Times New Roman" w:cs="Times New Roman"/>
        </w:rPr>
        <w:t>, al mismo tiempo que se brinda a la campaña o al proyecto una posibilidad real de triunfar?</w:t>
      </w:r>
    </w:p>
    <w:p w14:paraId="7FEFB560" w14:textId="5790C930" w:rsidR="00440443" w:rsidRPr="009257E7" w:rsidRDefault="00440443" w:rsidP="00DB107C">
      <w:pPr>
        <w:pStyle w:val="NormalWeb"/>
        <w:ind w:firstLine="720"/>
      </w:pPr>
      <w:r w:rsidRPr="009257E7">
        <w:t xml:space="preserve">Estos debates continuos se complican debido a la manera en que se enmarcan las necesidades, prioridades y opciones, así como por las preguntas subyacentes sobre quién tiene autoridad y legitimidad para tomar estas decisiones </w:t>
      </w:r>
      <w:r w:rsidR="00DB107C" w:rsidRPr="009257E7">
        <w:t>en</w:t>
      </w:r>
      <w:r w:rsidRPr="009257E7">
        <w:t xml:space="preserve"> un contexto determinado. Ningún punto de vista ni proceso existe en una isla proverbial, ajeno a la historia o al funcionamiento de las identidades, los grupos, los intereses y el poder.</w:t>
      </w:r>
    </w:p>
    <w:p w14:paraId="2A0E1338" w14:textId="3CE45930" w:rsidR="00440443" w:rsidRPr="009257E7" w:rsidRDefault="00440443" w:rsidP="00DB107C">
      <w:pPr>
        <w:pStyle w:val="NormalWeb"/>
        <w:ind w:firstLine="720"/>
      </w:pPr>
      <w:r w:rsidRPr="009257E7">
        <w:t xml:space="preserve">Además, la colaboración y el conflicto coexisten necesariamente </w:t>
      </w:r>
      <w:r w:rsidR="00DB107C" w:rsidRPr="009257E7">
        <w:t>en</w:t>
      </w:r>
      <w:r w:rsidRPr="009257E7">
        <w:t xml:space="preserve"> acciones complejas diseñadas para empoderar a quienes están abajo </w:t>
      </w:r>
      <w:r w:rsidR="00DB107C" w:rsidRPr="009257E7">
        <w:t>en</w:t>
      </w:r>
      <w:r w:rsidRPr="009257E7">
        <w:t xml:space="preserve"> cualquier contexto sistémico o escenario de </w:t>
      </w:r>
      <w:r w:rsidRPr="009257E7">
        <w:lastRenderedPageBreak/>
        <w:t xml:space="preserve">abogacía. Por tanto, recuerde que probablemente surgirán conflictos </w:t>
      </w:r>
      <w:r w:rsidR="00DB107C" w:rsidRPr="009257E7">
        <w:t>en</w:t>
      </w:r>
      <w:r w:rsidRPr="009257E7">
        <w:t xml:space="preserve"> la mayoría de las colaboraciones. Cuando esto ocurra, recuerde que no existe una única manera óptima de gestionar los malentendidos o </w:t>
      </w:r>
      <w:r w:rsidR="00DB107C" w:rsidRPr="009257E7">
        <w:t xml:space="preserve">los </w:t>
      </w:r>
      <w:r w:rsidRPr="009257E7">
        <w:t xml:space="preserve">desacuerdos, es decir, las diferencias de opinión o </w:t>
      </w:r>
      <w:r w:rsidR="00DB107C" w:rsidRPr="009257E7">
        <w:t xml:space="preserve">de </w:t>
      </w:r>
      <w:r w:rsidRPr="009257E7">
        <w:t>perspectiva. Ante situaciones difíciles, les abogades buscan una base común y regresan a un principio central: apoyar siempre una toma de decisiones desde abajo que sea democrática, basada en principios, sujeta a rendición de cuentas y pragmática.</w:t>
      </w:r>
    </w:p>
    <w:p w14:paraId="79042208" w14:textId="5F8BC988" w:rsidR="00440443" w:rsidRPr="009257E7" w:rsidRDefault="00440443" w:rsidP="00DB107C">
      <w:pPr>
        <w:pStyle w:val="NormalWeb"/>
        <w:ind w:firstLine="720"/>
      </w:pPr>
      <w:r w:rsidRPr="009257E7">
        <w:t xml:space="preserve">En síntesis, la abogacía de la </w:t>
      </w:r>
      <w:r w:rsidR="00DB107C" w:rsidRPr="009257E7">
        <w:t>s</w:t>
      </w:r>
      <w:r w:rsidRPr="009257E7">
        <w:t xml:space="preserve">egunda etapa se centra en acciones complejas que abordan las </w:t>
      </w:r>
      <w:r w:rsidR="00DB107C" w:rsidRPr="009257E7">
        <w:t>dinámica</w:t>
      </w:r>
      <w:r w:rsidRPr="009257E7">
        <w:t xml:space="preserve">s sistémicas mediante campañas y proyectos de desarrollo comunitario. Para apoyar las luchas grupales mediante estas acciones, les abogades trabajan desde funciones diferentes y espacios o plataformas diversos. Sin embargo, la organización del poder colectivo desde abajo siempre forma parte de este trabajo. Por esta razón, tanto la colaboración como el conflicto deben convertirse en fuentes de fortaleza </w:t>
      </w:r>
      <w:r w:rsidR="00DB107C" w:rsidRPr="009257E7">
        <w:t>en</w:t>
      </w:r>
      <w:r w:rsidRPr="009257E7">
        <w:t xml:space="preserve"> cada contexto sistémico a largo plazo.</w:t>
      </w:r>
    </w:p>
    <w:p w14:paraId="60DE444C" w14:textId="77777777" w:rsidR="00440443" w:rsidRPr="009257E7" w:rsidRDefault="00440443" w:rsidP="007643ED">
      <w:pPr>
        <w:spacing w:before="100" w:beforeAutospacing="1" w:after="100" w:afterAutospacing="1" w:line="240" w:lineRule="auto"/>
        <w:rPr>
          <w:rFonts w:ascii="Times New Roman" w:eastAsia="Times New Roman" w:hAnsi="Times New Roman" w:cs="Times New Roman"/>
          <w:kern w:val="0"/>
          <w14:ligatures w14:val="none"/>
        </w:rPr>
      </w:pPr>
    </w:p>
    <w:p w14:paraId="7FD24409" w14:textId="77777777" w:rsidR="007643ED" w:rsidRPr="009257E7" w:rsidRDefault="007643ED">
      <w:pPr>
        <w:rPr>
          <w:rFonts w:ascii="Times New Roman" w:eastAsia="Times New Roman" w:hAnsi="Times New Roman" w:cs="Times New Roman"/>
          <w:b/>
          <w:bCs/>
          <w:kern w:val="0"/>
          <w:lang w:val="es-ES"/>
          <w14:ligatures w14:val="none"/>
        </w:rPr>
      </w:pPr>
      <w:r w:rsidRPr="009257E7">
        <w:rPr>
          <w:rFonts w:ascii="Times New Roman" w:eastAsia="Times New Roman" w:hAnsi="Times New Roman" w:cs="Times New Roman"/>
          <w:b/>
          <w:bCs/>
          <w:kern w:val="0"/>
          <w:lang w:val="es-ES"/>
          <w14:ligatures w14:val="none"/>
        </w:rPr>
        <w:br w:type="page"/>
      </w:r>
    </w:p>
    <w:p w14:paraId="02104B36" w14:textId="5C142588" w:rsidR="007643ED" w:rsidRPr="009257E7" w:rsidRDefault="007643ED" w:rsidP="007643ED">
      <w:pPr>
        <w:spacing w:before="100" w:beforeAutospacing="1" w:after="100" w:afterAutospacing="1" w:line="240" w:lineRule="auto"/>
        <w:outlineLvl w:val="2"/>
        <w:rPr>
          <w:rFonts w:ascii="Times New Roman" w:eastAsia="Times New Roman" w:hAnsi="Times New Roman" w:cs="Times New Roman"/>
          <w:b/>
          <w:bCs/>
          <w:kern w:val="0"/>
          <w:lang w:val="es-ES"/>
          <w14:ligatures w14:val="none"/>
        </w:rPr>
      </w:pPr>
      <w:r w:rsidRPr="009257E7">
        <w:rPr>
          <w:rFonts w:ascii="Times New Roman" w:eastAsia="Times New Roman" w:hAnsi="Times New Roman" w:cs="Times New Roman"/>
          <w:b/>
          <w:bCs/>
          <w:kern w:val="0"/>
          <w:lang w:val="es-ES"/>
          <w14:ligatures w14:val="none"/>
        </w:rPr>
        <w:lastRenderedPageBreak/>
        <w:t>Capítulo 10: El camino</w:t>
      </w:r>
      <w:r w:rsidR="00197F51" w:rsidRPr="009257E7">
        <w:rPr>
          <w:rFonts w:ascii="Times New Roman" w:eastAsia="Times New Roman" w:hAnsi="Times New Roman" w:cs="Times New Roman"/>
          <w:b/>
          <w:bCs/>
          <w:kern w:val="0"/>
          <w:lang w:val="es-ES"/>
          <w14:ligatures w14:val="none"/>
        </w:rPr>
        <w:t xml:space="preserve"> largo</w:t>
      </w:r>
      <w:r w:rsidRPr="009257E7">
        <w:rPr>
          <w:rFonts w:ascii="Times New Roman" w:eastAsia="Times New Roman" w:hAnsi="Times New Roman" w:cs="Times New Roman"/>
          <w:b/>
          <w:bCs/>
          <w:kern w:val="0"/>
          <w:lang w:val="es-ES"/>
          <w14:ligatures w14:val="none"/>
        </w:rPr>
        <w:t xml:space="preserve">: </w:t>
      </w:r>
      <w:r w:rsidR="00197F51" w:rsidRPr="009257E7">
        <w:rPr>
          <w:rFonts w:ascii="Times New Roman" w:eastAsia="Times New Roman" w:hAnsi="Times New Roman" w:cs="Times New Roman"/>
          <w:b/>
          <w:bCs/>
          <w:kern w:val="0"/>
          <w:lang w:val="es-ES"/>
          <w14:ligatures w14:val="none"/>
        </w:rPr>
        <w:t>trazar s</w:t>
      </w:r>
      <w:r w:rsidRPr="009257E7">
        <w:rPr>
          <w:rFonts w:ascii="Times New Roman" w:eastAsia="Times New Roman" w:hAnsi="Times New Roman" w:cs="Times New Roman"/>
          <w:b/>
          <w:bCs/>
          <w:kern w:val="0"/>
          <w:lang w:val="es-ES"/>
          <w14:ligatures w14:val="none"/>
        </w:rPr>
        <w:t>us rutas hacia la justicia</w:t>
      </w:r>
    </w:p>
    <w:p w14:paraId="2BB5EC95" w14:textId="77777777" w:rsidR="00197F51" w:rsidRPr="009257E7" w:rsidRDefault="00197F51" w:rsidP="00197F51">
      <w:pPr>
        <w:pStyle w:val="NormalWeb"/>
      </w:pPr>
      <w:r w:rsidRPr="009257E7">
        <w:rPr>
          <w:rStyle w:val="Emphasis"/>
        </w:rPr>
        <w:t>No se pierda en un mar de desesperación. Mantenga la esperanza, sea optimista. Nuestra lucha no es la lucha de un día, una semana, un mes ni un año; es la lucha de toda una vida.</w:t>
      </w:r>
    </w:p>
    <w:p w14:paraId="7D41E64B" w14:textId="77777777" w:rsidR="00197F51" w:rsidRPr="009257E7" w:rsidRDefault="00197F51" w:rsidP="00197F51">
      <w:pPr>
        <w:pStyle w:val="NormalWeb"/>
      </w:pPr>
      <w:r w:rsidRPr="009257E7">
        <w:rPr>
          <w:rStyle w:val="Strong"/>
          <w:b w:val="0"/>
          <w:bCs w:val="0"/>
        </w:rPr>
        <w:t>—John Lewis</w:t>
      </w:r>
      <w:r w:rsidRPr="009257E7">
        <w:rPr>
          <w:b/>
          <w:bCs/>
        </w:rPr>
        <w:t xml:space="preserve"> </w:t>
      </w:r>
      <w:r w:rsidRPr="009257E7">
        <w:t>(tuit de 2018)</w:t>
      </w:r>
    </w:p>
    <w:p w14:paraId="642CC71A" w14:textId="3FA25B9D" w:rsidR="00197F51" w:rsidRPr="009257E7" w:rsidRDefault="00197F51" w:rsidP="00197F51">
      <w:pPr>
        <w:pStyle w:val="NormalWeb"/>
        <w:rPr>
          <w:b/>
          <w:bCs/>
          <w:i/>
          <w:iCs/>
        </w:rPr>
      </w:pPr>
      <w:r w:rsidRPr="009257E7">
        <w:rPr>
          <w:rStyle w:val="Emphasis"/>
          <w:b/>
          <w:bCs/>
          <w:i w:val="0"/>
          <w:iCs w:val="0"/>
        </w:rPr>
        <w:t>Introducción</w:t>
      </w:r>
    </w:p>
    <w:p w14:paraId="24DF1407" w14:textId="52A16D07" w:rsidR="00197F51" w:rsidRPr="009257E7" w:rsidRDefault="00197F51" w:rsidP="00197F51">
      <w:pPr>
        <w:pStyle w:val="NormalWeb"/>
        <w:ind w:firstLine="720"/>
      </w:pPr>
      <w:r w:rsidRPr="009257E7">
        <w:t xml:space="preserve">Abundan los problemas sociales persistentes. La magnitud y la insensibilización producida por la violencia sistémica pueden resultar desorientadoras, y por eso les abogades sistémiques deben mantener una base firme en su manera de pensar y actuar a largo plazo. El trabajo ético sostenido exige un esfuerzo constante: de un momento a otro puede resultar desafiante, agotador, desconcertante, perturbador e interminable. Sin embargo, realizar este trabajo en comunidad con otras personas también constituye una fuente continua de alegría y esperanza. </w:t>
      </w:r>
    </w:p>
    <w:p w14:paraId="1D101362" w14:textId="15E07AF7" w:rsidR="00197F51" w:rsidRPr="009257E7" w:rsidRDefault="00197F51" w:rsidP="00197F51">
      <w:pPr>
        <w:pStyle w:val="NormalWeb"/>
        <w:ind w:firstLine="720"/>
      </w:pPr>
      <w:r w:rsidRPr="009257E7">
        <w:t>Inevitablemente, les abogades sistémiques trazan sus propias trayectorias profesionales y personales hacia un trabajo y una vida de carácter ético, basados en valores de antisubordinación y solidaridad. Con el tiempo, les abogades desarrollan sus conocimientos críticos, valores, destrezas y actitudes. A lo largo del camino, crean sus propias “rutas” hacia una justicia igualitaria sostenida y material: lo que denominamos Justicia Crítica. Sin embargo, los caminos cambian durante el recorrido, y también deben cambiar les abogades y la abogacía.</w:t>
      </w:r>
    </w:p>
    <w:p w14:paraId="0CC44AFB" w14:textId="160B18F0" w:rsidR="00197F51" w:rsidRPr="009257E7" w:rsidRDefault="00197F51" w:rsidP="00197F51">
      <w:pPr>
        <w:pStyle w:val="NormalWeb"/>
        <w:ind w:firstLine="720"/>
      </w:pPr>
      <w:r w:rsidRPr="009257E7">
        <w:t xml:space="preserve">Esta maratón crítica hacia la Justicia Crítica puede parecer una faena cotidiana, aunque con el tiempo se convierte en una faena llena de altibajos y en una forma de vida. Cada abogade solo puede —pero también debe— hacer lo mejor posible cada día. Con la mirada puesta en el futuro y en este espíritu, este capítulo final ofrece algunas reflexiones sobre mapas de ruta y caminos que usted puede considerar mientras trabaja en contextos diversos a lo largo de su carrera o de su vida. </w:t>
      </w:r>
    </w:p>
    <w:p w14:paraId="43E5F74B" w14:textId="684CD60E" w:rsidR="00197F51" w:rsidRPr="009257E7" w:rsidRDefault="00197F51" w:rsidP="00197F51">
      <w:pPr>
        <w:pStyle w:val="NormalWeb"/>
        <w:rPr>
          <w:b/>
          <w:bCs/>
        </w:rPr>
      </w:pPr>
      <w:r w:rsidRPr="009257E7">
        <w:rPr>
          <w:b/>
          <w:bCs/>
          <w:lang w:val="es-ES"/>
        </w:rPr>
        <w:t>10.1 Cada abogade debe desaprender y reaprender la solución de problemas para crear su propio “camino” vital hacia la justicia crítica</w:t>
      </w:r>
    </w:p>
    <w:p w14:paraId="1ADC7144" w14:textId="7E73A37B" w:rsidR="00197F51" w:rsidRPr="009257E7" w:rsidRDefault="00197F51" w:rsidP="00197F51">
      <w:pPr>
        <w:pStyle w:val="NormalWeb"/>
        <w:ind w:firstLine="720"/>
      </w:pPr>
      <w:r w:rsidRPr="009257E7">
        <w:t xml:space="preserve">En los capítulos anteriores, hemos conocido a abogades situades en contextos diversos que extraen enseñanzas amplias sobre el derecho y la justicia a partir de su participación personal en asuntos específicos dentro de una variedad de contextos. Estos ejemplos ilustran tanto la especificidad como los patrones de la injusticia sistémica construidos sobre identidades, grupos, intereses y poder. También ilustran por qué y cómo les abogades trazan sus propios caminos a través de las complejidades de la injusticia sistémica para desarrollar proyectos de tres niveles. Para hacerlo, desaprenden y vuelven a aprender a </w:t>
      </w:r>
      <w:r w:rsidR="002353AF" w:rsidRPr="009257E7">
        <w:t>resolve</w:t>
      </w:r>
      <w:r w:rsidRPr="009257E7">
        <w:t>r problemas desde perspectivas críticas y autocríticas. En los extractos breves que siguen, tres abogades comparten sus conocimientos intelectuales y derivados de la experiencia sobre una abogacía colaborativa desde abajo</w:t>
      </w:r>
      <w:r w:rsidR="002353AF" w:rsidRPr="009257E7">
        <w:t>,</w:t>
      </w:r>
      <w:r w:rsidRPr="009257E7">
        <w:t xml:space="preserve"> para ayudarle a tomar sus propias decisiones.</w:t>
      </w:r>
      <w:r w:rsidR="002353AF" w:rsidRPr="009257E7">
        <w:t xml:space="preserve"> </w:t>
      </w:r>
    </w:p>
    <w:p w14:paraId="15F2106D" w14:textId="79F2054F" w:rsidR="00197F51" w:rsidRPr="009257E7" w:rsidRDefault="00197F51" w:rsidP="002353AF">
      <w:pPr>
        <w:pStyle w:val="NormalWeb"/>
        <w:ind w:firstLine="720"/>
      </w:pPr>
      <w:r w:rsidRPr="009257E7">
        <w:lastRenderedPageBreak/>
        <w:t xml:space="preserve">Con ese espíritu, considere las tres “cartas” siguientes, dirigidas directamente a </w:t>
      </w:r>
      <w:r w:rsidRPr="009257E7">
        <w:rPr>
          <w:rStyle w:val="Emphasis"/>
        </w:rPr>
        <w:t>usted como abogade</w:t>
      </w:r>
      <w:r w:rsidRPr="009257E7">
        <w:t>, a partir de la experiencia de est</w:t>
      </w:r>
      <w:r w:rsidR="002353AF" w:rsidRPr="009257E7">
        <w:t>o</w:t>
      </w:r>
      <w:r w:rsidRPr="009257E7">
        <w:t xml:space="preserve">s académicos del derecho </w:t>
      </w:r>
      <w:r w:rsidR="002353AF" w:rsidRPr="009257E7">
        <w:t>en</w:t>
      </w:r>
      <w:r w:rsidRPr="009257E7">
        <w:t xml:space="preserve"> la abogacía comunitaria y de sus conocimientos </w:t>
      </w:r>
      <w:r w:rsidR="002353AF" w:rsidRPr="009257E7">
        <w:t>sobre</w:t>
      </w:r>
      <w:r w:rsidRPr="009257E7">
        <w:t xml:space="preserve"> la producción académica crítica. En ellas, reflexionan sobre el derecho, les clientes, las comunidades y la justicia para ayudar a quienes comienzan una carrera dentro del derecho y/o de la organización social a entrar en las trincheras de la industria jurídica con el corazón, la mente y el espíritu alertas y abiertos. En conjunto, estas cartas constituyen una guía práctica para les abogades que trazan su propio camino hacia la Justicia Crítica.</w:t>
      </w:r>
    </w:p>
    <w:p w14:paraId="026CED75" w14:textId="3B7804B6" w:rsidR="00197F51" w:rsidRPr="009257E7" w:rsidRDefault="00197F51" w:rsidP="002353AF">
      <w:pPr>
        <w:pStyle w:val="NormalWeb"/>
        <w:ind w:firstLine="720"/>
      </w:pPr>
      <w:r w:rsidRPr="009257E7">
        <w:t xml:space="preserve">Betty Hung es académica y abogada de interés público que ha encabezado numerosas campañas entre trabajadores inmigrantes con salarios bajos. Su carta relata su experiencia como mujer asiática en la facultad de derecho, </w:t>
      </w:r>
      <w:r w:rsidR="002353AF" w:rsidRPr="009257E7">
        <w:t>como</w:t>
      </w:r>
      <w:r w:rsidRPr="009257E7">
        <w:t xml:space="preserve"> “persona externa” para quien muchas de las “verdades” que se enseñaban sobre la justicia igualitaria </w:t>
      </w:r>
      <w:r w:rsidR="002353AF" w:rsidRPr="009257E7">
        <w:t>en</w:t>
      </w:r>
      <w:r w:rsidRPr="009257E7">
        <w:t xml:space="preserve"> el sistema jurídico no resultaban convincentes. Su experiencia puede servir de base para desarrollar una empatía mayor con les clientes, obtener perspectivas sobre las dinámicas de la injusticia y fomentar colaboraciones creativas.</w:t>
      </w:r>
    </w:p>
    <w:p w14:paraId="27DE5C66" w14:textId="3257D4AA" w:rsidR="00197F51" w:rsidRPr="009257E7" w:rsidRDefault="00197F51" w:rsidP="002353AF">
      <w:pPr>
        <w:pStyle w:val="NormalWeb"/>
        <w:ind w:firstLine="720"/>
      </w:pPr>
      <w:r w:rsidRPr="009257E7">
        <w:t xml:space="preserve">Bill Quigley, profesor clínico y activista católico por la justicia social, ofrece puntos de partida fundamentales para la abogacía sistémica. Entre ellos, destaca la importancia de fundamentar su práctica en el reconocimiento de que les clientes desde abajo aportan una riqueza considerable de conocimientos debido a sus experiencias de injusticia. Aconseja a les abogades </w:t>
      </w:r>
      <w:r w:rsidR="002353AF" w:rsidRPr="009257E7">
        <w:t xml:space="preserve">a </w:t>
      </w:r>
      <w:r w:rsidRPr="009257E7">
        <w:t>cultivar la humildad necesaria para aprender de clientes e integrantes de la comunidad con menos privilegios que usted. Al mismo tiempo, insta a les abogades a aprender de la historia crítica: las historias de las élites que elaboran las leyes y de activistas y abogades que luchan por el progreso.</w:t>
      </w:r>
    </w:p>
    <w:p w14:paraId="188B860F" w14:textId="6A391B94" w:rsidR="00197F51" w:rsidRPr="009257E7" w:rsidRDefault="00197F51" w:rsidP="002353AF">
      <w:pPr>
        <w:pStyle w:val="NormalWeb"/>
        <w:ind w:firstLine="720"/>
      </w:pPr>
      <w:bookmarkStart w:id="48" w:name="OLE_LINK3"/>
      <w:r w:rsidRPr="009257E7">
        <w:t xml:space="preserve">Dean Spade, activista y académico transgénero de Estados Unidos, sugiere que la formación jurídica formal quizá no sea la mejor vía para generar impacto </w:t>
      </w:r>
      <w:r w:rsidR="002353AF" w:rsidRPr="009257E7">
        <w:t>frente a</w:t>
      </w:r>
      <w:r w:rsidRPr="009257E7">
        <w:t xml:space="preserve"> la injusticia sistémica. Al igual que otres, observa que les estudiantes de derecho reciben una educación que los adoctrina para justificar y defender la injusticia sistémica, en lugar de atravesarla y combatirla. Como demuestra, el conocimiento crítico no siempre se adquiere mejor mediante la formación jurídica formal.</w:t>
      </w:r>
    </w:p>
    <w:bookmarkEnd w:id="48"/>
    <w:p w14:paraId="3BA29F21" w14:textId="63164F64" w:rsidR="00197F51" w:rsidRPr="009257E7" w:rsidRDefault="00197F51" w:rsidP="002353AF">
      <w:pPr>
        <w:pStyle w:val="NormalWeb"/>
        <w:ind w:firstLine="720"/>
      </w:pPr>
      <w:r w:rsidRPr="009257E7">
        <w:t xml:space="preserve">Mientras las lee, observe cómo estas tres cartas dirigidas a futures abogades condensan y enfatizan un punto fundamental: les abogades sistémiques deben mantener conciencia propia y una perspectiva autocrítica respecto de los grupos definidos por la identidad, los intereses y el poder. Solo el conocimiento crítico, acompañado de una vigilancia autorreflexiva y autocrítica, puede fundamentar su trabajo en principios y en la rendición de cuentas </w:t>
      </w:r>
      <w:r w:rsidR="002353AF" w:rsidRPr="009257E7">
        <w:t>en</w:t>
      </w:r>
      <w:r w:rsidRPr="009257E7">
        <w:t xml:space="preserve"> contextos complejos —y a largo plazo— en esta maratón transgeneracional hacia la Justicia Crítica para todes.</w:t>
      </w:r>
    </w:p>
    <w:p w14:paraId="5A8F03F2" w14:textId="111E7B90" w:rsidR="002353AF" w:rsidRPr="009257E7" w:rsidRDefault="002353AF" w:rsidP="002353AF">
      <w:pPr>
        <w:rPr>
          <w:rFonts w:ascii="Times New Roman" w:hAnsi="Times New Roman" w:cs="Times New Roman"/>
          <w:b/>
          <w:bCs/>
        </w:rPr>
      </w:pPr>
      <w:r w:rsidRPr="009257E7">
        <w:rPr>
          <w:rFonts w:ascii="Times New Roman" w:hAnsi="Times New Roman" w:cs="Times New Roman"/>
          <w:b/>
          <w:bCs/>
        </w:rPr>
        <w:t>Carta a une joven abogade de interés público</w:t>
      </w:r>
    </w:p>
    <w:p w14:paraId="3B9740BE" w14:textId="77777777" w:rsidR="002353AF" w:rsidRPr="009257E7" w:rsidRDefault="002353AF" w:rsidP="002353AF">
      <w:pPr>
        <w:pStyle w:val="NormalWeb"/>
      </w:pPr>
      <w:r w:rsidRPr="009257E7">
        <w:t>Betty Hung</w:t>
      </w:r>
      <w:r w:rsidRPr="009257E7">
        <w:br/>
        <w:t>1 L. A. Pub. Int. L.J. 319 (2009)</w:t>
      </w:r>
    </w:p>
    <w:p w14:paraId="349B8D18" w14:textId="75FC1BA9" w:rsidR="002353AF" w:rsidRPr="009257E7" w:rsidRDefault="002353AF" w:rsidP="002353AF">
      <w:pPr>
        <w:pStyle w:val="NormalWeb"/>
        <w:ind w:firstLine="720"/>
      </w:pPr>
      <w:r w:rsidRPr="009257E7">
        <w:lastRenderedPageBreak/>
        <w:t>Al crecer en un suburbio de clase media trabajadora en Los Ángeles, como hija de padres inmigrantes procedentes de Taiwán, me fascinaba el movimiento por los derechos civiles de las décadas de 1950 y 1960…  Ante la ausencia de personas asiático-estadounidenses en los libros de historia, la televisión y los medios de comunicación, busqué en King y en otros íconos de los derechos civiles modelos de lo que las personas de color podían superar y lograr en los Estados Unidos. Anhelaba formar parte de una comunidad y de un movimiento por la igualdad de derechos y la justicia y, inspirada por esos ejemplos, decidí que quería convertirme en abogada de derechos civiles…</w:t>
      </w:r>
    </w:p>
    <w:p w14:paraId="4E80A3EA" w14:textId="122A7F67" w:rsidR="002353AF" w:rsidRPr="009257E7" w:rsidRDefault="002353AF" w:rsidP="002353AF">
      <w:pPr>
        <w:pStyle w:val="NormalWeb"/>
        <w:ind w:firstLine="720"/>
      </w:pPr>
      <w:r w:rsidRPr="009257E7">
        <w:t xml:space="preserve">Sin embargo, cuando crucé por primera vez las puertas de “la Facultad de Derecho de Yale” en 1994, dejé mi inteligencia afuera. O al menos así me sentía. No importaba que me hubiera graduado </w:t>
      </w:r>
      <w:r w:rsidRPr="009257E7">
        <w:rPr>
          <w:rStyle w:val="Emphasis"/>
        </w:rPr>
        <w:t>magna cum laude</w:t>
      </w:r>
      <w:r w:rsidRPr="009257E7">
        <w:t xml:space="preserve"> de Harvard. De repente, en medio de una clase pequeña de la facultad de derecho, donde parecía que una de cada dos personas era becaria de la Rhodes, pariente de un juez de un tribunal federal de circuito o aspirante a una carrera política, me sentí incapaz de hablar, abrumada y perdida. Fui la primera persona de mi familia en asistir a la facultad de derecho y, mientras crecía, no conocí a ningún abogade. El lenguaje, la teoría y la práctica del derecho me parecían completamente ajenos. Durante las clases, me intimidaba el método socrático y me intimidaba aún más la manera en que les demás estudiantes, especialmente los hombres, parecían imperturbables y seguros de sí mismos. Mis ideas políticas progresistas parecían estar fuera de lugar. Sentía que, de la noche a la mañana, me había convertido en una persona que no era lo suficientemente inteligente ni adecuada para ejercer el derecho porque no encajaba en el molde tradicional de une abogade agresive, dominante y astute.</w:t>
      </w:r>
    </w:p>
    <w:p w14:paraId="381D2BD0" w14:textId="4B287A92" w:rsidR="002353AF" w:rsidRPr="009257E7" w:rsidRDefault="002353AF" w:rsidP="002353AF">
      <w:pPr>
        <w:pStyle w:val="NormalWeb"/>
        <w:ind w:firstLine="720"/>
      </w:pPr>
      <w:r w:rsidRPr="009257E7">
        <w:t xml:space="preserve">Durante gran parte de mis estudios de derecho, me sentí sin voz y marginada. Se ha escrito mucho sobre cómo las mujeres y las personas de color experimentan alienación durante sus estudios de derecho. Fue esa literatura y el descubrimiento de la teoría crítica de la raza lo que me ayudó no solo a sobrevivir a la facultad de derecho, sino también a aprovechar las disonancias de mi experiencia como una fortaleza que, con el paso de los años, creo que me ha ayudado a convertirme en una mejor abogada de interés público… Comprendí que existían razones estructurales por las que me sentía tan alienada y que la disonancia que experimentaba no era inusual. La teoría crítica de la raza me proporcionó el lenguaje y los conceptos necesarios para comprender y articular la verdad de lo que había experimentado desde la infancia: que las instituciones, estructuras y normas sociopolíticas y jurídicas refuerzan un </w:t>
      </w:r>
      <w:r w:rsidRPr="009257E7">
        <w:rPr>
          <w:rStyle w:val="Emphasis"/>
        </w:rPr>
        <w:t>statu quo</w:t>
      </w:r>
      <w:r w:rsidRPr="009257E7">
        <w:t xml:space="preserve"> en el que ciertos grupos ejercen poder y controlan la riqueza, mientras muchos otros quedan privados de poder y de derechos. Como “persona externa”, aprendí a analizar y diseccionar estos sistemas para comprender cómo perpetúan las desigualdades. Aprendí a pensar tanto dentro como fuera de ellos para sobrevivir y transformarlos en sistemas más justos y equitativos.</w:t>
      </w:r>
    </w:p>
    <w:p w14:paraId="5226A24E" w14:textId="73712839" w:rsidR="002353AF" w:rsidRPr="009257E7" w:rsidRDefault="002353AF" w:rsidP="002353AF">
      <w:pPr>
        <w:pStyle w:val="NormalWeb"/>
        <w:ind w:firstLine="720"/>
      </w:pPr>
      <w:r w:rsidRPr="009257E7">
        <w:t xml:space="preserve">… [F]ue en el programa clínico de la facultad de derecho donde verdaderamente me sentí en casa. Bajo la mentoría de las profesoras Jean Koh Peters y Kathleen Sullivan, aprendí a aplicar tanto mi intelecto jurídico como mi humanidad para representar vigorosamente los intereses de nuestres clientes. Me enseñaron a esforzarme por adoptar un enfoque verdaderamente centrado en le cliente, a honrar el valor y la dignidad inherentes de cada cliente, a incorporar un análisis de las desigualdades estructurales que afectaban las circunstancias de vida de nuestres clientes y a reconocer la necesidad de trabajar con todo el empeño posible para alcanzar la mayor efectividad, porque nuestres clientes no merecían menos. Las profesoras Koh </w:t>
      </w:r>
      <w:r w:rsidRPr="009257E7">
        <w:lastRenderedPageBreak/>
        <w:t>Peters y Sullivan me ayudaron a comprender que la compasión y la empatía humanas tienen un lugar dentro de la práctica jurídica y fortalecen, en lugar de debilitar, la efectividad de una persona como abogade…</w:t>
      </w:r>
    </w:p>
    <w:p w14:paraId="2F2D58B6" w14:textId="799B09C7" w:rsidR="002353AF" w:rsidRPr="009257E7" w:rsidRDefault="002353AF" w:rsidP="002353AF">
      <w:pPr>
        <w:pStyle w:val="NormalWeb"/>
        <w:ind w:firstLine="720"/>
      </w:pPr>
      <w:r w:rsidRPr="009257E7">
        <w:t xml:space="preserve">Aunque no pretendo saber cómo es estar en la situación de mis clientes, creo que haberme sentido invisible y sin voz a lo largo de mis experiencias de vida, y específicamente dentro de la facultad de derecho, me ha convertido en una abogada más efectiva en la justicia social. El desafío de intentar encajar dentro de una institución y un sistema que, históricamente, no han valorado de manera igual las perspectivas y experiencias de vida de las comunidades de las que provengo me ha dado una mayor empatía hacia las dificultades de mis clientes y me ha permitido comprender mejor cómo las fuerzas estructurales pueden quitar poder y empobrecer a las personas. He tratado de analizar cómo las leyes y políticas vigentes con frecuencia sirven para despojar a las personas de sus derechos e impedirles alzar la voz y afirmar su humanidad. Esto me ha impulsado a actuar con una conciencia dual… tanto dentro como fuera del sistema jurídico para transformarlo y hacerlo más justo y equitativo. </w:t>
      </w:r>
    </w:p>
    <w:p w14:paraId="79B117CE" w14:textId="7D082B92" w:rsidR="002353AF" w:rsidRPr="009257E7" w:rsidRDefault="002353AF" w:rsidP="002353AF">
      <w:pPr>
        <w:pStyle w:val="NormalWeb"/>
        <w:ind w:firstLine="720"/>
      </w:pPr>
      <w:r w:rsidRPr="009257E7">
        <w:t>Lo más importante es que me ha enseñado la importancia de crear alianzas verdaderas con clientes, integrantes de la comunidad y otres abogades para reunir nuestras destrezas, experiencias, talentos y recursos con el fin de cuestionar las instituciones y los sistemas que perpetúan la desigualdad. Si trabajamos con más empeño y creatividad que las fuerzas a las que nos enfrentamos, podemos trasladar poder hacia las comunidades marginadas con la esperanza general de que el resultado final sea una sociedad más justa e igualitaria, en la que aprendamos a valorar la humanidad de cada persona para que nadie quede marginado ni sin voz.</w:t>
      </w:r>
    </w:p>
    <w:p w14:paraId="19EB23F0" w14:textId="77777777" w:rsidR="002353AF" w:rsidRPr="009257E7" w:rsidRDefault="002353AF" w:rsidP="002353AF">
      <w:pPr>
        <w:pStyle w:val="NormalWeb"/>
      </w:pPr>
      <w:r w:rsidRPr="009257E7">
        <w:t>Atentamente,</w:t>
      </w:r>
      <w:r w:rsidRPr="009257E7">
        <w:br/>
        <w:t>Betty Hung</w:t>
      </w:r>
    </w:p>
    <w:p w14:paraId="255F4AA7" w14:textId="02947F02" w:rsidR="002353AF" w:rsidRPr="009257E7" w:rsidRDefault="002353AF" w:rsidP="002353AF">
      <w:pPr>
        <w:rPr>
          <w:rFonts w:ascii="Times New Roman" w:hAnsi="Times New Roman" w:cs="Times New Roman"/>
          <w:b/>
          <w:bCs/>
        </w:rPr>
      </w:pPr>
      <w:r w:rsidRPr="009257E7">
        <w:rPr>
          <w:rFonts w:ascii="Times New Roman" w:hAnsi="Times New Roman" w:cs="Times New Roman"/>
          <w:b/>
          <w:bCs/>
        </w:rPr>
        <w:t>Carta a un estudiante de derecho interesado en la justicia social</w:t>
      </w:r>
    </w:p>
    <w:p w14:paraId="53BFA895" w14:textId="77777777" w:rsidR="002353AF" w:rsidRPr="009257E7" w:rsidRDefault="002353AF" w:rsidP="002353AF">
      <w:pPr>
        <w:pStyle w:val="NormalWeb"/>
      </w:pPr>
      <w:r w:rsidRPr="009257E7">
        <w:t>William P. Quigley</w:t>
      </w:r>
      <w:r w:rsidRPr="009257E7">
        <w:br/>
        <w:t>1 DePaul J. for Soc. Just. 7 (2007)</w:t>
      </w:r>
    </w:p>
    <w:p w14:paraId="7AB333A4" w14:textId="2949C802" w:rsidR="002353AF" w:rsidRPr="009257E7" w:rsidRDefault="002353AF" w:rsidP="002353AF">
      <w:pPr>
        <w:pStyle w:val="NormalWeb"/>
        <w:ind w:firstLine="720"/>
      </w:pPr>
      <w:r w:rsidRPr="009257E7">
        <w:t>. . . Me alegra mucho conocer su compromiso con el derecho orientado hacia la justicia social [y] espero que algunas de estas reflexiones le resulten útiles…</w:t>
      </w:r>
    </w:p>
    <w:p w14:paraId="47D120C6" w14:textId="4827FC8B" w:rsidR="002353AF" w:rsidRPr="009257E7" w:rsidRDefault="002353AF" w:rsidP="002353AF">
      <w:pPr>
        <w:rPr>
          <w:rFonts w:ascii="Times New Roman" w:hAnsi="Times New Roman" w:cs="Times New Roman"/>
          <w:b/>
          <w:bCs/>
        </w:rPr>
      </w:pPr>
      <w:r w:rsidRPr="009257E7">
        <w:rPr>
          <w:rFonts w:ascii="Times New Roman" w:hAnsi="Times New Roman" w:cs="Times New Roman"/>
          <w:b/>
          <w:bCs/>
        </w:rPr>
        <w:t>La abogacía por la justicia social es contracultural en la facultad de derecho y en la profesión jurídica</w:t>
      </w:r>
    </w:p>
    <w:p w14:paraId="3CE3320F" w14:textId="18259544" w:rsidR="002353AF" w:rsidRPr="009257E7" w:rsidRDefault="002353AF" w:rsidP="002353AF">
      <w:pPr>
        <w:pStyle w:val="NormalWeb"/>
        <w:ind w:firstLine="720"/>
      </w:pPr>
      <w:r w:rsidRPr="009257E7">
        <w:t>. . . Muchas personas ingresan a la facultad de derecho porque desean, de alguna manera, ayudar a personas mayores, niños, personas con discapacidad, personas desnutridas en distintas partes del mundo, víctimas de genocidio o de racismo, injusticia económica, persecución religiosa o discriminación de género.</w:t>
      </w:r>
    </w:p>
    <w:p w14:paraId="73043307" w14:textId="36EAD0F4" w:rsidR="002353AF" w:rsidRPr="009257E7" w:rsidRDefault="002353AF" w:rsidP="002353AF">
      <w:pPr>
        <w:pStyle w:val="NormalWeb"/>
        <w:ind w:firstLine="720"/>
      </w:pPr>
      <w:r w:rsidRPr="009257E7">
        <w:t>Lamentablemente, la experiencia dentro de la facultad de derecho y en la profesión jurídica con frecuencia debilita el compromiso con la abogacía por la justicia social.</w:t>
      </w:r>
    </w:p>
    <w:p w14:paraId="03267B9F" w14:textId="1DB9E72A" w:rsidR="002353AF" w:rsidRPr="009257E7" w:rsidRDefault="002353AF" w:rsidP="002353AF">
      <w:pPr>
        <w:pStyle w:val="NormalWeb"/>
        <w:ind w:firstLine="720"/>
      </w:pPr>
      <w:r w:rsidRPr="009257E7">
        <w:lastRenderedPageBreak/>
        <w:t xml:space="preserve">El énfasis reiterado </w:t>
      </w:r>
      <w:r w:rsidR="00E4357A" w:rsidRPr="009257E7">
        <w:t>en</w:t>
      </w:r>
      <w:r w:rsidRPr="009257E7">
        <w:t xml:space="preserve"> la facultad de derecho en las sutilezas del derecho sustantivo y en las múltiples capas del procedimiento, que por lo general se analizan mediante ejemplos provenientes del ámbito empresarial y del litigio tradicional, puede desgastar el idealismo con el que l</w:t>
      </w:r>
      <w:r w:rsidR="00E4357A" w:rsidRPr="009257E7">
        <w:t>o</w:t>
      </w:r>
      <w:r w:rsidRPr="009257E7">
        <w:t>s estudiantes llegaron inicialmente</w:t>
      </w:r>
      <w:r w:rsidR="00E4357A" w:rsidRPr="009257E7">
        <w:t>…</w:t>
      </w:r>
    </w:p>
    <w:p w14:paraId="766141C6" w14:textId="1F72B3BD" w:rsidR="002353AF" w:rsidRPr="009257E7" w:rsidRDefault="002353AF" w:rsidP="00E4357A">
      <w:pPr>
        <w:pStyle w:val="NormalWeb"/>
        <w:ind w:firstLine="720"/>
      </w:pPr>
      <w:r w:rsidRPr="009257E7">
        <w:t xml:space="preserve">Me duele decirlo, pero la justicia es un valor contracultural </w:t>
      </w:r>
      <w:r w:rsidR="00E4357A" w:rsidRPr="009257E7">
        <w:t>en</w:t>
      </w:r>
      <w:r w:rsidRPr="009257E7">
        <w:t xml:space="preserve"> nuestra profesión jurídica. Por esa razón, usted no puede tener miedo de ser diferente de otras personas dentro de la facultad de derecho o de la profesión, porque, a menos que lo sea, no podrá ser un</w:t>
      </w:r>
      <w:r w:rsidR="00E4357A" w:rsidRPr="009257E7">
        <w:t>a</w:t>
      </w:r>
      <w:r w:rsidRPr="009257E7">
        <w:t xml:space="preserve"> abogade de justicia social.</w:t>
      </w:r>
    </w:p>
    <w:p w14:paraId="0C253FEC" w14:textId="2EDC08A0" w:rsidR="002353AF" w:rsidRPr="009257E7" w:rsidRDefault="002353AF" w:rsidP="00E4357A">
      <w:pPr>
        <w:pStyle w:val="NormalWeb"/>
        <w:ind w:firstLine="720"/>
      </w:pPr>
      <w:r w:rsidRPr="009257E7">
        <w:t>Quienes ejercen el derecho orientado hacia la justicia social están, en esencia, nadando contra la corriente mientras otres avanzan en la dirección contraria. A menos que usted tome en serio su rumbo, las decisiones que adopta y la necesidad de apoyo, trabajo en equipo y renovación, probablemente se cansará, comenzará a dejarse llevar y terminará descendiendo por la corriente con les demás</w:t>
      </w:r>
      <w:r w:rsidR="00E4357A" w:rsidRPr="009257E7">
        <w:t>…</w:t>
      </w:r>
    </w:p>
    <w:p w14:paraId="0C11F5DD" w14:textId="77777777" w:rsidR="002353AF" w:rsidRPr="009257E7" w:rsidRDefault="002353AF" w:rsidP="00E4357A">
      <w:pPr>
        <w:pStyle w:val="NormalWeb"/>
        <w:ind w:firstLine="720"/>
      </w:pPr>
      <w:r w:rsidRPr="009257E7">
        <w:t>Nuestra profesión ciertamente rinde homenaje verbal a la justicia y, como somos abogades, ese homenaje suele expresarse con elocuencia, pero . . . todo el mundo sabe que el trabajo por la justicia no constituye la esencia de la profesión jurídica. La esencia profesional es el dinero, y la inmensa mayoría del trabajo jurídico consiste en facilitar la transferencia de dinero o recursos de un grupo a otro. De hecho, una parte vergonzosamente grande de nuestra profesión consiste en lo contrario de la justicia: quitar a las personas pobres para dar a las ricas o justificar injusticias como la tortura, el tabaco, los desplazamientos masivos o la explotación comercial de quienes tienen menos poder por parte de quienes tienen más. El mensaje real, desde la facultad de derecho y a lo largo de toda la carrera jurídica, es que el trabajo por la justicia, si se realiza, se hace en los márgenes o después de haber terminado el trabajo jurídico “real”.</w:t>
      </w:r>
    </w:p>
    <w:p w14:paraId="2811CA72" w14:textId="7DD33535" w:rsidR="002353AF" w:rsidRPr="009257E7" w:rsidRDefault="002353AF" w:rsidP="00E4357A">
      <w:pPr>
        <w:pStyle w:val="NormalWeb"/>
        <w:ind w:firstLine="720"/>
      </w:pPr>
      <w:r w:rsidRPr="009257E7">
        <w:t>¡Pero no se desespere! El hecho de que la abogacía por la justicia social sea contracultural no significa que no exista</w:t>
      </w:r>
      <w:r w:rsidR="00E4357A" w:rsidRPr="009257E7">
        <w:t>…</w:t>
      </w:r>
    </w:p>
    <w:p w14:paraId="4D9042DE" w14:textId="52C8B4FD" w:rsidR="002353AF" w:rsidRPr="009257E7" w:rsidRDefault="00E4357A" w:rsidP="00E4357A">
      <w:pPr>
        <w:rPr>
          <w:rFonts w:ascii="Times New Roman" w:hAnsi="Times New Roman" w:cs="Times New Roman"/>
          <w:b/>
          <w:bCs/>
        </w:rPr>
      </w:pPr>
      <w:r w:rsidRPr="009257E7">
        <w:rPr>
          <w:rFonts w:ascii="Times New Roman" w:hAnsi="Times New Roman" w:cs="Times New Roman"/>
          <w:b/>
          <w:bCs/>
        </w:rPr>
        <w:t>Esté dispuesto a sentirse incómodo</w:t>
      </w:r>
    </w:p>
    <w:p w14:paraId="3262151E" w14:textId="770E2585" w:rsidR="002353AF" w:rsidRPr="009257E7" w:rsidRDefault="002353AF" w:rsidP="00E4357A">
      <w:pPr>
        <w:pStyle w:val="NormalWeb"/>
        <w:ind w:firstLine="720"/>
      </w:pPr>
      <w:r w:rsidRPr="009257E7">
        <w:t>. . . Creo que este es el primer paso de cualquier experiencia educativa o transformadora auténtica: estar dispuesto a ir más allá de su zona de co</w:t>
      </w:r>
      <w:r w:rsidR="00E4357A" w:rsidRPr="009257E7">
        <w:t>nfort</w:t>
      </w:r>
      <w:r w:rsidRPr="009257E7">
        <w:t xml:space="preserve"> y arriesgarse a sentirse incómodo</w:t>
      </w:r>
      <w:r w:rsidR="00E4357A" w:rsidRPr="009257E7">
        <w:t>…</w:t>
      </w:r>
    </w:p>
    <w:p w14:paraId="77D0EAE6" w14:textId="77777777" w:rsidR="002353AF" w:rsidRPr="009257E7" w:rsidRDefault="002353AF" w:rsidP="00E4357A">
      <w:pPr>
        <w:pStyle w:val="NormalWeb"/>
        <w:ind w:firstLine="720"/>
      </w:pPr>
      <w:r w:rsidRPr="009257E7">
        <w:t>Cuestionar la equidad y la justicia de nuestras leyes y políticas resulta incómodo para muchas personas porque hace que otras también se sientan incómodas.</w:t>
      </w:r>
    </w:p>
    <w:p w14:paraId="24D072F1" w14:textId="6E42CB83" w:rsidR="002353AF" w:rsidRPr="009257E7" w:rsidRDefault="002353AF" w:rsidP="00E4357A">
      <w:pPr>
        <w:pStyle w:val="NormalWeb"/>
        <w:ind w:firstLine="720"/>
      </w:pPr>
      <w:r w:rsidRPr="009257E7">
        <w:t xml:space="preserve">Muchas personas están perfectamente satisfechas con </w:t>
      </w:r>
      <w:r w:rsidR="00E4357A" w:rsidRPr="009257E7">
        <w:t>cómo</w:t>
      </w:r>
      <w:r w:rsidRPr="009257E7">
        <w:t xml:space="preserve"> están las cosas actualmente</w:t>
      </w:r>
      <w:r w:rsidR="00E4357A" w:rsidRPr="009257E7">
        <w:t>…</w:t>
      </w:r>
      <w:r w:rsidRPr="009257E7">
        <w:t xml:space="preserve"> Para ellas, cuestionar la mejor de todas las naciones posibles y sus leyes resulta innecesario, antipatriótico e incluso contrario a lo que consideran estadounidense</w:t>
      </w:r>
      <w:r w:rsidR="00E4357A" w:rsidRPr="009257E7">
        <w:t>…</w:t>
      </w:r>
    </w:p>
    <w:p w14:paraId="6BD644EA" w14:textId="778849F8" w:rsidR="002353AF" w:rsidRPr="009257E7" w:rsidRDefault="002353AF" w:rsidP="00E4357A">
      <w:pPr>
        <w:pStyle w:val="NormalWeb"/>
        <w:ind w:firstLine="720"/>
      </w:pPr>
      <w:r w:rsidRPr="009257E7">
        <w:t>Por tanto, si a usted le interesa dedicar su vida a la justicia social, prepárese para sentirse incómodo; prepárese para ir más allá de su zona de co</w:t>
      </w:r>
      <w:r w:rsidR="00E4357A" w:rsidRPr="009257E7">
        <w:t>nfort</w:t>
      </w:r>
      <w:r w:rsidRPr="009257E7">
        <w:t>; prepárese para ser malinterpretado y criticado</w:t>
      </w:r>
      <w:r w:rsidR="00E4357A" w:rsidRPr="009257E7">
        <w:t>…</w:t>
      </w:r>
    </w:p>
    <w:p w14:paraId="161EBC26" w14:textId="5C3A7660" w:rsidR="002353AF" w:rsidRPr="009257E7" w:rsidRDefault="00E4357A" w:rsidP="00E4357A">
      <w:pPr>
        <w:rPr>
          <w:rFonts w:ascii="Times New Roman" w:hAnsi="Times New Roman" w:cs="Times New Roman"/>
          <w:b/>
          <w:bCs/>
        </w:rPr>
      </w:pPr>
      <w:r w:rsidRPr="009257E7">
        <w:rPr>
          <w:rFonts w:ascii="Times New Roman" w:hAnsi="Times New Roman" w:cs="Times New Roman"/>
          <w:b/>
          <w:bCs/>
        </w:rPr>
        <w:lastRenderedPageBreak/>
        <w:t>Nunca confunda el derecho con la justicia</w:t>
      </w:r>
    </w:p>
    <w:p w14:paraId="3424A9F0" w14:textId="1FFBE1FC" w:rsidR="002353AF" w:rsidRPr="009257E7" w:rsidRDefault="002353AF" w:rsidP="00E4357A">
      <w:pPr>
        <w:pStyle w:val="NormalWeb"/>
        <w:ind w:firstLine="720"/>
      </w:pPr>
      <w:r w:rsidRPr="009257E7">
        <w:t>Nunca debemos confundir el derecho con la justicia. Lo que es legal con frecuencia no es justo. Y lo que es justo</w:t>
      </w:r>
      <w:r w:rsidR="00E4357A" w:rsidRPr="009257E7">
        <w:t>,</w:t>
      </w:r>
      <w:r w:rsidRPr="009257E7">
        <w:t xml:space="preserve"> con frecuencia</w:t>
      </w:r>
      <w:r w:rsidR="00E4357A" w:rsidRPr="009257E7">
        <w:t>,</w:t>
      </w:r>
      <w:r w:rsidRPr="009257E7">
        <w:t xml:space="preserve"> no es legal en absoluto.</w:t>
      </w:r>
    </w:p>
    <w:p w14:paraId="7D983580" w14:textId="78820461" w:rsidR="002353AF" w:rsidRPr="009257E7" w:rsidRDefault="002353AF" w:rsidP="00E4357A">
      <w:pPr>
        <w:pStyle w:val="NormalWeb"/>
        <w:ind w:firstLine="720"/>
      </w:pPr>
      <w:r w:rsidRPr="009257E7">
        <w:t xml:space="preserve">Considere lo que era perfectamente legal hace 100 años: niñes de apenas seis años trabajaban </w:t>
      </w:r>
      <w:r w:rsidR="00E4357A" w:rsidRPr="009257E7">
        <w:t>en</w:t>
      </w:r>
      <w:r w:rsidRPr="009257E7">
        <w:t xml:space="preserve"> industrias peligrosas. Los patrones podían pagar a les trabajadores lo que quisieran. Si usted sufría una lesión en el trabajo, no recibía compensación; se iba a casa y ni siquiera tenía garantizado regresar cuando se recuperara. Las mujeres y las personas afroamericanas no podían votar. Cualquier empresa podía discriminar a cualquier persona por </w:t>
      </w:r>
      <w:r w:rsidR="00E4357A" w:rsidRPr="009257E7">
        <w:t>motivos</w:t>
      </w:r>
      <w:r w:rsidRPr="009257E7">
        <w:t xml:space="preserve"> de género, raza, edad, discapacidad </w:t>
      </w:r>
      <w:r w:rsidR="00E4357A" w:rsidRPr="009257E7">
        <w:t>u</w:t>
      </w:r>
      <w:r w:rsidRPr="009257E7">
        <w:t xml:space="preserve"> otro</w:t>
      </w:r>
      <w:r w:rsidR="00E4357A" w:rsidRPr="009257E7">
        <w:t>s</w:t>
      </w:r>
      <w:r w:rsidRPr="009257E7">
        <w:t xml:space="preserve"> motivo</w:t>
      </w:r>
      <w:r w:rsidR="00E4357A" w:rsidRPr="009257E7">
        <w:t>s</w:t>
      </w:r>
      <w:r w:rsidRPr="009257E7">
        <w:t xml:space="preserve">. Los industriales acumulaban riqueza utilizando a la policía y a mercenarios privados para desmantelar sindicatos, golpear y matar a huelguistas y desalojar </w:t>
      </w:r>
      <w:r w:rsidR="00E4357A" w:rsidRPr="009257E7">
        <w:t xml:space="preserve">a </w:t>
      </w:r>
      <w:r w:rsidRPr="009257E7">
        <w:t>familias de sus hogares.</w:t>
      </w:r>
    </w:p>
    <w:p w14:paraId="53495D1F" w14:textId="77777777" w:rsidR="002353AF" w:rsidRPr="009257E7" w:rsidRDefault="002353AF" w:rsidP="00E4357A">
      <w:pPr>
        <w:pStyle w:val="NormalWeb"/>
        <w:ind w:firstLine="720"/>
      </w:pPr>
      <w:r w:rsidRPr="009257E7">
        <w:t>Hace cien años, abogades, jueces y legisladores actuaban de manera muy profesional al hacer cumplir leyes que hoy sabemos que eran profundamente injustas.</w:t>
      </w:r>
    </w:p>
    <w:p w14:paraId="40863E36" w14:textId="1E672D4A" w:rsidR="002353AF" w:rsidRPr="009257E7" w:rsidRDefault="002353AF" w:rsidP="00E4357A">
      <w:pPr>
        <w:pStyle w:val="NormalWeb"/>
        <w:ind w:firstLine="720"/>
      </w:pPr>
      <w:r w:rsidRPr="009257E7">
        <w:t xml:space="preserve">¿Cuál es la diferencia entre hace 100 años y ahora? La historia todavía no ha determinado con claridad cuáles de nuestras leyes </w:t>
      </w:r>
      <w:r w:rsidR="00E4357A" w:rsidRPr="009257E7">
        <w:t>vigent</w:t>
      </w:r>
      <w:r w:rsidRPr="009257E7">
        <w:t>es son profundamente injustas.</w:t>
      </w:r>
    </w:p>
    <w:p w14:paraId="790D702F" w14:textId="00B29339" w:rsidR="002353AF" w:rsidRPr="009257E7" w:rsidRDefault="002353AF" w:rsidP="00E4357A">
      <w:pPr>
        <w:pStyle w:val="NormalWeb"/>
        <w:ind w:firstLine="720"/>
      </w:pPr>
      <w:r w:rsidRPr="009257E7">
        <w:t xml:space="preserve">La justicia social le exige mantener los ojos y el corazón completamente abiertos para </w:t>
      </w:r>
      <w:r w:rsidR="00E4357A" w:rsidRPr="009257E7">
        <w:t>distinguir</w:t>
      </w:r>
      <w:r w:rsidRPr="009257E7">
        <w:t xml:space="preserve"> entre derecho y justicia. Por ejemplo, considere la distribución injusta de la riqueza económica y del poder social y político. En gran medida cuenta con respaldo jurídico, pero constituye, en realidad, una de las desigualdades más graves e injustas de nuestro país y de nuestro mundo. Usted debe examinar las causas profundas y analizar el sistema jurídico que s</w:t>
      </w:r>
      <w:r w:rsidR="00E4357A" w:rsidRPr="009257E7">
        <w:t>ustenta</w:t>
      </w:r>
      <w:r w:rsidRPr="009257E7">
        <w:t xml:space="preserve"> estas injusticias.</w:t>
      </w:r>
    </w:p>
    <w:p w14:paraId="1395C1B9" w14:textId="26B66507" w:rsidR="002353AF" w:rsidRPr="009257E7" w:rsidRDefault="00E4357A" w:rsidP="00E4357A">
      <w:pPr>
        <w:rPr>
          <w:rFonts w:ascii="Times New Roman" w:hAnsi="Times New Roman" w:cs="Times New Roman"/>
          <w:b/>
          <w:bCs/>
        </w:rPr>
      </w:pPr>
      <w:r w:rsidRPr="009257E7">
        <w:rPr>
          <w:rFonts w:ascii="Times New Roman" w:hAnsi="Times New Roman" w:cs="Times New Roman"/>
          <w:b/>
          <w:bCs/>
        </w:rPr>
        <w:t>Critique el derecho</w:t>
      </w:r>
    </w:p>
    <w:p w14:paraId="7335996A" w14:textId="381AC33D" w:rsidR="002353AF" w:rsidRPr="009257E7" w:rsidRDefault="002353AF" w:rsidP="00E4357A">
      <w:pPr>
        <w:pStyle w:val="NormalWeb"/>
        <w:ind w:firstLine="720"/>
      </w:pPr>
      <w:r w:rsidRPr="009257E7">
        <w:t>La crítica del derecho vigente constituye un paso esencial para avanzar hacia la justicia. No tenga miedo de criticar seriamente un conjunto de leyes o instituciones injustas o inadecuadas</w:t>
      </w:r>
      <w:r w:rsidR="00E4357A" w:rsidRPr="009257E7">
        <w:t>…</w:t>
      </w:r>
    </w:p>
    <w:p w14:paraId="6A4B7516" w14:textId="3DAAA388" w:rsidR="002353AF" w:rsidRPr="009257E7" w:rsidRDefault="002353AF" w:rsidP="00E4357A">
      <w:pPr>
        <w:pStyle w:val="NormalWeb"/>
        <w:ind w:firstLine="720"/>
      </w:pPr>
      <w:r w:rsidRPr="009257E7">
        <w:t>Sin embargo, la crítica por sí sola resulta insuficiente para les abogades de justicia social. Mientras participa en la crítica, usted también debe buscar visiones nuevas y estimulantes de cómo debería y podría avanzar el derecho</w:t>
      </w:r>
      <w:r w:rsidR="00E4357A" w:rsidRPr="009257E7">
        <w:t>…</w:t>
      </w:r>
      <w:r w:rsidRPr="009257E7">
        <w:t xml:space="preserve"> </w:t>
      </w:r>
    </w:p>
    <w:p w14:paraId="6BD7B750" w14:textId="4C0774F1" w:rsidR="002353AF" w:rsidRPr="009257E7" w:rsidRDefault="002353AF" w:rsidP="00E4357A">
      <w:pPr>
        <w:pStyle w:val="NormalWeb"/>
        <w:ind w:firstLine="720"/>
      </w:pPr>
      <w:r w:rsidRPr="009257E7">
        <w:t>Todas las leyes son elaboradas por quienes tienen poder</w:t>
      </w:r>
      <w:r w:rsidR="00E4357A" w:rsidRPr="009257E7">
        <w:t>…</w:t>
      </w:r>
      <w:r w:rsidRPr="009257E7">
        <w:t xml:space="preserve"> En términos generales, nuestras leyes reflejan lo que quienes tienen poder consideran que debe aplicarse a quienes carecen de él. Como estudiante de derecho, a usted le han enseñado a analizar problemas </w:t>
      </w:r>
      <w:r w:rsidR="00E4357A" w:rsidRPr="009257E7">
        <w:t>e</w:t>
      </w:r>
      <w:r w:rsidRPr="009257E7">
        <w:t xml:space="preserve"> investigar.</w:t>
      </w:r>
    </w:p>
    <w:p w14:paraId="4DA06E99" w14:textId="77777777" w:rsidR="002353AF" w:rsidRPr="009257E7" w:rsidRDefault="002353AF" w:rsidP="00E4357A">
      <w:pPr>
        <w:pStyle w:val="NormalWeb"/>
        <w:ind w:firstLine="720"/>
      </w:pPr>
      <w:r w:rsidRPr="009257E7">
        <w:t>La justicia social exige que usted examine primero estas leyes y sus efectos no solo desde la perspectiva de sus antecedentes legislativos, sino también desde la perspectiva de las personas mayores, les trabajadores pobres, le niñe con una discapacidad de aprendizaje y la madre soltera que cría a sus hijes, quienes con frecuencia son objeto de esas leyes.</w:t>
      </w:r>
    </w:p>
    <w:p w14:paraId="1EBFCB0F" w14:textId="629B6D47" w:rsidR="002353AF" w:rsidRPr="009257E7" w:rsidRDefault="002353AF" w:rsidP="00E4357A">
      <w:pPr>
        <w:pStyle w:val="NormalWeb"/>
        <w:ind w:firstLine="720"/>
      </w:pPr>
      <w:r w:rsidRPr="009257E7">
        <w:lastRenderedPageBreak/>
        <w:t xml:space="preserve">Entonces, ¿cómo puede usted saber qué piensan las personas mayores, les trabajadores pobres o las madres solteras acerca de estas leyes? Eso no aparece en el texto de la ley, ni en los antecedentes legislativos, ni en una decisión de apelación. Ese es precisamente el punto. Si a usted le interesa la justicia social auténtica, debe buscar las voces de las personas cuyas voces no se escuchan </w:t>
      </w:r>
      <w:r w:rsidR="00E4357A" w:rsidRPr="009257E7">
        <w:t>ni</w:t>
      </w:r>
      <w:r w:rsidRPr="009257E7">
        <w:t xml:space="preserve"> </w:t>
      </w:r>
      <w:r w:rsidR="00E4357A" w:rsidRPr="009257E7">
        <w:t>en</w:t>
      </w:r>
      <w:r w:rsidRPr="009257E7">
        <w:t xml:space="preserve"> los pasillos del Congreso ni </w:t>
      </w:r>
      <w:r w:rsidR="00E4357A" w:rsidRPr="009257E7">
        <w:t>en</w:t>
      </w:r>
      <w:r w:rsidRPr="009257E7">
        <w:t xml:space="preserve"> las salas de los tribunales revestidas de mármol.</w:t>
      </w:r>
    </w:p>
    <w:p w14:paraId="3EDDD25F" w14:textId="77461AE2" w:rsidR="002353AF" w:rsidRPr="009257E7" w:rsidRDefault="002353AF" w:rsidP="00E4357A">
      <w:pPr>
        <w:pStyle w:val="NormalWeb"/>
        <w:ind w:firstLine="720"/>
      </w:pPr>
      <w:r w:rsidRPr="009257E7">
        <w:t xml:space="preserve">Mantenga </w:t>
      </w:r>
      <w:r w:rsidR="00E4357A" w:rsidRPr="009257E7">
        <w:t>la</w:t>
      </w:r>
      <w:r w:rsidRPr="009257E7">
        <w:t xml:space="preserve"> atención en quienes </w:t>
      </w:r>
      <w:r w:rsidR="00E4357A" w:rsidRPr="009257E7">
        <w:t>sufren</w:t>
      </w:r>
      <w:r w:rsidRPr="009257E7">
        <w:t xml:space="preserve"> y pregúntese por qué. Escuche las voces de las personas que rara vez son escuchadas y comprenderá exactamente dónde prospera la injusticia.</w:t>
      </w:r>
    </w:p>
    <w:p w14:paraId="5EDC4AC5" w14:textId="3B83FBD0" w:rsidR="002353AF" w:rsidRPr="009257E7" w:rsidRDefault="002353AF" w:rsidP="00E4357A">
      <w:pPr>
        <w:pStyle w:val="NormalWeb"/>
        <w:ind w:firstLine="720"/>
      </w:pPr>
      <w:r w:rsidRPr="009257E7">
        <w:t>En segundo lugar, examine [</w:t>
      </w:r>
      <w:r w:rsidR="00E4357A" w:rsidRPr="009257E7">
        <w:t>…</w:t>
      </w:r>
      <w:r w:rsidRPr="009257E7">
        <w:t>] [q]uién se beneficia de cada ley y cuáles son sus intereses</w:t>
      </w:r>
      <w:r w:rsidR="00E4357A" w:rsidRPr="009257E7">
        <w:t>…</w:t>
      </w:r>
      <w:r w:rsidRPr="009257E7">
        <w:t xml:space="preserve"> “Siga el dinero”, dicen </w:t>
      </w:r>
      <w:r w:rsidR="00E4357A" w:rsidRPr="009257E7">
        <w:t>en</w:t>
      </w:r>
      <w:r w:rsidRPr="009257E7">
        <w:t xml:space="preserve"> el trabajo policial. Ese también es un consejo útil al examinar </w:t>
      </w:r>
      <w:r w:rsidR="00E4357A" w:rsidRPr="009257E7">
        <w:t xml:space="preserve">la </w:t>
      </w:r>
      <w:r w:rsidRPr="009257E7">
        <w:t>legislación</w:t>
      </w:r>
      <w:r w:rsidR="00E4357A" w:rsidRPr="009257E7">
        <w:t>…</w:t>
      </w:r>
    </w:p>
    <w:p w14:paraId="442D539D" w14:textId="72992728" w:rsidR="002353AF" w:rsidRPr="009257E7" w:rsidRDefault="002353AF" w:rsidP="00E4357A">
      <w:pPr>
        <w:pStyle w:val="NormalWeb"/>
        <w:ind w:firstLine="720"/>
      </w:pPr>
      <w:r w:rsidRPr="009257E7">
        <w:t>En tercer lugar, examine cuidadosamente la historia real de estas leyes. Esfuércese por aprender cómo surgieron. Conocer esta historia le ayudará a comprender cómo se producen los cambios</w:t>
      </w:r>
      <w:r w:rsidR="00E4357A" w:rsidRPr="009257E7">
        <w:t>…</w:t>
      </w:r>
    </w:p>
    <w:p w14:paraId="19ED8508" w14:textId="6230F2A4" w:rsidR="002353AF" w:rsidRPr="009257E7" w:rsidRDefault="002353AF" w:rsidP="00E4357A">
      <w:pPr>
        <w:pStyle w:val="NormalWeb"/>
        <w:ind w:firstLine="720"/>
      </w:pPr>
      <w:r w:rsidRPr="009257E7">
        <w:t xml:space="preserve">[E]xamine las implicaciones no expresadas de raza, clase y género </w:t>
      </w:r>
      <w:r w:rsidR="00E4357A" w:rsidRPr="009257E7">
        <w:t>en</w:t>
      </w:r>
      <w:r w:rsidRPr="009257E7">
        <w:t xml:space="preserve"> cada disposición del derecho. Examine también con atención </w:t>
      </w:r>
      <w:r w:rsidR="00E4357A" w:rsidRPr="009257E7">
        <w:t>cómo</w:t>
      </w:r>
      <w:r w:rsidRPr="009257E7">
        <w:t xml:space="preserve"> las leyes se interconectan para formar estructuras que limitan a determinados</w:t>
      </w:r>
      <w:r w:rsidR="00E4357A" w:rsidRPr="009257E7">
        <w:t xml:space="preserve"> grupos</w:t>
      </w:r>
      <w:r w:rsidRPr="009257E7">
        <w:t xml:space="preserve"> de personas. Las cuestiones relacionadas con </w:t>
      </w:r>
      <w:r w:rsidR="00E4357A" w:rsidRPr="009257E7">
        <w:t xml:space="preserve">la </w:t>
      </w:r>
      <w:r w:rsidRPr="009257E7">
        <w:t xml:space="preserve">raza, </w:t>
      </w:r>
      <w:r w:rsidR="00E4357A" w:rsidRPr="009257E7">
        <w:t xml:space="preserve">el </w:t>
      </w:r>
      <w:r w:rsidRPr="009257E7">
        <w:t>género y</w:t>
      </w:r>
      <w:r w:rsidR="00E4357A" w:rsidRPr="009257E7">
        <w:t xml:space="preserve"> la</w:t>
      </w:r>
      <w:r w:rsidRPr="009257E7">
        <w:t xml:space="preserve"> justicia económica están presentes en cada disposición de </w:t>
      </w:r>
      <w:r w:rsidR="00E4357A" w:rsidRPr="009257E7">
        <w:t xml:space="preserve">la </w:t>
      </w:r>
      <w:r w:rsidRPr="009257E7">
        <w:t>legislación social. Por lo general no se expresan de manera explícita, pero están ahí</w:t>
      </w:r>
      <w:r w:rsidR="00E4357A" w:rsidRPr="009257E7">
        <w:t>…</w:t>
      </w:r>
    </w:p>
    <w:p w14:paraId="481532F6" w14:textId="496265E8" w:rsidR="002353AF" w:rsidRPr="009257E7" w:rsidRDefault="002353AF" w:rsidP="00E4357A">
      <w:pPr>
        <w:pStyle w:val="NormalWeb"/>
        <w:ind w:firstLine="720"/>
      </w:pPr>
      <w:r w:rsidRPr="009257E7">
        <w:t xml:space="preserve">La crítica del derecho constituye, en realidad, un proceso de reeducación: cuestionar los supuestos no expresados acerca del derecho. Este también es un proceso de toda </w:t>
      </w:r>
      <w:r w:rsidR="00E4357A" w:rsidRPr="009257E7">
        <w:t>l</w:t>
      </w:r>
      <w:r w:rsidRPr="009257E7">
        <w:t>a vida</w:t>
      </w:r>
      <w:r w:rsidR="00E4357A" w:rsidRPr="009257E7">
        <w:t>…</w:t>
      </w:r>
    </w:p>
    <w:p w14:paraId="7050E3E7" w14:textId="2B92BF33" w:rsidR="002353AF" w:rsidRPr="009257E7" w:rsidRDefault="00E4357A" w:rsidP="00E4357A">
      <w:pPr>
        <w:rPr>
          <w:rFonts w:ascii="Times New Roman" w:hAnsi="Times New Roman" w:cs="Times New Roman"/>
          <w:b/>
          <w:bCs/>
        </w:rPr>
      </w:pPr>
      <w:r w:rsidRPr="009257E7">
        <w:rPr>
          <w:rFonts w:ascii="Times New Roman" w:hAnsi="Times New Roman" w:cs="Times New Roman"/>
          <w:b/>
          <w:bCs/>
        </w:rPr>
        <w:t>Critique los mitos sobre les abogades y la justicia social</w:t>
      </w:r>
    </w:p>
    <w:p w14:paraId="6A43FB45" w14:textId="1B53AA46" w:rsidR="002353AF" w:rsidRPr="009257E7" w:rsidRDefault="002353AF" w:rsidP="00E4357A">
      <w:pPr>
        <w:pStyle w:val="NormalWeb"/>
        <w:ind w:firstLine="720"/>
      </w:pPr>
      <w:r w:rsidRPr="009257E7">
        <w:t>Existe un mito</w:t>
      </w:r>
      <w:r w:rsidR="00E4357A" w:rsidRPr="009257E7">
        <w:t>,</w:t>
      </w:r>
      <w:r w:rsidRPr="009257E7">
        <w:t xml:space="preserve"> promovido por les abogades, las facultades de derecho y la profesión jurídica</w:t>
      </w:r>
      <w:r w:rsidR="00E4357A" w:rsidRPr="009257E7">
        <w:t>,</w:t>
      </w:r>
      <w:r w:rsidRPr="009257E7">
        <w:t xml:space="preserve"> según el cual el derecho orientado hacia la justicia social y les abogades que lo ejercen se encuentran a la vanguardia del cambio social. Creo que la historia demuestra que, con mayor frecuencia, ocurre exactamente lo contrario: los cambios en el derecho siguen a </w:t>
      </w:r>
      <w:r w:rsidR="00E4357A" w:rsidRPr="009257E7">
        <w:t>los</w:t>
      </w:r>
      <w:r w:rsidRPr="009257E7">
        <w:t xml:space="preserve"> </w:t>
      </w:r>
      <w:r w:rsidR="00E4357A" w:rsidRPr="009257E7">
        <w:t>cambios sociales</w:t>
      </w:r>
      <w:r w:rsidRPr="009257E7">
        <w:t>, en lugar de encabezarlo</w:t>
      </w:r>
      <w:r w:rsidR="00E4357A" w:rsidRPr="009257E7">
        <w:t>s</w:t>
      </w:r>
      <w:r w:rsidRPr="009257E7">
        <w:t>.</w:t>
      </w:r>
    </w:p>
    <w:p w14:paraId="4D0B648D" w14:textId="75F3BD29" w:rsidR="002353AF" w:rsidRPr="009257E7" w:rsidRDefault="002353AF" w:rsidP="00E4357A">
      <w:pPr>
        <w:pStyle w:val="NormalWeb"/>
        <w:ind w:firstLine="720"/>
      </w:pPr>
      <w:r w:rsidRPr="009257E7">
        <w:t>Les abogades que dedican tiempo y creatividad a contribuir a avances en materia de justicia</w:t>
      </w:r>
      <w:r w:rsidR="00E4357A" w:rsidRPr="009257E7">
        <w:t>…</w:t>
      </w:r>
      <w:r w:rsidRPr="009257E7">
        <w:t xml:space="preserve"> [le] dirán que les abogades de justicia social nunca trabajan soles: siempre forman parte de un equipo compuesto, en su mayoría, por personas que no son profesionales del derecho.</w:t>
      </w:r>
    </w:p>
    <w:p w14:paraId="491D50EF" w14:textId="667C8106" w:rsidR="002353AF" w:rsidRPr="009257E7" w:rsidRDefault="002353AF" w:rsidP="00E4357A">
      <w:pPr>
        <w:pStyle w:val="NormalWeb"/>
        <w:ind w:firstLine="720"/>
      </w:pPr>
      <w:r w:rsidRPr="009257E7">
        <w:t xml:space="preserve">Considere, por ejemplo, los derechos civiles. No existe un mito jurídico y de justicia social mayor que </w:t>
      </w:r>
      <w:r w:rsidR="00E4357A" w:rsidRPr="009257E7">
        <w:t>el</w:t>
      </w:r>
      <w:r w:rsidRPr="009257E7">
        <w:t xml:space="preserve"> de que les abogad</w:t>
      </w:r>
      <w:r w:rsidR="00E4357A" w:rsidRPr="009257E7">
        <w:t>a</w:t>
      </w:r>
      <w:r w:rsidRPr="009257E7">
        <w:t>s, jueces y legisladores fueron los motores que transformaron nuestra sociedad y desmantelaron las injusticias de la segregación. Les abogades y legisladores dedicados a los derechos civiles fueron, sin duda, una parte muy importante de la lucha por los derechos civiles, pero constituyeron una parte pequeña de una lucha mucho más amplia</w:t>
      </w:r>
      <w:r w:rsidR="00E4357A" w:rsidRPr="009257E7">
        <w:t>…</w:t>
      </w:r>
    </w:p>
    <w:p w14:paraId="04B6C741" w14:textId="220311D5" w:rsidR="002353AF" w:rsidRPr="009257E7" w:rsidRDefault="002353AF" w:rsidP="00E4357A">
      <w:pPr>
        <w:pStyle w:val="NormalWeb"/>
        <w:ind w:firstLine="720"/>
      </w:pPr>
      <w:r w:rsidRPr="009257E7">
        <w:lastRenderedPageBreak/>
        <w:t xml:space="preserve">La formación dentro de la facultad de derecho, debido a su dependencia de decisiones de apelación y de </w:t>
      </w:r>
      <w:r w:rsidR="00E4357A" w:rsidRPr="009257E7">
        <w:t xml:space="preserve">los </w:t>
      </w:r>
      <w:r w:rsidRPr="009257E7">
        <w:t xml:space="preserve">antecedentes legislativos de las leyes, comprensiblemente enfatiza en exceso el papel del derecho y de les abogades </w:t>
      </w:r>
      <w:r w:rsidR="00E4357A" w:rsidRPr="009257E7">
        <w:t>en</w:t>
      </w:r>
      <w:r w:rsidRPr="009257E7">
        <w:t xml:space="preserve"> todos los desarrollos jurídicos</w:t>
      </w:r>
      <w:r w:rsidR="00E4357A" w:rsidRPr="009257E7">
        <w:t>…</w:t>
      </w:r>
    </w:p>
    <w:p w14:paraId="7306C7B3" w14:textId="415E112E" w:rsidR="002353AF" w:rsidRPr="009257E7" w:rsidRDefault="002353AF" w:rsidP="00E4357A">
      <w:pPr>
        <w:pStyle w:val="NormalWeb"/>
        <w:ind w:firstLine="720"/>
      </w:pPr>
      <w:r w:rsidRPr="009257E7">
        <w:t xml:space="preserve">De hecho, el derecho fue utilizado entonces —y con frecuencia se utiliza ahora— contra quienes buscan </w:t>
      </w:r>
      <w:r w:rsidR="00E4357A" w:rsidRPr="009257E7">
        <w:t xml:space="preserve">el </w:t>
      </w:r>
      <w:r w:rsidRPr="009257E7">
        <w:t xml:space="preserve">cambio social. Hubo muches más abogades, jueces y legisladores trabajando de manera seria y rentable para sostener las injusticias de la segregación que personas dentro de esas profesiones dispuestas a cuestionarlas. Lo mismo ocurrió con la esclavitud, el trabajo infantil, la represión sindical, el daño ambiental, las violaciones de </w:t>
      </w:r>
      <w:r w:rsidR="00E4357A" w:rsidRPr="009257E7">
        <w:t xml:space="preserve">los </w:t>
      </w:r>
      <w:r w:rsidRPr="009257E7">
        <w:t>derechos humanos y otras injusticias.</w:t>
      </w:r>
    </w:p>
    <w:p w14:paraId="66281BFB" w14:textId="0FEC63D5" w:rsidR="002353AF" w:rsidRPr="009257E7" w:rsidRDefault="002353AF" w:rsidP="00E4357A">
      <w:pPr>
        <w:pStyle w:val="NormalWeb"/>
        <w:ind w:firstLine="720"/>
      </w:pPr>
      <w:r w:rsidRPr="009257E7">
        <w:t xml:space="preserve">Los tribunales y las legislaturas constituyen apenas algunas de las herramientas utilizadas </w:t>
      </w:r>
      <w:r w:rsidR="00E4357A" w:rsidRPr="009257E7">
        <w:t>en</w:t>
      </w:r>
      <w:r w:rsidRPr="009257E7">
        <w:t xml:space="preserve"> la lucha por la justicia social. Organizar a las personas para que ejerzan </w:t>
      </w:r>
      <w:r w:rsidR="00E4357A" w:rsidRPr="009257E7">
        <w:t>la abogacía por sí mismas resulta fundamental, al igual que la divulgación, la acción y la educación públicas.</w:t>
      </w:r>
      <w:r w:rsidRPr="009257E7">
        <w:t xml:space="preserve"> Les abogades de justicia social no tienen que realizar estas acciones directamente, pero deben formar parte de un equipo integrado por personas que participan en la acción y en la abogacía.</w:t>
      </w:r>
    </w:p>
    <w:p w14:paraId="2BC65310" w14:textId="08A19897" w:rsidR="002353AF" w:rsidRPr="009257E7" w:rsidRDefault="00E4357A" w:rsidP="00E4357A">
      <w:pPr>
        <w:rPr>
          <w:rFonts w:ascii="Times New Roman" w:hAnsi="Times New Roman" w:cs="Times New Roman"/>
          <w:b/>
          <w:bCs/>
        </w:rPr>
      </w:pPr>
      <w:r w:rsidRPr="009257E7">
        <w:rPr>
          <w:rFonts w:ascii="Times New Roman" w:hAnsi="Times New Roman" w:cs="Times New Roman"/>
          <w:b/>
          <w:bCs/>
        </w:rPr>
        <w:t>Construya relaciones con personas y organizaciones que cuestionan la injusticia: solidaridad y comunidad</w:t>
      </w:r>
    </w:p>
    <w:p w14:paraId="726D4F59" w14:textId="7647B0F8" w:rsidR="002353AF" w:rsidRPr="009257E7" w:rsidRDefault="002353AF" w:rsidP="00E4357A">
      <w:pPr>
        <w:pStyle w:val="NormalWeb"/>
        <w:ind w:firstLine="720"/>
      </w:pPr>
      <w:r w:rsidRPr="009257E7">
        <w:t>“Si usted ha venido a ayudarme, está perdiendo el tiempo. Pero si ha venido porque su liberación está ligada a la mía, entonces</w:t>
      </w:r>
      <w:r w:rsidR="00E4357A" w:rsidRPr="009257E7">
        <w:t>,</w:t>
      </w:r>
      <w:r w:rsidRPr="009257E7">
        <w:t xml:space="preserve"> luchemos junt</w:t>
      </w:r>
      <w:r w:rsidR="00E4357A" w:rsidRPr="009257E7">
        <w:t>o</w:t>
      </w:r>
      <w:r w:rsidRPr="009257E7">
        <w:t>s”. [Lilla Watson, activista indígena australiana]</w:t>
      </w:r>
    </w:p>
    <w:p w14:paraId="6689EE8F" w14:textId="224A799C" w:rsidR="002353AF" w:rsidRPr="009257E7" w:rsidRDefault="002353AF" w:rsidP="00302D67">
      <w:pPr>
        <w:pStyle w:val="NormalWeb"/>
        <w:ind w:firstLine="720"/>
      </w:pPr>
      <w:r w:rsidRPr="009257E7">
        <w:t xml:space="preserve">La abogacía por la justicia social es un trabajo </w:t>
      </w:r>
      <w:r w:rsidR="00302D67" w:rsidRPr="009257E7">
        <w:t>en</w:t>
      </w:r>
      <w:r w:rsidRPr="009257E7">
        <w:t xml:space="preserve"> equipo. Nadie trabaja por la justicia social en solitario. No hay nada más emocionante que formar parte de un grupo que intenta hacer del mundo un lugar mejor. Usted comprende que participar en la búsqueda de la justicia y trabajar para cambiar el mundo es, en realidad, aquello de lo que debería tratarse la profesión jurídica. Y comprende que, al ayudar a cambiar el mundo, usted también se transforma.</w:t>
      </w:r>
    </w:p>
    <w:p w14:paraId="5491CD13" w14:textId="1057E69F" w:rsidR="002353AF" w:rsidRPr="009257E7" w:rsidRDefault="002353AF" w:rsidP="00302D67">
      <w:pPr>
        <w:pStyle w:val="NormalWeb"/>
        <w:ind w:firstLine="720"/>
      </w:pPr>
      <w:r w:rsidRPr="009257E7">
        <w:t xml:space="preserve">La solidaridad reconoce que esta vida dedicada a la abogacía se construye </w:t>
      </w:r>
      <w:r w:rsidR="00302D67" w:rsidRPr="009257E7">
        <w:t>a partir d</w:t>
      </w:r>
      <w:r w:rsidRPr="009257E7">
        <w:t xml:space="preserve">e relaciones. No relaciones entre </w:t>
      </w:r>
      <w:r w:rsidR="00302D67" w:rsidRPr="009257E7">
        <w:t>abogade y cliente, sino relaciones personales equilibradas construidas sobre el respeto, el apoyo y el intercambio mutuo.</w:t>
      </w:r>
      <w:r w:rsidRPr="009257E7">
        <w:t xml:space="preserve"> Las relaciones basadas en la solidaridad no son aquellas en las que una parte tiene las preguntas y la otra</w:t>
      </w:r>
      <w:r w:rsidR="001735BD" w:rsidRPr="009257E7">
        <w:t>,</w:t>
      </w:r>
      <w:r w:rsidRPr="009257E7">
        <w:t xml:space="preserve"> las respuestas. La solidaridad significa </w:t>
      </w:r>
      <w:r w:rsidR="00302D67" w:rsidRPr="009257E7">
        <w:t>que, juntes, buscamos un mundo más justo y, juntes,</w:t>
      </w:r>
      <w:r w:rsidRPr="009257E7">
        <w:t xml:space="preserve"> trabajamos por un mundo más justo.</w:t>
      </w:r>
    </w:p>
    <w:p w14:paraId="787525AB" w14:textId="449D189E" w:rsidR="002353AF" w:rsidRPr="009257E7" w:rsidRDefault="002353AF" w:rsidP="001735BD">
      <w:pPr>
        <w:pStyle w:val="NormalWeb"/>
        <w:ind w:firstLine="720"/>
      </w:pPr>
      <w:r w:rsidRPr="009257E7">
        <w:t>. . . Estas relaciones se construyen a la manera tradicional, una persona a la vez, una organización a la vez, con humildad</w:t>
      </w:r>
      <w:r w:rsidR="001735BD" w:rsidRPr="009257E7">
        <w:t>…</w:t>
      </w:r>
    </w:p>
    <w:p w14:paraId="4133142C" w14:textId="390B21C1" w:rsidR="002353AF" w:rsidRPr="009257E7" w:rsidRDefault="002353AF" w:rsidP="001735BD">
      <w:pPr>
        <w:pStyle w:val="NormalWeb"/>
        <w:ind w:firstLine="720"/>
      </w:pPr>
      <w:r w:rsidRPr="009257E7">
        <w:t>Por humildad, me refiero a comprender que cada persona en este mundo posee dignidad humana inherente y experiencias de vida extraordinarias que pueden ayudarme a aprender mucho más sobre el mundo y sobre mí mismo</w:t>
      </w:r>
      <w:r w:rsidR="001735BD" w:rsidRPr="009257E7">
        <w:t>…</w:t>
      </w:r>
    </w:p>
    <w:p w14:paraId="5F99A9FC" w14:textId="49B65ED8" w:rsidR="002353AF" w:rsidRPr="009257E7" w:rsidRDefault="001735BD" w:rsidP="001735BD">
      <w:pPr>
        <w:rPr>
          <w:rFonts w:ascii="Times New Roman" w:hAnsi="Times New Roman" w:cs="Times New Roman"/>
          <w:b/>
          <w:bCs/>
        </w:rPr>
      </w:pPr>
      <w:r w:rsidRPr="009257E7">
        <w:rPr>
          <w:rFonts w:ascii="Times New Roman" w:hAnsi="Times New Roman" w:cs="Times New Roman"/>
          <w:b/>
          <w:bCs/>
        </w:rPr>
        <w:t>Reflexione con regularidad</w:t>
      </w:r>
    </w:p>
    <w:p w14:paraId="251B05C2" w14:textId="6C8439B1" w:rsidR="002353AF" w:rsidRPr="009257E7" w:rsidRDefault="002353AF" w:rsidP="001735BD">
      <w:pPr>
        <w:pStyle w:val="NormalWeb"/>
        <w:ind w:firstLine="720"/>
      </w:pPr>
      <w:r w:rsidRPr="009257E7">
        <w:lastRenderedPageBreak/>
        <w:t xml:space="preserve">. . . La mayoría de las personas que conozco </w:t>
      </w:r>
      <w:r w:rsidR="001735BD" w:rsidRPr="009257E7">
        <w:t>y</w:t>
      </w:r>
      <w:r w:rsidRPr="009257E7">
        <w:t xml:space="preserve"> se han mantenido comprometidas con la abogacía por la justicia social a lo largo de los años son </w:t>
      </w:r>
      <w:r w:rsidR="001735BD" w:rsidRPr="009257E7">
        <w:t>quienes</w:t>
      </w:r>
      <w:r w:rsidRPr="009257E7">
        <w:t xml:space="preserve"> reservan tiempo con regularidad para reflexionar sobre lo que </w:t>
      </w:r>
      <w:r w:rsidR="001735BD" w:rsidRPr="009257E7">
        <w:t>hacen</w:t>
      </w:r>
      <w:r w:rsidRPr="009257E7">
        <w:t xml:space="preserve">, cómo lo </w:t>
      </w:r>
      <w:r w:rsidR="001735BD" w:rsidRPr="009257E7">
        <w:t>hacen</w:t>
      </w:r>
      <w:r w:rsidRPr="009257E7">
        <w:t xml:space="preserve"> y qué deberían hacer de manera diferente.</w:t>
      </w:r>
    </w:p>
    <w:p w14:paraId="18B8BBD2" w14:textId="5A3FE299" w:rsidR="002353AF" w:rsidRPr="009257E7" w:rsidRDefault="002353AF" w:rsidP="001735BD">
      <w:pPr>
        <w:pStyle w:val="NormalWeb"/>
        <w:ind w:firstLine="720"/>
      </w:pPr>
      <w:r w:rsidRPr="009257E7">
        <w:t>. . . L</w:t>
      </w:r>
      <w:r w:rsidR="001735BD" w:rsidRPr="009257E7">
        <w:t>e</w:t>
      </w:r>
      <w:r w:rsidRPr="009257E7">
        <w:t>s abogad</w:t>
      </w:r>
      <w:r w:rsidR="001735BD" w:rsidRPr="009257E7">
        <w:t>e</w:t>
      </w:r>
      <w:r w:rsidRPr="009257E7">
        <w:t xml:space="preserve">s que no reservan tiempo para la reflexión regular pueden llegar fácilmente a sentir enojo, agobio y amargura </w:t>
      </w:r>
      <w:r w:rsidR="001735BD" w:rsidRPr="009257E7">
        <w:t>ante</w:t>
      </w:r>
      <w:r w:rsidRPr="009257E7">
        <w:t xml:space="preserve"> las injusticias que les rodean y, con el tiempo, </w:t>
      </w:r>
      <w:r w:rsidR="001735BD" w:rsidRPr="009257E7">
        <w:t>ante</w:t>
      </w:r>
      <w:r w:rsidRPr="009257E7">
        <w:t xml:space="preserve"> cualquier persona que no comparta su perspectiva particular sobre la mejor manera de responder</w:t>
      </w:r>
      <w:r w:rsidR="001735BD" w:rsidRPr="009257E7">
        <w:t>…</w:t>
      </w:r>
    </w:p>
    <w:p w14:paraId="020A20B0" w14:textId="6BF62EE7" w:rsidR="002353AF" w:rsidRPr="009257E7" w:rsidRDefault="001735BD" w:rsidP="001735BD">
      <w:pPr>
        <w:rPr>
          <w:rFonts w:ascii="Times New Roman" w:hAnsi="Times New Roman" w:cs="Times New Roman"/>
          <w:b/>
          <w:bCs/>
        </w:rPr>
      </w:pPr>
      <w:r w:rsidRPr="009257E7">
        <w:rPr>
          <w:rFonts w:ascii="Times New Roman" w:hAnsi="Times New Roman" w:cs="Times New Roman"/>
          <w:b/>
          <w:bCs/>
        </w:rPr>
        <w:t>Practique la paciencia y la flexibilidad para prepararse para el caos, la crítica y el fracaso</w:t>
      </w:r>
    </w:p>
    <w:p w14:paraId="5994B8A8" w14:textId="605A5A4E" w:rsidR="002353AF" w:rsidRPr="009257E7" w:rsidRDefault="002353AF" w:rsidP="001735BD">
      <w:pPr>
        <w:pStyle w:val="NormalWeb"/>
        <w:ind w:firstLine="720"/>
      </w:pPr>
      <w:r w:rsidRPr="009257E7">
        <w:t xml:space="preserve">. . . Si usted cuestiona el </w:t>
      </w:r>
      <w:r w:rsidRPr="009257E7">
        <w:rPr>
          <w:rStyle w:val="Emphasis"/>
        </w:rPr>
        <w:t>statu quo</w:t>
      </w:r>
      <w:r w:rsidRPr="009257E7">
        <w:t>, debe esperar críticas de las personas y organizaciones que se benefician de las injusticias que procura revertir</w:t>
      </w:r>
      <w:r w:rsidR="001735BD" w:rsidRPr="009257E7">
        <w:t>…</w:t>
      </w:r>
    </w:p>
    <w:p w14:paraId="397CF221" w14:textId="7B7E52EE" w:rsidR="002353AF" w:rsidRPr="009257E7" w:rsidRDefault="002353AF" w:rsidP="001735BD">
      <w:pPr>
        <w:pStyle w:val="NormalWeb"/>
        <w:ind w:firstLine="720"/>
      </w:pPr>
      <w:r w:rsidRPr="009257E7">
        <w:t xml:space="preserve">[E]l fracaso también constituye una parte inevitable de la abogacía por la justicia social. El fracaso en sí mismo no puede descarrilar la abogacía; el verdadero desafío consiste en </w:t>
      </w:r>
      <w:r w:rsidR="001735BD" w:rsidRPr="009257E7">
        <w:t>responder</w:t>
      </w:r>
      <w:r w:rsidRPr="009257E7">
        <w:t xml:space="preserve"> al fracaso</w:t>
      </w:r>
      <w:r w:rsidR="001735BD" w:rsidRPr="009257E7">
        <w:t>…</w:t>
      </w:r>
      <w:r w:rsidRPr="009257E7">
        <w:t xml:space="preserve"> Las personas que dedican su vida a la justicia social</w:t>
      </w:r>
      <w:r w:rsidR="001735BD" w:rsidRPr="009257E7">
        <w:t>…</w:t>
      </w:r>
      <w:r w:rsidRPr="009257E7">
        <w:t xml:space="preserve"> vuelven a levantarse y, con paciencia, comienzan de nuevo, tratando de determinar cómo </w:t>
      </w:r>
      <w:r w:rsidR="001735BD" w:rsidRPr="009257E7">
        <w:t>hacerlo</w:t>
      </w:r>
      <w:r w:rsidRPr="009257E7">
        <w:t xml:space="preserve"> de manera más efectiva.</w:t>
      </w:r>
    </w:p>
    <w:p w14:paraId="0961B874" w14:textId="1D1020C4" w:rsidR="002353AF" w:rsidRPr="009257E7" w:rsidRDefault="001735BD" w:rsidP="001735BD">
      <w:pPr>
        <w:rPr>
          <w:rFonts w:ascii="Times New Roman" w:hAnsi="Times New Roman" w:cs="Times New Roman"/>
          <w:b/>
          <w:bCs/>
        </w:rPr>
      </w:pPr>
      <w:r w:rsidRPr="009257E7">
        <w:rPr>
          <w:rFonts w:ascii="Times New Roman" w:hAnsi="Times New Roman" w:cs="Times New Roman"/>
          <w:b/>
          <w:bCs/>
        </w:rPr>
        <w:t>Alegría, esperanza, inspiración y amor</w:t>
      </w:r>
    </w:p>
    <w:p w14:paraId="04EDF32A" w14:textId="006B7118" w:rsidR="002353AF" w:rsidRPr="009257E7" w:rsidRDefault="002353AF" w:rsidP="001735BD">
      <w:pPr>
        <w:pStyle w:val="NormalWeb"/>
        <w:ind w:firstLine="720"/>
      </w:pPr>
      <w:r w:rsidRPr="009257E7">
        <w:t xml:space="preserve">Para vivir una vida dedicada a la abogacía por la justicia social, es importante mantener los ojos y el corazón completamente abiertos </w:t>
      </w:r>
      <w:r w:rsidR="001735BD" w:rsidRPr="009257E7">
        <w:t>ante</w:t>
      </w:r>
      <w:r w:rsidRPr="009257E7">
        <w:t xml:space="preserve"> las injusticias del mundo. Sin embargo, resulta igualmente importante que sus ojos y su corazón permanezcan abiertos para buscar y absorber la alegría, la esperanza, la inspiración y el amor que encontrará entre quienes resisten la injusticia</w:t>
      </w:r>
      <w:r w:rsidR="001735BD" w:rsidRPr="009257E7">
        <w:t>…</w:t>
      </w:r>
    </w:p>
    <w:p w14:paraId="37964E80" w14:textId="5249F6BD" w:rsidR="002353AF" w:rsidRPr="009257E7" w:rsidRDefault="002353AF" w:rsidP="001735BD">
      <w:pPr>
        <w:pStyle w:val="NormalWeb"/>
        <w:ind w:firstLine="720"/>
      </w:pPr>
      <w:r w:rsidRPr="009257E7">
        <w:t xml:space="preserve">La esperanza también es fundamental para este trabajo. Quienes desean mantener el </w:t>
      </w:r>
      <w:r w:rsidRPr="009257E7">
        <w:rPr>
          <w:rStyle w:val="Emphasis"/>
        </w:rPr>
        <w:t>statu quo</w:t>
      </w:r>
      <w:r w:rsidRPr="009257E7">
        <w:t xml:space="preserve"> injusto dedican mucho tiempo a intentar convencer al resto de que el cambio es imposible. Dicen que cuestionar la injusticia no tiene esperanza. Debido a que quienes comercian con el </w:t>
      </w:r>
      <w:r w:rsidRPr="009257E7">
        <w:rPr>
          <w:rStyle w:val="Emphasis"/>
        </w:rPr>
        <w:t>statu quo</w:t>
      </w:r>
      <w:r w:rsidRPr="009257E7">
        <w:t xml:space="preserve"> nos venden constantemente desesperanza y distracciones, debemos buscar activamente la esperanza</w:t>
      </w:r>
      <w:r w:rsidR="001735BD" w:rsidRPr="009257E7">
        <w:t>…</w:t>
      </w:r>
      <w:r w:rsidRPr="009257E7">
        <w:t xml:space="preserve"> Cuando la esperanza está viva, el cambio es posible.</w:t>
      </w:r>
    </w:p>
    <w:p w14:paraId="1C4E5FD7" w14:textId="439A085A" w:rsidR="002353AF" w:rsidRPr="009257E7" w:rsidRDefault="002353AF" w:rsidP="001735BD">
      <w:pPr>
        <w:pStyle w:val="NormalWeb"/>
        <w:ind w:firstLine="720"/>
      </w:pPr>
      <w:r w:rsidRPr="009257E7">
        <w:t xml:space="preserve">. . . Cuídese a </w:t>
      </w:r>
      <w:r w:rsidR="001735BD" w:rsidRPr="009257E7">
        <w:t>sí</w:t>
      </w:r>
      <w:r w:rsidRPr="009257E7">
        <w:t xml:space="preserve"> mismo tanto como cuida a otras personas</w:t>
      </w:r>
      <w:r w:rsidR="001735BD" w:rsidRPr="009257E7">
        <w:t>…</w:t>
      </w:r>
      <w:r w:rsidRPr="009257E7">
        <w:t xml:space="preserve"> </w:t>
      </w:r>
      <w:r w:rsidR="001735BD" w:rsidRPr="009257E7">
        <w:t>Ámense y sean justos consigo mismos y hagan lo mismo con los</w:t>
      </w:r>
      <w:r w:rsidRPr="009257E7">
        <w:t xml:space="preserve"> demás. A medida que se convierta en un</w:t>
      </w:r>
      <w:r w:rsidR="001735BD" w:rsidRPr="009257E7">
        <w:t>e</w:t>
      </w:r>
      <w:r w:rsidRPr="009257E7">
        <w:t xml:space="preserve"> abogade de justicia social, experimentará alegría, inspiración y amor en abundancia</w:t>
      </w:r>
      <w:r w:rsidR="001735BD" w:rsidRPr="009257E7">
        <w:t>…</w:t>
      </w:r>
    </w:p>
    <w:p w14:paraId="05BF7EB2" w14:textId="77777777" w:rsidR="002353AF" w:rsidRPr="009257E7" w:rsidRDefault="002353AF" w:rsidP="002353AF">
      <w:pPr>
        <w:pStyle w:val="NormalWeb"/>
      </w:pPr>
      <w:r w:rsidRPr="009257E7">
        <w:t>Paz,</w:t>
      </w:r>
      <w:r w:rsidRPr="009257E7">
        <w:br/>
        <w:t>Bill Quigley</w:t>
      </w:r>
    </w:p>
    <w:p w14:paraId="1CD995FB" w14:textId="6211D404" w:rsidR="001735BD" w:rsidRPr="009257E7" w:rsidRDefault="001735BD" w:rsidP="001735BD">
      <w:pPr>
        <w:rPr>
          <w:rFonts w:ascii="Times New Roman" w:hAnsi="Times New Roman" w:cs="Times New Roman"/>
          <w:b/>
          <w:bCs/>
        </w:rPr>
      </w:pPr>
      <w:r w:rsidRPr="009257E7">
        <w:rPr>
          <w:rFonts w:ascii="Times New Roman" w:hAnsi="Times New Roman" w:cs="Times New Roman"/>
          <w:b/>
          <w:bCs/>
        </w:rPr>
        <w:t>Para quienes están considerando estudiar derecho</w:t>
      </w:r>
    </w:p>
    <w:p w14:paraId="625B782D" w14:textId="77777777" w:rsidR="001735BD" w:rsidRPr="009257E7" w:rsidRDefault="001735BD" w:rsidP="001735BD">
      <w:pPr>
        <w:pStyle w:val="NormalWeb"/>
      </w:pPr>
      <w:r w:rsidRPr="009257E7">
        <w:t>Dean Spade</w:t>
      </w:r>
      <w:r w:rsidRPr="009257E7">
        <w:br/>
        <w:t>6 Unbound: Harv. J. Legal Left 111 (2010)</w:t>
      </w:r>
    </w:p>
    <w:p w14:paraId="6A1E46D0" w14:textId="1C7DC6E3" w:rsidR="001735BD" w:rsidRPr="009257E7" w:rsidRDefault="001735BD" w:rsidP="001735BD">
      <w:pPr>
        <w:pStyle w:val="NormalWeb"/>
        <w:ind w:firstLine="720"/>
      </w:pPr>
      <w:r w:rsidRPr="009257E7">
        <w:lastRenderedPageBreak/>
        <w:t>Cada semana recibo varios correos electrónicos de personas que quieren estudiar derecho o que están tratando de decidir si quieren hacerlo. La mayoría son activistas queer o trans, o personas que desean, de alguna manera, transformar el mundo y poner fin a diversas dinámicas dañinas y terribles que afectan a personas y comunidades de las que forman parte o que les importan… En términos generales, estas conversaciones se centran en ayudarles a superar las narrativas nacionales que se nos han inculcado y nos dicen que los casos jurídicos son la manera más efectiva de desmantelar sistemas de opresión y cambiar la vida de las personas. Si comparamos esa idea con lo que realmente ocurre en el mundo y con las estrategias que desarrollan los movimientos sociales, encontramos una relación más compleja entre el derecho y los movimientos sociales, una relación que plantea preguntas sobre si convertirse en abogade puede ser una buena manera de participar en el cambio transformador, cuándo puede serlo y de qué manera.</w:t>
      </w:r>
    </w:p>
    <w:p w14:paraId="268F8C0E" w14:textId="77777777" w:rsidR="001735BD" w:rsidRPr="009257E7" w:rsidRDefault="001735BD" w:rsidP="001735BD">
      <w:pPr>
        <w:pStyle w:val="NormalWeb"/>
        <w:ind w:firstLine="720"/>
      </w:pPr>
      <w:r w:rsidRPr="009257E7">
        <w:t>Estas son algunas cuestiones que vale la pena considerar al pensar en estudiar derecho:</w:t>
      </w:r>
    </w:p>
    <w:p w14:paraId="6BFCBD8A" w14:textId="77777777" w:rsidR="001735BD" w:rsidRPr="009257E7" w:rsidRDefault="001735BD" w:rsidP="001735BD">
      <w:pPr>
        <w:pStyle w:val="NormalWeb"/>
      </w:pPr>
      <w:r w:rsidRPr="009257E7">
        <w:rPr>
          <w:rStyle w:val="Strong"/>
          <w:i/>
          <w:iCs/>
        </w:rPr>
        <w:t>La mayor parte del trabajo jurídico mantiene, en lugar de transformar, los sistemas de</w:t>
      </w:r>
      <w:r w:rsidRPr="009257E7">
        <w:t xml:space="preserve"> </w:t>
      </w:r>
      <w:r w:rsidRPr="009257E7">
        <w:rPr>
          <w:rStyle w:val="Strong"/>
          <w:i/>
          <w:iCs/>
        </w:rPr>
        <w:t>distribución desigual</w:t>
      </w:r>
      <w:r w:rsidRPr="009257E7">
        <w:rPr>
          <w:rStyle w:val="Strong"/>
        </w:rPr>
        <w:t>.</w:t>
      </w:r>
    </w:p>
    <w:p w14:paraId="5A0049C6" w14:textId="7FA7B210" w:rsidR="001735BD" w:rsidRPr="009257E7" w:rsidRDefault="001735BD" w:rsidP="001735BD">
      <w:pPr>
        <w:pStyle w:val="NormalWeb"/>
        <w:ind w:firstLine="720"/>
      </w:pPr>
      <w:r w:rsidRPr="009257E7">
        <w:t xml:space="preserve">El interés de muchas personas por convertirse en abogades se debe al mito de que cambiar el derecho es la manera de cambiar vidas… Cuando observamos cualquier movimiento radical en Estados Unidos que cuestiona estas instituciones y condiciones… podemos ver que las demandas más transformadoras de esos movimientos no fueron —ni son— satisfechas mediante el derecho y que, por el contrario, los cambios jurídicos suelen crearse para maximizar la preservación del </w:t>
      </w:r>
      <w:r w:rsidRPr="009257E7">
        <w:rPr>
          <w:rStyle w:val="Emphasis"/>
        </w:rPr>
        <w:t>statu quo</w:t>
      </w:r>
      <w:r w:rsidRPr="009257E7">
        <w:t xml:space="preserve"> mientras añaden una apariencia superficial de equidad. Incluso cuando logramos un cambio jurídico que parece destinado a garantizar la redistribución de algún bien esencial, esa ley con frecuencia se deroga rápidamente, nunca se aplica o se tergiversa mediante interpretaciones administrativas o judiciales hasta producir lo contrario de lo que los movimientos procuraban.</w:t>
      </w:r>
    </w:p>
    <w:p w14:paraId="581B0752" w14:textId="77777777" w:rsidR="001735BD" w:rsidRPr="009257E7" w:rsidRDefault="001735BD" w:rsidP="001735BD">
      <w:pPr>
        <w:pStyle w:val="NormalWeb"/>
      </w:pPr>
      <w:r w:rsidRPr="009257E7">
        <w:rPr>
          <w:rStyle w:val="Strong"/>
          <w:i/>
          <w:iCs/>
        </w:rPr>
        <w:t>Gran parte del trabajo jurídico necesario para apoyar a las personas pobres</w:t>
      </w:r>
      <w:r w:rsidRPr="009257E7">
        <w:t xml:space="preserve"> </w:t>
      </w:r>
      <w:r w:rsidRPr="009257E7">
        <w:rPr>
          <w:rStyle w:val="Strong"/>
          <w:i/>
          <w:iCs/>
        </w:rPr>
        <w:t>puede realizarse sin un título en derecho</w:t>
      </w:r>
      <w:r w:rsidRPr="009257E7">
        <w:rPr>
          <w:rStyle w:val="Strong"/>
        </w:rPr>
        <w:t>.</w:t>
      </w:r>
    </w:p>
    <w:p w14:paraId="1FF4BF31" w14:textId="376E0DB0" w:rsidR="001735BD" w:rsidRPr="009257E7" w:rsidRDefault="001735BD" w:rsidP="001735BD">
      <w:pPr>
        <w:pStyle w:val="NormalWeb"/>
        <w:ind w:firstLine="720"/>
      </w:pPr>
      <w:r w:rsidRPr="009257E7">
        <w:t>Para quienes deseamos ayudar directamente a personas de nuestras comunidades atrapadas en luchas contra sistemas jurídicos terribles, la buena noticia es que podemos hacer gran parte de ese trabajo sin asistir a la facultad de derecho… Algunos de los movimientos más radicales de la historia de Estados Unidos han brindado ayuda directa a integrantes de la comunidad mediante formas desprofesionalizadas: las personas aprenden a desenvolverse dentro de los sistemas o a satisfacer sus necesidades y luego ayudan y enseñan a otras personas, de modo que muchas puedan ayudarse mutuamente, en lugar de crear una situación en la que unas pocas personas privilegiadas acaparen el conocimiento especializado…</w:t>
      </w:r>
    </w:p>
    <w:p w14:paraId="0B576B95" w14:textId="661C1E0A" w:rsidR="001735BD" w:rsidRPr="009257E7" w:rsidRDefault="001735BD" w:rsidP="001735BD">
      <w:pPr>
        <w:pStyle w:val="NormalWeb"/>
      </w:pPr>
      <w:r w:rsidRPr="009257E7">
        <w:rPr>
          <w:rStyle w:val="Strong"/>
          <w:i/>
          <w:iCs/>
        </w:rPr>
        <w:t>La facultad de derecho es costosa —en la mayoría de los casos— y vale la pena considerar el efecto que la deuda podría tener en su futuro</w:t>
      </w:r>
      <w:r w:rsidRPr="009257E7">
        <w:rPr>
          <w:rStyle w:val="Strong"/>
        </w:rPr>
        <w:t>.</w:t>
      </w:r>
    </w:p>
    <w:p w14:paraId="33C6F01F" w14:textId="47EBB3DF" w:rsidR="001735BD" w:rsidRPr="009257E7" w:rsidRDefault="001735BD" w:rsidP="001735BD">
      <w:pPr>
        <w:pStyle w:val="NormalWeb"/>
        <w:ind w:firstLine="720"/>
      </w:pPr>
      <w:r w:rsidRPr="009257E7">
        <w:lastRenderedPageBreak/>
        <w:t>La facultad de derecho es extremadamente costosa… Ser cooptad</w:t>
      </w:r>
      <w:r w:rsidR="003D0915" w:rsidRPr="009257E7">
        <w:t>o</w:t>
      </w:r>
      <w:r w:rsidRPr="009257E7">
        <w:t xml:space="preserve"> como consecuencia de la deuda es un destino triste y evitable. Resulta terrible ver a personas graduarse y justificar que aceptan cualquier empleo que puedan conseguir debido a la presión de su deuda…</w:t>
      </w:r>
    </w:p>
    <w:p w14:paraId="71F6A98E" w14:textId="1317A583" w:rsidR="001735BD" w:rsidRPr="009257E7" w:rsidRDefault="001735BD" w:rsidP="001735BD">
      <w:pPr>
        <w:pStyle w:val="NormalWeb"/>
      </w:pPr>
      <w:r w:rsidRPr="009257E7">
        <w:rPr>
          <w:rStyle w:val="Strong"/>
          <w:i/>
          <w:iCs/>
        </w:rPr>
        <w:t>La facultad de derecho ofrece una formación muy conservadora y rara vez constituye una experiencia</w:t>
      </w:r>
      <w:r w:rsidRPr="009257E7">
        <w:t xml:space="preserve"> </w:t>
      </w:r>
      <w:r w:rsidRPr="009257E7">
        <w:rPr>
          <w:rStyle w:val="Strong"/>
          <w:i/>
          <w:iCs/>
        </w:rPr>
        <w:t>intelectualmente crítica</w:t>
      </w:r>
      <w:r w:rsidRPr="009257E7">
        <w:rPr>
          <w:rStyle w:val="Strong"/>
        </w:rPr>
        <w:t>.</w:t>
      </w:r>
    </w:p>
    <w:p w14:paraId="1ED393B1" w14:textId="2674CEC0" w:rsidR="001735BD" w:rsidRPr="009257E7" w:rsidRDefault="001735BD" w:rsidP="001735BD">
      <w:pPr>
        <w:pStyle w:val="NormalWeb"/>
        <w:ind w:firstLine="720"/>
      </w:pPr>
      <w:r w:rsidRPr="009257E7">
        <w:t>. . . Muchas facultades de derecho, al igual que el mundo académico en general, son percibidas como “bastiones del liberalismo” en el contexto de nuestro país escandalosamente conservador y supremacista blanco, pero sus entornos intelectuales y políticos son tan moderadamente reformistas —en el mejor de los casos— que parecerán sorprendentemente conservadores para cualquier persona que desee un cambio significativo… Las clases de la facultad de derecho consisten en memorizar normas oscuras que probablemente no tengan nada que ver con su práctica cotidiana como abogade. Se trata de adoctrinarle para que crea que sistemas y principios jurídicos racistas y genocidas son neutrales… La pedagogía tradicional de la facultad de derecho se basa en humillar a les estudiantes cuando introducen otras maneras de pensar o de conocer el mundo…</w:t>
      </w:r>
    </w:p>
    <w:p w14:paraId="35D59E61" w14:textId="0973E948" w:rsidR="001735BD" w:rsidRPr="009257E7" w:rsidRDefault="001735BD" w:rsidP="001735BD">
      <w:pPr>
        <w:pStyle w:val="NormalWeb"/>
      </w:pPr>
      <w:r w:rsidRPr="009257E7">
        <w:rPr>
          <w:rStyle w:val="Strong"/>
          <w:i/>
          <w:iCs/>
        </w:rPr>
        <w:t>Si usted decide estudiar derecho, es fundamental asistir a una facultad donde encuentre</w:t>
      </w:r>
      <w:r w:rsidRPr="009257E7">
        <w:t xml:space="preserve"> </w:t>
      </w:r>
      <w:r w:rsidRPr="009257E7">
        <w:rPr>
          <w:rStyle w:val="Strong"/>
          <w:i/>
          <w:iCs/>
        </w:rPr>
        <w:t>aliades y apoyo, y donde realmente se ofrezcan las experiencias de aprendizaje que</w:t>
      </w:r>
      <w:r w:rsidRPr="009257E7">
        <w:t xml:space="preserve"> </w:t>
      </w:r>
      <w:r w:rsidRPr="009257E7">
        <w:rPr>
          <w:rStyle w:val="Strong"/>
          <w:i/>
          <w:iCs/>
        </w:rPr>
        <w:t>busca…</w:t>
      </w:r>
    </w:p>
    <w:p w14:paraId="5F29C81A" w14:textId="7DD6BA72" w:rsidR="001735BD" w:rsidRPr="009257E7" w:rsidRDefault="001735BD" w:rsidP="003D0915">
      <w:pPr>
        <w:pStyle w:val="NormalWeb"/>
        <w:ind w:firstLine="720"/>
      </w:pPr>
      <w:r w:rsidRPr="009257E7">
        <w:t xml:space="preserve">. . . Usted necesita una facultad que ofrezca la mayor cantidad posible de cursos pertinentes para desmantelar la supremacía blanca, el colonialismo de asentamiento, el capitalismo y el patriarcado. Necesita una facultad donde les estudiantes activistas conviertan a la propia institución en objeto de su acción y participen en activismo sobre múltiples asuntos, enseñándose mutuamente durante el proceso. Necesita una facultad que valore la educación jurídica clínica y le ofrezca </w:t>
      </w:r>
      <w:r w:rsidR="003D0915" w:rsidRPr="009257E7">
        <w:t>numeros</w:t>
      </w:r>
      <w:r w:rsidRPr="009257E7">
        <w:t xml:space="preserve">as oportunidades </w:t>
      </w:r>
      <w:r w:rsidR="003D0915" w:rsidRPr="009257E7">
        <w:t>de</w:t>
      </w:r>
      <w:r w:rsidRPr="009257E7">
        <w:t xml:space="preserve"> realizar trabajo real en apoyo de comunidades pobres mientras estudia. Como alguien que anteriormente participó en la contratación de abogades, </w:t>
      </w:r>
      <w:r w:rsidR="003D0915" w:rsidRPr="009257E7">
        <w:t>…</w:t>
      </w:r>
      <w:r w:rsidRPr="009257E7">
        <w:t xml:space="preserve"> valoraba a las personas que habían adquirido cierta experiencia, a quienes habían desarrollado pensamiento crítico sobre raza, discapacidad, pobreza, género e inmigración y a quienes habían reflexionado críticamente sobre la función de les abogades dentro de los movimientos sociales y habían aprendido a pensar acerca del privilegio. Una vez que usted esté en la facultad</w:t>
      </w:r>
      <w:r w:rsidR="003D0915" w:rsidRPr="009257E7">
        <w:t>…</w:t>
      </w:r>
      <w:r w:rsidRPr="009257E7">
        <w:t xml:space="preserve"> debe continuar participando en movimientos sociales, no desde la función de abogade, durante sus estudios de derecho y después de ellos. Esto es esencial para mantener una perspectiva adecuada sobre la función limitada del trabajo jurídico, conservar la humildad y encontrar equilibrio y pasión.</w:t>
      </w:r>
    </w:p>
    <w:p w14:paraId="60EE779E" w14:textId="07B842F6" w:rsidR="001735BD" w:rsidRPr="009257E7" w:rsidRDefault="003D0915" w:rsidP="003D0915">
      <w:pPr>
        <w:rPr>
          <w:rFonts w:ascii="Times New Roman" w:hAnsi="Times New Roman" w:cs="Times New Roman"/>
          <w:b/>
          <w:bCs/>
        </w:rPr>
      </w:pPr>
      <w:r w:rsidRPr="009257E7">
        <w:rPr>
          <w:rFonts w:ascii="Times New Roman" w:hAnsi="Times New Roman" w:cs="Times New Roman"/>
          <w:b/>
          <w:bCs/>
        </w:rPr>
        <w:t>¿Qué funciones pueden desempeñar les abogades dentro de los movimientos sociales?</w:t>
      </w:r>
    </w:p>
    <w:p w14:paraId="376FD100" w14:textId="0C6172CC" w:rsidR="001735BD" w:rsidRPr="009257E7" w:rsidRDefault="001735BD" w:rsidP="003D0915">
      <w:pPr>
        <w:pStyle w:val="NormalWeb"/>
        <w:ind w:firstLine="720"/>
      </w:pPr>
      <w:r w:rsidRPr="009257E7">
        <w:t>La idea de que quienes desean generar cambio producirán el mayor impacto convirtiéndose en abogades y presentando demandas que establezcan precedentes debe reevaluarse a la luz de lo que revela la historia de los movimientos. Una vez que usted abandona esa idea, puede comenzar a pensar qué función deberían o podrían desempeñar les abogades dentro de los movimientos sociales y evaluar si se ve desempeñando esas funciones. Desde mi perspectiva, la transformación</w:t>
      </w:r>
      <w:r w:rsidR="003D0915" w:rsidRPr="009257E7">
        <w:t>…</w:t>
      </w:r>
      <w:r w:rsidRPr="009257E7">
        <w:t xml:space="preserve"> no proviene de arriba, es decir, de élites que conceden el cambio mediante legislación o tribunales. La pregunta pasa entonces a ser qué función pueden </w:t>
      </w:r>
      <w:r w:rsidRPr="009257E7">
        <w:lastRenderedPageBreak/>
        <w:t>desempeñar les abogades dentro de esa transformación amplia, participativa, centrada en la movilización masiva y desde abajo.</w:t>
      </w:r>
    </w:p>
    <w:p w14:paraId="57B1B65B" w14:textId="77777777" w:rsidR="001735BD" w:rsidRPr="009257E7" w:rsidRDefault="001735BD" w:rsidP="001735BD">
      <w:pPr>
        <w:pStyle w:val="NormalWeb"/>
      </w:pPr>
      <w:r w:rsidRPr="009257E7">
        <w:rPr>
          <w:rStyle w:val="Strong"/>
        </w:rPr>
        <w:t>Algunas funciones importantes que les abogades pueden desempeñar dentro de estos movimientos son:</w:t>
      </w:r>
    </w:p>
    <w:p w14:paraId="57AD943A" w14:textId="77777777" w:rsidR="001735BD" w:rsidRPr="009257E7" w:rsidRDefault="001735BD" w:rsidP="001735BD">
      <w:pPr>
        <w:pStyle w:val="NormalWeb"/>
      </w:pPr>
      <w:r w:rsidRPr="009257E7">
        <w:rPr>
          <w:rStyle w:val="Strong"/>
          <w:i/>
          <w:iCs/>
        </w:rPr>
        <w:t>Desmitificar los sistemas jurídicos</w:t>
      </w:r>
    </w:p>
    <w:p w14:paraId="391C66BD" w14:textId="7B1801FD" w:rsidR="001735BD" w:rsidRPr="009257E7" w:rsidRDefault="001735BD" w:rsidP="003D0915">
      <w:pPr>
        <w:pStyle w:val="NormalWeb"/>
        <w:ind w:firstLine="720"/>
      </w:pPr>
      <w:r w:rsidRPr="009257E7">
        <w:t xml:space="preserve">Les abogades pueden servir a los movimientos mediante el uso de </w:t>
      </w:r>
      <w:r w:rsidR="003D0915" w:rsidRPr="009257E7">
        <w:t xml:space="preserve">su </w:t>
      </w:r>
      <w:r w:rsidRPr="009257E7">
        <w:t>conocimiento especializado para ayudar a desmitificar sistemas dirigidos contra personas vulnerables</w:t>
      </w:r>
      <w:r w:rsidR="003D0915" w:rsidRPr="009257E7">
        <w:t>,</w:t>
      </w:r>
      <w:r w:rsidRPr="009257E7">
        <w:t xml:space="preserve"> que con frecuencia, son deliberadamente opacos. En ocasiones, les abogades pueden ayudar a dirigentes de movimientos a identificar y elaborar estrategias sobre quiénes podrían ser los destinatarios de distintas campañas o dónde se encuentran los puntos débiles de determinados sistemas jurídicos</w:t>
      </w:r>
      <w:r w:rsidR="003D0915" w:rsidRPr="009257E7">
        <w:t>…</w:t>
      </w:r>
      <w:r w:rsidRPr="009257E7">
        <w:t xml:space="preserve"> La facultad de derecho enseña a las personas a dejar de pensar en soluciones que estén fuera del derecho, lo que, en gran medida, significa que solo podemos imaginar maneras de modificar ligeramente sistemas dañinos y, al hacerlo, fortalecerlos, estabilizarlos y legitimarlos. Todo el enfoque de la educación jurídica se centra en trabajar dentro del sistema jurídico existente</w:t>
      </w:r>
      <w:r w:rsidR="003D0915" w:rsidRPr="009257E7">
        <w:t>…</w:t>
      </w:r>
    </w:p>
    <w:p w14:paraId="119E2932" w14:textId="77777777" w:rsidR="001735BD" w:rsidRPr="009257E7" w:rsidRDefault="001735BD" w:rsidP="001735BD">
      <w:pPr>
        <w:pStyle w:val="NormalWeb"/>
      </w:pPr>
      <w:r w:rsidRPr="009257E7">
        <w:rPr>
          <w:rStyle w:val="Strong"/>
          <w:i/>
          <w:iCs/>
        </w:rPr>
        <w:t>Prestar servicios jurídicos</w:t>
      </w:r>
    </w:p>
    <w:p w14:paraId="7B9F100B" w14:textId="77777777" w:rsidR="001735BD" w:rsidRPr="009257E7" w:rsidRDefault="001735BD" w:rsidP="003D0915">
      <w:pPr>
        <w:pStyle w:val="NormalWeb"/>
        <w:ind w:firstLine="720"/>
      </w:pPr>
      <w:r w:rsidRPr="009257E7">
        <w:t>Les abogades pueden resultar útiles, en ocasiones, para personas que se enfrentan a sistemas jurídicos abusivos —aplicación de las leyes migratorias, criminalización, recortes de asistencia social, desalojos, injusticia ambiental—. Si los servicios destinados a la supervivencia forman parte de una estrategia más amplia de organización dirigida hacia la transformación sistémica —es decir, si conectan a las personas con maneras de unirse a otres que luchan en circunstancias similares y están gobernados por personas pertenecientes al grupo directamente afectado—, pueden constituir un punto importante de entrada para que las personas se incorporen a luchas de resistencia y una fuente importante de apoyo para que asuman liderazgo político sobre asuntos que les afectan.</w:t>
      </w:r>
    </w:p>
    <w:p w14:paraId="20376EA2" w14:textId="0BDF5406" w:rsidR="001735BD" w:rsidRPr="009257E7" w:rsidRDefault="001735BD" w:rsidP="003D0915">
      <w:pPr>
        <w:pStyle w:val="NormalWeb"/>
        <w:ind w:firstLine="720"/>
      </w:pPr>
      <w:r w:rsidRPr="009257E7">
        <w:t xml:space="preserve">Lamentablemente, </w:t>
      </w:r>
      <w:r w:rsidR="003D0915" w:rsidRPr="009257E7">
        <w:t>…</w:t>
      </w:r>
      <w:r w:rsidRPr="009257E7">
        <w:t xml:space="preserve"> [l]a mayoría de los servicios jurídicos no están actualmente</w:t>
      </w:r>
      <w:r w:rsidR="003D0915" w:rsidRPr="009257E7">
        <w:t xml:space="preserve"> conectados</w:t>
      </w:r>
      <w:r w:rsidRPr="009257E7">
        <w:t xml:space="preserve"> con estrategias de cambio transformador, y no lo estarán a menos que movilicemos recursos para realizar mucho más trabajo de ese tipo: organización comunitaria directa, construcción de base y movilización. Esto es algo que debe considerar al pensar en convertirse en abogade: ¿son esas las destrezas que nuestros movimientos necesitan con mayor urgencia en este momento?</w:t>
      </w:r>
      <w:r w:rsidR="003D0915" w:rsidRPr="009257E7">
        <w:t>…</w:t>
      </w:r>
      <w:r w:rsidRPr="009257E7">
        <w:t xml:space="preserve"> La mayoría de les estudiantes de derecho que conozco nunca han participado en esfuerzos de movilización masiva y, con frecuencia, ni siquiera han oído hablar de ellos, salvo por algunos ejemplos históricos como el Movimiento por los Derechos Civiles. Además, suelen tener una visión distorsionada de los movimientos masivos que </w:t>
      </w:r>
      <w:r w:rsidR="003D0915" w:rsidRPr="009257E7">
        <w:t>sitú</w:t>
      </w:r>
      <w:r w:rsidRPr="009257E7">
        <w:t>a en el centro a personas carismáticas y los cambios jurídicos, mientras oculta las funciones de la movilización masiva, la acción directa y la lucha armada. A menos que usted tenga una idea realmente clara de cómo manejará estas tensiones y de qué manera su trabajo será diferente, estudiar derecho podría simplemente cooptarle hacia un trabajo reformista limitado</w:t>
      </w:r>
      <w:r w:rsidR="003D0915" w:rsidRPr="009257E7">
        <w:t>…</w:t>
      </w:r>
    </w:p>
    <w:p w14:paraId="099C0144" w14:textId="77777777" w:rsidR="001735BD" w:rsidRPr="009257E7" w:rsidRDefault="001735BD" w:rsidP="001735BD">
      <w:pPr>
        <w:pStyle w:val="NormalWeb"/>
      </w:pPr>
      <w:r w:rsidRPr="009257E7">
        <w:rPr>
          <w:rStyle w:val="Strong"/>
        </w:rPr>
        <w:t>__________________</w:t>
      </w:r>
    </w:p>
    <w:p w14:paraId="40E93AF6" w14:textId="464BECD9" w:rsidR="001735BD" w:rsidRPr="009257E7" w:rsidRDefault="001735BD" w:rsidP="001735BD">
      <w:pPr>
        <w:pStyle w:val="NormalWeb"/>
      </w:pPr>
      <w:r w:rsidRPr="009257E7">
        <w:lastRenderedPageBreak/>
        <w:t>Estas reflexiones autocríticas desde abajo, escritas expresamente para usted, ofrecen puntos de referencia básicos a los que todes les abogades pueden re</w:t>
      </w:r>
      <w:r w:rsidR="003D0915" w:rsidRPr="009257E7">
        <w:t>curri</w:t>
      </w:r>
      <w:r w:rsidRPr="009257E7">
        <w:t xml:space="preserve">r periódicamente para maximizar el impacto y la integridad de la abogacía sistémica </w:t>
      </w:r>
      <w:r w:rsidR="003D0915" w:rsidRPr="009257E7">
        <w:t>en</w:t>
      </w:r>
      <w:r w:rsidRPr="009257E7">
        <w:t xml:space="preserve"> contextos en constante cambio.</w:t>
      </w:r>
    </w:p>
    <w:p w14:paraId="046A7CA4" w14:textId="77777777" w:rsidR="003D0915" w:rsidRPr="009257E7" w:rsidRDefault="007643ED" w:rsidP="007643ED">
      <w:pPr>
        <w:spacing w:before="100" w:beforeAutospacing="1" w:after="100" w:afterAutospacing="1" w:line="240" w:lineRule="auto"/>
        <w:rPr>
          <w:rFonts w:ascii="Times New Roman" w:eastAsia="Times New Roman" w:hAnsi="Times New Roman" w:cs="Times New Roman"/>
          <w:b/>
          <w:bCs/>
          <w:kern w:val="0"/>
          <w:lang w:val="es-ES"/>
          <w14:ligatures w14:val="none"/>
        </w:rPr>
      </w:pPr>
      <w:r w:rsidRPr="009257E7">
        <w:rPr>
          <w:rFonts w:ascii="Times New Roman" w:eastAsia="Times New Roman" w:hAnsi="Times New Roman" w:cs="Times New Roman"/>
          <w:b/>
          <w:bCs/>
          <w:kern w:val="0"/>
          <w:lang w:val="es-ES"/>
          <w14:ligatures w14:val="none"/>
        </w:rPr>
        <w:t>10.2 Las rutas cambian en el trayecto; por eso también deben cambiar los grupos, les abogades y la abogacía</w:t>
      </w:r>
    </w:p>
    <w:p w14:paraId="138C161F" w14:textId="126E1EB0" w:rsidR="003D0915" w:rsidRPr="009257E7" w:rsidRDefault="003D0915" w:rsidP="003D0915">
      <w:pPr>
        <w:pStyle w:val="NormalWeb"/>
        <w:ind w:firstLine="720"/>
      </w:pPr>
      <w:r w:rsidRPr="009257E7">
        <w:t xml:space="preserve">Todos los recorridos hacia la Justicia Crítica son difíciles e inciertos, quizá para siempre inconclusos. Los caminos hacia la Justicia Crítica implican, tanto en el plano personal como en el colectivo, una maratón crítica. Mediante el uso contextual de la conciencia dual, todes les abogades se afianzan —con flexibilidad— para este largo recorrido. Navegar por el fracaso por diseño y contrarrestar la preservación mediante </w:t>
      </w:r>
      <w:r w:rsidR="009257E7" w:rsidRPr="009257E7">
        <w:t xml:space="preserve">la </w:t>
      </w:r>
      <w:r w:rsidRPr="009257E7">
        <w:t>transformación es una tarea interminable. También lo es la necesidad de adaptarse de maneras basadas en principios, sujetas a rendición de cuentas y capaces de generar impacto.</w:t>
      </w:r>
    </w:p>
    <w:p w14:paraId="003968F4" w14:textId="5B30B858" w:rsidR="003D0915" w:rsidRPr="009257E7" w:rsidRDefault="003D0915" w:rsidP="009257E7">
      <w:pPr>
        <w:pStyle w:val="NormalWeb"/>
        <w:ind w:firstLine="720"/>
      </w:pPr>
      <w:r w:rsidRPr="009257E7">
        <w:t>Como hemos visto a lo largo del libro, una buena abogacía basada en el trabajo de campo toma en cuenta los aspectos de corto plazo —tácticos— y de plazo más largo —estratégicos— de la abogacía sistémica</w:t>
      </w:r>
      <w:r w:rsidR="009257E7" w:rsidRPr="009257E7">
        <w:t>,</w:t>
      </w:r>
      <w:r w:rsidRPr="009257E7">
        <w:t xml:space="preserve"> para utilizar la mejora como vía hacia la transformación. Este trabajo cotidiano aprovecha el presente en constante</w:t>
      </w:r>
      <w:r w:rsidR="009257E7" w:rsidRPr="009257E7">
        <w:t xml:space="preserve"> cambio</w:t>
      </w:r>
      <w:r w:rsidRPr="009257E7">
        <w:t xml:space="preserve"> para construir, con perseverancia y creatividad, sobre un pasado siempre disputado y avanzar hacia un futuro necesariamente incierto. A lo largo del camino, les abogades monitorean, consideran, reflexionan y ajustan sus tácticas y estrategias para lograr y defender el progreso de manera sostenida a medida que cambian las circunstancias. Cuando cambian las circunstancias, también deben cambiar los caminos de la abogacía de tres niveles. En ocasiones, las circunstancias cambian de manera radical, quizá en parte como resultado de su propio éxito. En esos momentos —afortunados—, les abogades deben detenerse a reflexionar sobre los pasos siguientes para defender ese éxito y seguir avanzando a partir de él. Lo mismo ocurre cuando el contexto o las circunstancias cambian por razones </w:t>
      </w:r>
      <w:r w:rsidR="009257E7" w:rsidRPr="009257E7">
        <w:t>ajenas</w:t>
      </w:r>
      <w:r w:rsidRPr="009257E7">
        <w:t xml:space="preserve"> </w:t>
      </w:r>
      <w:r w:rsidR="009257E7" w:rsidRPr="009257E7">
        <w:t>o</w:t>
      </w:r>
      <w:r w:rsidRPr="009257E7">
        <w:t xml:space="preserve"> </w:t>
      </w:r>
      <w:r w:rsidR="009257E7" w:rsidRPr="009257E7">
        <w:t>provenientes de</w:t>
      </w:r>
      <w:r w:rsidRPr="009257E7">
        <w:t xml:space="preserve"> fuentes</w:t>
      </w:r>
      <w:r w:rsidR="009257E7" w:rsidRPr="009257E7">
        <w:t xml:space="preserve"> distintas</w:t>
      </w:r>
      <w:r w:rsidRPr="009257E7">
        <w:t>. La reflexión continua como práctica profesional, como hemos visto una y otra vez, es un asunto serio dentro del pensamiento crítico y de la abogacía sistémica.</w:t>
      </w:r>
    </w:p>
    <w:p w14:paraId="44991D7F" w14:textId="410D6159" w:rsidR="009257E7" w:rsidRPr="009257E7" w:rsidRDefault="009257E7" w:rsidP="009257E7">
      <w:pPr>
        <w:pStyle w:val="NormalWeb"/>
        <w:rPr>
          <w:b/>
          <w:bCs/>
        </w:rPr>
      </w:pPr>
      <w:r w:rsidRPr="009257E7">
        <w:rPr>
          <w:b/>
          <w:bCs/>
          <w:lang w:val="es-ES"/>
        </w:rPr>
        <w:t>10.3 Crítica profunda y abogacía sistémica para el largo plazo</w:t>
      </w:r>
    </w:p>
    <w:p w14:paraId="702F2BFF" w14:textId="4B8E7917" w:rsidR="003D0915" w:rsidRPr="009257E7" w:rsidRDefault="003D0915" w:rsidP="009257E7">
      <w:pPr>
        <w:pStyle w:val="NormalWeb"/>
        <w:ind w:firstLine="720"/>
      </w:pPr>
      <w:r w:rsidRPr="009257E7">
        <w:t xml:space="preserve">Sameer Ashar, académico clínico del derecho, ofrece un mapeo final del fracaso de la industria jurídica </w:t>
      </w:r>
      <w:r w:rsidR="009257E7" w:rsidRPr="009257E7">
        <w:t>por</w:t>
      </w:r>
      <w:r w:rsidRPr="009257E7">
        <w:t xml:space="preserve"> no </w:t>
      </w:r>
      <w:r w:rsidR="009257E7" w:rsidRPr="009257E7">
        <w:t>considerar</w:t>
      </w:r>
      <w:r w:rsidRPr="009257E7">
        <w:t xml:space="preserve"> los elementos ausentes: identidades, grupos, intereses y poder. Muestra cómo “la marginación constante de la justicia </w:t>
      </w:r>
      <w:r w:rsidR="009257E7" w:rsidRPr="009257E7">
        <w:t>en</w:t>
      </w:r>
      <w:r w:rsidRPr="009257E7">
        <w:t xml:space="preserve"> las facultades de derecho y la ausencia de teorías subyacentes sobre la práctica jurídica” contribuyeron a “una crisis existencial de larga data” </w:t>
      </w:r>
      <w:r w:rsidR="009257E7" w:rsidRPr="009257E7">
        <w:t>en</w:t>
      </w:r>
      <w:r w:rsidRPr="009257E7">
        <w:t xml:space="preserve"> la profesión jurídica. Como contrapeso a los sesgos desde arriba, les abogades que apoyan a grupos subordinados practican una “crítica profunda, tanto de las funciones formalistas dentro de la práctica jurídica como de las configuraciones arraigadas de poder y recursos en la sociedad”.</w:t>
      </w:r>
    </w:p>
    <w:p w14:paraId="5CB7C162" w14:textId="77777777" w:rsidR="003D0915" w:rsidRPr="009257E7" w:rsidRDefault="003D0915" w:rsidP="009257E7">
      <w:pPr>
        <w:pStyle w:val="NormalWeb"/>
        <w:ind w:firstLine="720"/>
      </w:pPr>
      <w:r w:rsidRPr="009257E7">
        <w:t>Con la mirada puesta hacia adelante, Ashar mapea algunos de los pasos necesarios para fomentar cambios en el derecho y en la sociedad favorables a la justicia:</w:t>
      </w:r>
    </w:p>
    <w:p w14:paraId="1082AE16" w14:textId="77777777" w:rsidR="003D0915" w:rsidRPr="009257E7" w:rsidRDefault="003D0915" w:rsidP="003D0915">
      <w:pPr>
        <w:numPr>
          <w:ilvl w:val="0"/>
          <w:numId w:val="29"/>
        </w:numPr>
        <w:spacing w:before="100" w:beforeAutospacing="1" w:after="100" w:afterAutospacing="1" w:line="240" w:lineRule="auto"/>
        <w:rPr>
          <w:rFonts w:ascii="Times New Roman" w:hAnsi="Times New Roman" w:cs="Times New Roman"/>
        </w:rPr>
      </w:pPr>
      <w:r w:rsidRPr="009257E7">
        <w:rPr>
          <w:rFonts w:ascii="Times New Roman" w:hAnsi="Times New Roman" w:cs="Times New Roman"/>
        </w:rPr>
        <w:lastRenderedPageBreak/>
        <w:t>Concentrarse en problemas sociales persistentes dentro de su contexto: “problemas difíciles, arraigados histórica y macropolíticamente”;</w:t>
      </w:r>
    </w:p>
    <w:p w14:paraId="005D4189" w14:textId="77777777" w:rsidR="003D0915" w:rsidRPr="009257E7" w:rsidRDefault="003D0915" w:rsidP="003D0915">
      <w:pPr>
        <w:numPr>
          <w:ilvl w:val="0"/>
          <w:numId w:val="29"/>
        </w:numPr>
        <w:spacing w:before="100" w:beforeAutospacing="1" w:after="100" w:afterAutospacing="1" w:line="240" w:lineRule="auto"/>
        <w:rPr>
          <w:rFonts w:ascii="Times New Roman" w:hAnsi="Times New Roman" w:cs="Times New Roman"/>
        </w:rPr>
      </w:pPr>
      <w:r w:rsidRPr="009257E7">
        <w:rPr>
          <w:rFonts w:ascii="Times New Roman" w:hAnsi="Times New Roman" w:cs="Times New Roman"/>
        </w:rPr>
        <w:t>Utilizar historias y teoría críticas para orientar la investigación, el análisis y las acciones complejas porque “[l]a historia y la teoría nos proporcionan las herramientas para participar en campañas [y proyectos], junto con organizaciones comunitarias y activistas políticos, con el fin de transformar las instituciones del derecho”; y</w:t>
      </w:r>
    </w:p>
    <w:p w14:paraId="14A7D972" w14:textId="0082BFDE" w:rsidR="003D0915" w:rsidRPr="009257E7" w:rsidRDefault="003D0915" w:rsidP="003D0915">
      <w:pPr>
        <w:numPr>
          <w:ilvl w:val="0"/>
          <w:numId w:val="29"/>
        </w:numPr>
        <w:spacing w:before="100" w:beforeAutospacing="1" w:after="100" w:afterAutospacing="1" w:line="240" w:lineRule="auto"/>
        <w:rPr>
          <w:rFonts w:ascii="Times New Roman" w:hAnsi="Times New Roman" w:cs="Times New Roman"/>
        </w:rPr>
      </w:pPr>
      <w:r w:rsidRPr="009257E7">
        <w:rPr>
          <w:rFonts w:ascii="Times New Roman" w:hAnsi="Times New Roman" w:cs="Times New Roman"/>
        </w:rPr>
        <w:t>Desarrollar colaboraciones y coaliciones críticas</w:t>
      </w:r>
      <w:r w:rsidR="009257E7">
        <w:rPr>
          <w:rFonts w:ascii="Times New Roman" w:hAnsi="Times New Roman" w:cs="Times New Roman"/>
        </w:rPr>
        <w:t>,</w:t>
      </w:r>
      <w:r w:rsidRPr="009257E7">
        <w:rPr>
          <w:rFonts w:ascii="Times New Roman" w:hAnsi="Times New Roman" w:cs="Times New Roman"/>
        </w:rPr>
        <w:t xml:space="preserve"> fundamentadas en valores de antisubordinación</w:t>
      </w:r>
      <w:r w:rsidR="009257E7">
        <w:rPr>
          <w:rFonts w:ascii="Times New Roman" w:hAnsi="Times New Roman" w:cs="Times New Roman"/>
        </w:rPr>
        <w:t>,</w:t>
      </w:r>
      <w:r w:rsidRPr="009257E7">
        <w:rPr>
          <w:rFonts w:ascii="Times New Roman" w:hAnsi="Times New Roman" w:cs="Times New Roman"/>
        </w:rPr>
        <w:t xml:space="preserve"> mediante la construcción de “comunidad y solidaridad frente a los efectos de la riqueza concentrada y de la subordinación</w:t>
      </w:r>
      <w:r w:rsidR="009257E7">
        <w:rPr>
          <w:rFonts w:ascii="Times New Roman" w:hAnsi="Times New Roman" w:cs="Times New Roman"/>
        </w:rPr>
        <w:t>,</w:t>
      </w:r>
      <w:r w:rsidRPr="009257E7">
        <w:rPr>
          <w:rFonts w:ascii="Times New Roman" w:hAnsi="Times New Roman" w:cs="Times New Roman"/>
        </w:rPr>
        <w:t xml:space="preserve"> a través de múltiples dimensiones de identidad, estatus y poder”.</w:t>
      </w:r>
    </w:p>
    <w:p w14:paraId="064DB87F" w14:textId="4C4E52B4" w:rsidR="003D0915" w:rsidRPr="009257E7" w:rsidRDefault="003D0915" w:rsidP="009257E7">
      <w:pPr>
        <w:pStyle w:val="NormalWeb"/>
        <w:ind w:firstLine="720"/>
      </w:pPr>
      <w:r w:rsidRPr="009257E7">
        <w:t>Ashar hace un llamado a la acción dirigido a todes les abogades y les pide cuestionar y reformular las premisas y prácticas jurídicas actuales de maneras que reparen los sistemas persistentes de casta</w:t>
      </w:r>
      <w:r w:rsidR="009257E7">
        <w:rPr>
          <w:rStyle w:val="FootnoteReference"/>
        </w:rPr>
        <w:footnoteReference w:id="362"/>
      </w:r>
      <w:r w:rsidRPr="009257E7">
        <w:t>.</w:t>
      </w:r>
    </w:p>
    <w:p w14:paraId="6EAB85F4" w14:textId="75EAE421" w:rsidR="003D0915" w:rsidRPr="009257E7" w:rsidRDefault="003D0915" w:rsidP="009257E7">
      <w:pPr>
        <w:pStyle w:val="NormalWeb"/>
        <w:ind w:firstLine="720"/>
      </w:pPr>
      <w:r w:rsidRPr="009257E7">
        <w:t xml:space="preserve">En última instancia, cada abogade debe trazar su propio camino hacia el logro de la justicia igualitaria para todes, participando en una crítica profunda y abordando con honestidad y franqueza los conflictos que surgen </w:t>
      </w:r>
      <w:r w:rsidR="00C83BB2">
        <w:t>en</w:t>
      </w:r>
      <w:r w:rsidRPr="009257E7">
        <w:t xml:space="preserve"> las colaboraciones. El tiempo y el cambio obligan a todas las personas a tomar decisiones cotidianas. A lo largo del camino, procuramos mantenernos basades en principios, orientades por un propósito y ágiles, porque la injusticia sistémica permanece siempre en movimiento y, al mismo tiempo, profundamente arraigada.</w:t>
      </w:r>
    </w:p>
    <w:p w14:paraId="462212C9" w14:textId="7DA9158D" w:rsidR="007643ED" w:rsidRPr="009257E7" w:rsidRDefault="003D0915" w:rsidP="00C83BB2">
      <w:pPr>
        <w:pStyle w:val="NormalWeb"/>
        <w:ind w:firstLine="720"/>
      </w:pPr>
      <w:r w:rsidRPr="009257E7">
        <w:t xml:space="preserve">Sea cual sea el contexto o cualesquiera que sean los objetivos, comience </w:t>
      </w:r>
      <w:r w:rsidR="00C83BB2">
        <w:t>por</w:t>
      </w:r>
      <w:r w:rsidRPr="009257E7">
        <w:t xml:space="preserve"> lo que la gente sabe; luego, construya a partir de lo que la gente tiene y planifique teniendo en cuenta las complejidades de un recorrido largo. Para mantenerse basade en principios, orientade por un propósito y ágil, elija sus caminos de manera crítica y autocrítica. Retomando la reflexión de Bill Quigley presentada anteriormente, le deseamos “alegría, inspiración y amor en abundancia” a lo largo de su recorrido de toda una vida apoyando el progreso desde abajo hacia la justicia igualitaria para todes.</w:t>
      </w:r>
      <w:r w:rsidR="007643ED" w:rsidRPr="009257E7">
        <w:br/>
      </w:r>
    </w:p>
    <w:p w14:paraId="1B9689A1" w14:textId="77777777" w:rsidR="006E63F1" w:rsidRPr="009257E7" w:rsidRDefault="006E63F1" w:rsidP="006E63F1">
      <w:pPr>
        <w:spacing w:before="100" w:beforeAutospacing="1" w:after="100" w:afterAutospacing="1" w:line="240" w:lineRule="auto"/>
        <w:rPr>
          <w:rFonts w:ascii="Times New Roman" w:eastAsia="Times New Roman" w:hAnsi="Times New Roman" w:cs="Times New Roman"/>
          <w:kern w:val="0"/>
          <w14:ligatures w14:val="none"/>
        </w:rPr>
      </w:pPr>
    </w:p>
    <w:sectPr w:rsidR="006E63F1" w:rsidRPr="009257E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C90E8F1" w14:textId="77777777" w:rsidR="00BF70AB" w:rsidRDefault="00BF70AB" w:rsidP="00DB6501">
      <w:pPr>
        <w:spacing w:after="0" w:line="240" w:lineRule="auto"/>
      </w:pPr>
      <w:r>
        <w:separator/>
      </w:r>
    </w:p>
  </w:endnote>
  <w:endnote w:type="continuationSeparator" w:id="0">
    <w:p w14:paraId="2D3CA370" w14:textId="77777777" w:rsidR="00BF70AB" w:rsidRDefault="00BF70AB" w:rsidP="00DB65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entury Schoolbook">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E394FDD" w14:textId="77777777" w:rsidR="00BF70AB" w:rsidRDefault="00BF70AB" w:rsidP="00DB6501">
      <w:pPr>
        <w:spacing w:after="0" w:line="240" w:lineRule="auto"/>
      </w:pPr>
      <w:r>
        <w:separator/>
      </w:r>
    </w:p>
  </w:footnote>
  <w:footnote w:type="continuationSeparator" w:id="0">
    <w:p w14:paraId="313E5480" w14:textId="77777777" w:rsidR="00BF70AB" w:rsidRDefault="00BF70AB" w:rsidP="00DB6501">
      <w:pPr>
        <w:spacing w:after="0" w:line="240" w:lineRule="auto"/>
      </w:pPr>
      <w:r>
        <w:continuationSeparator/>
      </w:r>
    </w:p>
  </w:footnote>
  <w:footnote w:id="1">
    <w:p w14:paraId="3A6912CF" w14:textId="37BCA0D8" w:rsidR="00D041B6" w:rsidRPr="00C83BB2" w:rsidRDefault="00D041B6">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Gerald P. López, Rebellious Lawyering: One Chicano’s Vision of Progressive Law Practice (1992).</w:t>
      </w:r>
    </w:p>
  </w:footnote>
  <w:footnote w:id="2">
    <w:p w14:paraId="78BBA2FF" w14:textId="18CEF343" w:rsidR="00F920FD" w:rsidRPr="00C83BB2" w:rsidRDefault="00F920FD">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hyperlink r:id="rId1" w:tooltip="https://www.westlaw.com/Document/I333edad149e411dba16d88fb847e95e5/View/FullText.html?transitionType=Default&amp;contextData=(sc.Default)&amp;VR=3.0&amp;RS=da3.0&amp;fragmentIdentifier=co_pp_sp_101788_175" w:history="1">
        <w:r w:rsidRPr="00C83BB2">
          <w:rPr>
            <w:rStyle w:val="Hyperlink"/>
            <w:rFonts w:ascii="Times New Roman" w:eastAsiaTheme="minorHAnsi" w:hAnsi="Times New Roman"/>
            <w:sz w:val="20"/>
            <w:szCs w:val="20"/>
          </w:rPr>
          <w:t xml:space="preserve">Berta Esperanza Hernández-Truyol, </w:t>
        </w:r>
        <w:bookmarkStart w:id="0" w:name="dabmci_9c015ec34c894b9baac784770f039d14"/>
        <w:r w:rsidRPr="00C83BB2">
          <w:rPr>
            <w:rStyle w:val="Hyperlink"/>
            <w:rFonts w:ascii="Times New Roman" w:eastAsiaTheme="minorHAnsi" w:hAnsi="Times New Roman"/>
            <w:sz w:val="20"/>
            <w:szCs w:val="20"/>
          </w:rPr>
          <w:t>The Rule of Law and Human Rights, 16 Fla. J. Int’l L. 167, 175 (2004)</w:t>
        </w:r>
        <w:bookmarkEnd w:id="0"/>
      </w:hyperlink>
      <w:r w:rsidRPr="00C83BB2">
        <w:rPr>
          <w:rFonts w:ascii="Times New Roman" w:hAnsi="Times New Roman" w:cs="Times New Roman"/>
        </w:rPr>
        <w:t>.</w:t>
      </w:r>
    </w:p>
  </w:footnote>
  <w:footnote w:id="3">
    <w:p w14:paraId="147642FC" w14:textId="728EE496" w:rsidR="00BE7E84" w:rsidRPr="00C83BB2" w:rsidRDefault="00BE7E84">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hyperlink r:id="rId2" w:history="1">
        <w:r w:rsidRPr="00C83BB2">
          <w:rPr>
            <w:rStyle w:val="Hyperlink"/>
            <w:rFonts w:ascii="Times New Roman" w:eastAsiaTheme="minorHAnsi" w:hAnsi="Times New Roman"/>
            <w:sz w:val="20"/>
            <w:szCs w:val="20"/>
          </w:rPr>
          <w:t>https://www.americanbar.org/advocacy/rule_of_law/what-is-the-rule-of-law/</w:t>
        </w:r>
      </w:hyperlink>
      <w:r w:rsidRPr="00C83BB2">
        <w:rPr>
          <w:rFonts w:ascii="Times New Roman" w:hAnsi="Times New Roman" w:cs="Times New Roman"/>
        </w:rPr>
        <w:t xml:space="preserve">. </w:t>
      </w:r>
    </w:p>
  </w:footnote>
  <w:footnote w:id="4">
    <w:p w14:paraId="413FF589" w14:textId="247EF760" w:rsidR="00E90DAC" w:rsidRPr="00C83BB2" w:rsidRDefault="00E90DAC">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Donella H. Meadows, Thinking in Systems: A Primer 2 (2008).</w:t>
      </w:r>
    </w:p>
  </w:footnote>
  <w:footnote w:id="5">
    <w:p w14:paraId="17BCF811" w14:textId="771EB610" w:rsidR="00E90DAC" w:rsidRPr="00C83BB2" w:rsidRDefault="00E90DAC">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lang w:val="en-US"/>
        </w:rPr>
        <w:t xml:space="preserve">Id. </w:t>
      </w:r>
    </w:p>
  </w:footnote>
  <w:footnote w:id="6">
    <w:p w14:paraId="1FD1CB65" w14:textId="3019A112" w:rsidR="00BA147A" w:rsidRPr="00C83BB2" w:rsidRDefault="00BA147A">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Immanuel Wallerstein, World-Systems Analysis: An Introduction 98 (2004).</w:t>
      </w:r>
    </w:p>
  </w:footnote>
  <w:footnote w:id="7">
    <w:p w14:paraId="72E2784F" w14:textId="70FB446F" w:rsidR="001E1232" w:rsidRPr="00C83BB2" w:rsidRDefault="001E1232">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009F0657" w:rsidRPr="00C83BB2">
        <w:rPr>
          <w:rFonts w:ascii="Times New Roman" w:hAnsi="Times New Roman" w:cs="Times New Roman"/>
        </w:rPr>
        <w:t>Meadows, Thinking in Systems, at 89 (enfasis en el original).</w:t>
      </w:r>
    </w:p>
  </w:footnote>
  <w:footnote w:id="8">
    <w:p w14:paraId="12B30756" w14:textId="23A0E682" w:rsidR="0074065A" w:rsidRPr="00C83BB2" w:rsidRDefault="0074065A">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hyperlink r:id="rId3" w:tooltip="https://www.westlaw.com/Document/I9ef0f93136d811db8382aef8d8e33c97/View/FullText.html?transitionType=Default&amp;contextData=(sc.Default)&amp;VR=3.0&amp;RS=da3.0&amp;fragmentIdentifier=co_pp_sp_1111_522" w:history="1">
        <w:r w:rsidRPr="00C83BB2">
          <w:rPr>
            <w:rStyle w:val="Hyperlink"/>
            <w:rFonts w:ascii="Times New Roman" w:eastAsiaTheme="minorHAnsi" w:hAnsi="Times New Roman"/>
            <w:sz w:val="20"/>
            <w:szCs w:val="20"/>
          </w:rPr>
          <w:t xml:space="preserve">Lynn LoPucki, </w:t>
        </w:r>
        <w:bookmarkStart w:id="1" w:name="dabmci_6c8a2bbb27364eaa9a465ce3158fc3fc"/>
        <w:r w:rsidRPr="00C83BB2">
          <w:rPr>
            <w:rStyle w:val="Hyperlink"/>
            <w:rFonts w:ascii="Times New Roman" w:eastAsiaTheme="minorHAnsi" w:hAnsi="Times New Roman"/>
            <w:sz w:val="20"/>
            <w:szCs w:val="20"/>
          </w:rPr>
          <w:t>The Systems Approach to Law, 82 Cornell L. Rev. 479, 522 (1997)</w:t>
        </w:r>
        <w:bookmarkEnd w:id="1"/>
      </w:hyperlink>
      <w:r w:rsidRPr="00C83BB2">
        <w:rPr>
          <w:rFonts w:ascii="Times New Roman" w:hAnsi="Times New Roman" w:cs="Times New Roman"/>
        </w:rPr>
        <w:t>.</w:t>
      </w:r>
    </w:p>
  </w:footnote>
  <w:footnote w:id="9">
    <w:p w14:paraId="2BC77D36" w14:textId="681242EA" w:rsidR="00BE110A" w:rsidRPr="00C83BB2" w:rsidRDefault="00BE110A">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Black’s Law Dictionary, 2d ed.</w:t>
      </w:r>
    </w:p>
  </w:footnote>
  <w:footnote w:id="10">
    <w:p w14:paraId="5CEE29E7" w14:textId="0A1CD09F" w:rsidR="009F57B2" w:rsidRPr="00C83BB2" w:rsidRDefault="009F57B2">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hyperlink r:id="rId4" w:tooltip="https://www.westlaw.com/Document/I53ec73814b3011dba16d88fb847e95e5/View/FullText.html?transitionType=Default&amp;contextData=(sc.Default)&amp;VR=3.0&amp;RS=da3.0&amp;fragmentIdentifier=co_pp_sp_127507_112" w:history="1">
        <w:r w:rsidRPr="00C83BB2">
          <w:rPr>
            <w:rStyle w:val="Hyperlink"/>
            <w:rFonts w:ascii="Times New Roman" w:eastAsiaTheme="minorHAnsi" w:hAnsi="Times New Roman"/>
            <w:sz w:val="20"/>
            <w:szCs w:val="20"/>
          </w:rPr>
          <w:t xml:space="preserve">William P. Quigley, </w:t>
        </w:r>
        <w:bookmarkStart w:id="2" w:name="dabmci_576b59fec6c646029569ffbc45259aee"/>
        <w:r w:rsidRPr="00C83BB2">
          <w:rPr>
            <w:rStyle w:val="Hyperlink"/>
            <w:rFonts w:ascii="Times New Roman" w:eastAsiaTheme="minorHAnsi" w:hAnsi="Times New Roman"/>
            <w:sz w:val="20"/>
            <w:szCs w:val="20"/>
          </w:rPr>
          <w:t>Revolutionary Lawyering: Addressing the Root Causes of Poverty and Wealth, 20 Wash. U. J.L. &amp; Pol’y 101, 112 (2006)</w:t>
        </w:r>
        <w:bookmarkEnd w:id="2"/>
      </w:hyperlink>
      <w:r w:rsidRPr="00C83BB2">
        <w:rPr>
          <w:rFonts w:ascii="Times New Roman" w:hAnsi="Times New Roman" w:cs="Times New Roman"/>
        </w:rPr>
        <w:t>.</w:t>
      </w:r>
    </w:p>
  </w:footnote>
  <w:footnote w:id="11">
    <w:p w14:paraId="40F2144C" w14:textId="2D375A0C" w:rsidR="00F1632B" w:rsidRPr="00C83BB2" w:rsidRDefault="00F1632B">
      <w:pPr>
        <w:pStyle w:val="FootnoteText"/>
        <w:rPr>
          <w:rFonts w:ascii="Times New Roman" w:hAnsi="Times New Roman" w:cs="Times New Roman"/>
          <w:lang w:val="es-PR"/>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00C12CFA" w:rsidRPr="00C83BB2">
        <w:rPr>
          <w:rFonts w:ascii="Times New Roman" w:hAnsi="Times New Roman" w:cs="Times New Roman"/>
        </w:rPr>
        <w:t>Muchas de estas nociones también se valoran en tradiciones jurídicas no occidentales, aunque pueden tener significados, matices e implicaciones diferentes. En este caso, nos centramos en las características de los sistemas que han surgido de la colonización occidental y la globalización, o que se han visto afectados por ellas. Para un análisis de conceptos alternativos relacionados con la justicia y el derecho, véase Amartya Sen</w:t>
      </w:r>
      <w:r w:rsidRPr="00C83BB2">
        <w:rPr>
          <w:rFonts w:ascii="Times New Roman" w:hAnsi="Times New Roman" w:cs="Times New Roman"/>
        </w:rPr>
        <w:t>, The Idea of Justice (2009).</w:t>
      </w:r>
    </w:p>
  </w:footnote>
  <w:footnote w:id="12">
    <w:p w14:paraId="5BB17107" w14:textId="74B3FD3C" w:rsidR="00E4456B" w:rsidRPr="00C83BB2" w:rsidRDefault="00E4456B">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hyperlink r:id="rId5" w:tooltip="https://www.westlaw.com/Document/I333edad149e411dba16d88fb847e95e5/View/FullText.html?transitionType=Default&amp;contextData=(sc.Default)&amp;VR=3.0&amp;RS=da3.0&amp;fragmentIdentifier=co_pp_sp_101788_175" w:history="1">
        <w:r w:rsidRPr="00C83BB2">
          <w:rPr>
            <w:rStyle w:val="Hyperlink"/>
            <w:rFonts w:ascii="Times New Roman" w:eastAsiaTheme="minorHAnsi" w:hAnsi="Times New Roman"/>
            <w:sz w:val="20"/>
            <w:szCs w:val="20"/>
          </w:rPr>
          <w:t xml:space="preserve">Berta Esperanza Hernández-Truyol, </w:t>
        </w:r>
        <w:bookmarkStart w:id="3" w:name="dabmci_b8a39665f6a84185a62185e77c5a17e9"/>
        <w:r w:rsidRPr="00C83BB2">
          <w:rPr>
            <w:rStyle w:val="Hyperlink"/>
            <w:rFonts w:ascii="Times New Roman" w:eastAsiaTheme="minorHAnsi" w:hAnsi="Times New Roman"/>
            <w:sz w:val="20"/>
            <w:szCs w:val="20"/>
          </w:rPr>
          <w:t>The Rule of Law and Human Rights, 16 Fla. J. Int’l L. 167, 175 (2004)</w:t>
        </w:r>
        <w:bookmarkEnd w:id="3"/>
      </w:hyperlink>
      <w:r w:rsidRPr="00C83BB2">
        <w:rPr>
          <w:rFonts w:ascii="Times New Roman" w:hAnsi="Times New Roman" w:cs="Times New Roman"/>
        </w:rPr>
        <w:t>.</w:t>
      </w:r>
    </w:p>
  </w:footnote>
  <w:footnote w:id="13">
    <w:p w14:paraId="352B768D" w14:textId="7344B7A2" w:rsidR="00D5068D" w:rsidRPr="00C83BB2" w:rsidRDefault="00D5068D">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Para más información, véase </w:t>
      </w:r>
      <w:r w:rsidRPr="00C83BB2">
        <w:rPr>
          <w:rFonts w:ascii="Times New Roman" w:hAnsi="Times New Roman" w:cs="Times New Roman"/>
        </w:rPr>
        <w:fldChar w:fldCharType="begin"/>
      </w:r>
      <w:r w:rsidRPr="00C83BB2">
        <w:rPr>
          <w:rFonts w:ascii="Times New Roman" w:hAnsi="Times New Roman" w:cs="Times New Roman"/>
        </w:rPr>
        <w:instrText xml:space="preserve"> TA \l "Bown, Stephen R., Merchant Kings: When Companies Ruled the World, 1600–1900 (2010)" \s "Stephen R. Bown, Merchant Kings: When Companies Ruled the World, 1600–1900 (2010)" \c 13 </w:instrText>
      </w:r>
      <w:r w:rsidRPr="00C83BB2">
        <w:rPr>
          <w:rFonts w:ascii="Times New Roman" w:hAnsi="Times New Roman" w:cs="Times New Roman"/>
        </w:rPr>
        <w:fldChar w:fldCharType="end"/>
      </w:r>
      <w:r w:rsidRPr="00C83BB2">
        <w:rPr>
          <w:rFonts w:ascii="Times New Roman" w:hAnsi="Times New Roman" w:cs="Times New Roman"/>
        </w:rPr>
        <w:t xml:space="preserve">Stephen R. Bown, Merchant Kings: When Companies Ruled the World, 1600–1900 (2010); </w:t>
      </w:r>
      <w:r w:rsidRPr="00C83BB2">
        <w:rPr>
          <w:rFonts w:ascii="Times New Roman" w:hAnsi="Times New Roman" w:cs="Times New Roman"/>
        </w:rPr>
        <w:fldChar w:fldCharType="begin"/>
      </w:r>
      <w:r w:rsidRPr="00C83BB2">
        <w:rPr>
          <w:rFonts w:ascii="Times New Roman" w:hAnsi="Times New Roman" w:cs="Times New Roman"/>
        </w:rPr>
        <w:instrText xml:space="preserve"> TA \l "Robins, Nick, The Corporation that Changed the World: How the East India Company Shaped the Modern Multinational (2012)" \s "Nick Robins, The Corporation that Changed the World: How the East India Company Shaped the Modern Multinational (2012)" \c 13 </w:instrText>
      </w:r>
      <w:r w:rsidRPr="00C83BB2">
        <w:rPr>
          <w:rFonts w:ascii="Times New Roman" w:hAnsi="Times New Roman" w:cs="Times New Roman"/>
        </w:rPr>
        <w:fldChar w:fldCharType="end"/>
      </w:r>
      <w:r w:rsidRPr="00C83BB2">
        <w:rPr>
          <w:rFonts w:ascii="Times New Roman" w:hAnsi="Times New Roman" w:cs="Times New Roman"/>
        </w:rPr>
        <w:t xml:space="preserve">Nick Robins, The Corporation that Changed the World: How the East India Company Shaped the Modern Multinational (2012); </w:t>
      </w:r>
      <w:r w:rsidRPr="00C83BB2">
        <w:rPr>
          <w:rFonts w:ascii="Times New Roman" w:hAnsi="Times New Roman" w:cs="Times New Roman"/>
        </w:rPr>
        <w:fldChar w:fldCharType="begin"/>
      </w:r>
      <w:r w:rsidRPr="00C83BB2">
        <w:rPr>
          <w:rFonts w:ascii="Times New Roman" w:hAnsi="Times New Roman" w:cs="Times New Roman"/>
        </w:rPr>
        <w:instrText xml:space="preserve"> TA \l "The Dutch and English East India Companies: Diplomacy, Trade, and Violence in Early Modern Asia (Adam Clulow &amp; Tristan Mostert eds. 2018)" \s "The Dutch and English East India Companies: Diplomacy, Trade, and Violence in Early Modern Asia (Adam Clulow &amp; Tristan Mostert eds. 2018)" \c 13 </w:instrText>
      </w:r>
      <w:r w:rsidRPr="00C83BB2">
        <w:rPr>
          <w:rFonts w:ascii="Times New Roman" w:hAnsi="Times New Roman" w:cs="Times New Roman"/>
        </w:rPr>
        <w:fldChar w:fldCharType="end"/>
      </w:r>
      <w:r w:rsidRPr="00C83BB2">
        <w:rPr>
          <w:rFonts w:ascii="Times New Roman" w:hAnsi="Times New Roman" w:cs="Times New Roman"/>
        </w:rPr>
        <w:t>The Dutch and English East India Companies: Diplomacy, Trade, and Violence in Early Modern Asia (Adam Clulow &amp; Tristan Mostert eds. 2018).</w:t>
      </w:r>
    </w:p>
  </w:footnote>
  <w:footnote w:id="14">
    <w:p w14:paraId="3D81D54F" w14:textId="00A43D99" w:rsidR="00D44189" w:rsidRPr="00C83BB2" w:rsidRDefault="00D44189">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hyperlink r:id="rId6" w:history="1">
        <w:r w:rsidRPr="00C83BB2">
          <w:rPr>
            <w:rStyle w:val="Hyperlink"/>
            <w:rFonts w:ascii="Times New Roman" w:eastAsiaTheme="minorHAnsi" w:hAnsi="Times New Roman"/>
            <w:sz w:val="20"/>
            <w:szCs w:val="20"/>
          </w:rPr>
          <w:t>https://www.fbi.gov/news/testimony/worldwide-threats-to-the-homeland-091720</w:t>
        </w:r>
      </w:hyperlink>
      <w:r w:rsidRPr="00C83BB2">
        <w:rPr>
          <w:rFonts w:ascii="Times New Roman" w:hAnsi="Times New Roman" w:cs="Times New Roman"/>
        </w:rPr>
        <w:t xml:space="preserve">; </w:t>
      </w:r>
      <w:r w:rsidRPr="00C83BB2">
        <w:rPr>
          <w:rFonts w:ascii="Times New Roman" w:hAnsi="Times New Roman" w:cs="Times New Roman"/>
        </w:rPr>
        <w:fldChar w:fldCharType="begin"/>
      </w:r>
      <w:r w:rsidRPr="00C83BB2">
        <w:rPr>
          <w:rFonts w:ascii="Times New Roman" w:hAnsi="Times New Roman" w:cs="Times New Roman"/>
        </w:rPr>
        <w:instrText>HYPERLINK "https://www.facebook.com/TheHill/posts/within-the-domestic-terrorism-bucket-the-category-as-a-whole-racially-motivated-/10158810007549087/"</w:instrText>
      </w:r>
      <w:r w:rsidRPr="00C83BB2">
        <w:rPr>
          <w:rFonts w:ascii="Times New Roman" w:hAnsi="Times New Roman" w:cs="Times New Roman"/>
        </w:rPr>
      </w:r>
      <w:r w:rsidRPr="00C83BB2">
        <w:rPr>
          <w:rFonts w:ascii="Times New Roman" w:hAnsi="Times New Roman" w:cs="Times New Roman"/>
        </w:rPr>
        <w:fldChar w:fldCharType="separate"/>
      </w:r>
      <w:r w:rsidRPr="00C83BB2">
        <w:rPr>
          <w:rStyle w:val="Hyperlink"/>
          <w:rFonts w:ascii="Times New Roman" w:eastAsiaTheme="minorHAnsi" w:hAnsi="Times New Roman"/>
          <w:sz w:val="20"/>
          <w:szCs w:val="20"/>
        </w:rPr>
        <w:t>https://‌www.facebook.com/TheHill/posts/within-the-domestic-terrorism-bucket-the-category-as-a-whole-racially-motivated-/10158810007549087/</w:t>
      </w:r>
      <w:r w:rsidRPr="00C83BB2">
        <w:rPr>
          <w:rFonts w:ascii="Times New Roman" w:hAnsi="Times New Roman" w:cs="Times New Roman"/>
        </w:rPr>
        <w:fldChar w:fldCharType="end"/>
      </w:r>
      <w:r w:rsidRPr="00C83BB2">
        <w:rPr>
          <w:rFonts w:ascii="Times New Roman" w:hAnsi="Times New Roman" w:cs="Times New Roman"/>
        </w:rPr>
        <w:t>.</w:t>
      </w:r>
    </w:p>
  </w:footnote>
  <w:footnote w:id="15">
    <w:p w14:paraId="5859AF6F" w14:textId="1AAD3B86" w:rsidR="0015347E" w:rsidRPr="00C83BB2" w:rsidRDefault="0015347E">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hyperlink r:id="rId7" w:history="1">
        <w:r w:rsidRPr="00C83BB2">
          <w:rPr>
            <w:rStyle w:val="Hyperlink"/>
            <w:rFonts w:ascii="Times New Roman" w:eastAsiaTheme="minorHAnsi" w:hAnsi="Times New Roman"/>
            <w:sz w:val="20"/>
            <w:szCs w:val="20"/>
          </w:rPr>
          <w:t>https://www.whitehouse.gov/briefing-room/speeches-remarks/2021/01/20/inaugural-address-by-president-joseph-r-biden-jr/</w:t>
        </w:r>
      </w:hyperlink>
      <w:r w:rsidRPr="00C83BB2">
        <w:rPr>
          <w:rFonts w:ascii="Times New Roman" w:hAnsi="Times New Roman" w:cs="Times New Roman"/>
        </w:rPr>
        <w:t>.</w:t>
      </w:r>
    </w:p>
  </w:footnote>
  <w:footnote w:id="16">
    <w:p w14:paraId="701ED68B" w14:textId="7E525A5A" w:rsidR="001476AB" w:rsidRPr="00C83BB2" w:rsidRDefault="001476AB">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Angela Mae Kupenda, Will the South Rise Again and, If So, in What Form? Lessons from LatCrit About Resisting Fear of Cultural Understanding, 47 J. Marshall L. Rev. 1211, 1221 (2014).</w:t>
      </w:r>
    </w:p>
  </w:footnote>
  <w:footnote w:id="17">
    <w:p w14:paraId="5CBDE6B7" w14:textId="1165831B" w:rsidR="00D1494B" w:rsidRPr="00C83BB2" w:rsidRDefault="00D1494B">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Roxanne Dunbar-Ortiz, Stop Saying This is a Nation of Immigrants!, Resisting Colonialism, Colours of Resistance Archive, </w:t>
      </w:r>
      <w:r w:rsidRPr="00C83BB2">
        <w:rPr>
          <w:rFonts w:ascii="Times New Roman" w:hAnsi="Times New Roman" w:cs="Times New Roman"/>
        </w:rPr>
        <w:fldChar w:fldCharType="begin"/>
      </w:r>
      <w:r w:rsidRPr="00C83BB2">
        <w:rPr>
          <w:rFonts w:ascii="Times New Roman" w:hAnsi="Times New Roman" w:cs="Times New Roman"/>
        </w:rPr>
        <w:instrText>HYPERLINK "http://www.coloursofresistance.org/334/stop-saying-this-is-a-nation-of-immigrants-2/"</w:instrText>
      </w:r>
      <w:r w:rsidRPr="00C83BB2">
        <w:rPr>
          <w:rFonts w:ascii="Times New Roman" w:hAnsi="Times New Roman" w:cs="Times New Roman"/>
        </w:rPr>
      </w:r>
      <w:r w:rsidRPr="00C83BB2">
        <w:rPr>
          <w:rFonts w:ascii="Times New Roman" w:hAnsi="Times New Roman" w:cs="Times New Roman"/>
        </w:rPr>
        <w:fldChar w:fldCharType="separate"/>
      </w:r>
      <w:r w:rsidRPr="00C83BB2">
        <w:rPr>
          <w:rStyle w:val="Hyperlink"/>
          <w:rFonts w:ascii="Times New Roman" w:eastAsiaTheme="minorHAnsi" w:hAnsi="Times New Roman"/>
          <w:sz w:val="20"/>
          <w:szCs w:val="20"/>
        </w:rPr>
        <w:t>www.coloursofresistance.org/334/stop-saying-this-is-a-nation-of-immigrants-2/</w:t>
      </w:r>
      <w:r w:rsidRPr="00C83BB2">
        <w:rPr>
          <w:rFonts w:ascii="Times New Roman" w:hAnsi="Times New Roman" w:cs="Times New Roman"/>
        </w:rPr>
        <w:fldChar w:fldCharType="end"/>
      </w:r>
      <w:r w:rsidRPr="00C83BB2">
        <w:rPr>
          <w:rFonts w:ascii="Times New Roman" w:hAnsi="Times New Roman" w:cs="Times New Roman"/>
        </w:rPr>
        <w:t>.</w:t>
      </w:r>
    </w:p>
  </w:footnote>
  <w:footnote w:id="18">
    <w:p w14:paraId="28B518D9" w14:textId="2E76E5A2" w:rsidR="00B05527" w:rsidRPr="00C83BB2" w:rsidRDefault="00B05527">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proofErr w:type="spellStart"/>
      <w:r w:rsidRPr="00C83BB2">
        <w:rPr>
          <w:rFonts w:ascii="Times New Roman" w:hAnsi="Times New Roman" w:cs="Times New Roman"/>
          <w:lang w:val="en-US"/>
        </w:rPr>
        <w:t>Véase</w:t>
      </w:r>
      <w:proofErr w:type="spellEnd"/>
      <w:r w:rsidRPr="00C83BB2">
        <w:rPr>
          <w:rFonts w:ascii="Times New Roman" w:hAnsi="Times New Roman" w:cs="Times New Roman"/>
          <w:lang w:val="en-US"/>
        </w:rPr>
        <w:t xml:space="preserve"> Sally Engle Merry, Law and Colonialism, 25 Law &amp; Soc’y Rev. 889 (1991).</w:t>
      </w:r>
    </w:p>
  </w:footnote>
  <w:footnote w:id="19">
    <w:p w14:paraId="60ED64B1" w14:textId="06C6D372" w:rsidR="00CF0B95" w:rsidRPr="00C83BB2" w:rsidRDefault="00CF0B95">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Charles W. Mills, The Racial Contract (1997).</w:t>
      </w:r>
    </w:p>
  </w:footnote>
  <w:footnote w:id="20">
    <w:p w14:paraId="3ADFDAC1" w14:textId="77F02EA8" w:rsidR="000C5D6A" w:rsidRPr="00C83BB2" w:rsidRDefault="000C5D6A">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Adam Brewer, The Coronavirus Was an Emergency Until Trump Found Out Who was Dying, The Atlantic, (May 8, 2020).</w:t>
      </w:r>
    </w:p>
  </w:footnote>
  <w:footnote w:id="21">
    <w:p w14:paraId="2EA893FF" w14:textId="466CBB9E" w:rsidR="00373662" w:rsidRPr="00C83BB2" w:rsidRDefault="00373662">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Philomena Essed and Sara Louise Muhr, Entitlement Racism and Its Intersections: An Interview with Philomena Essed, Social Justice Scholar, 18 Ephemera: Theory and Politics in Organization 183 (2018).</w:t>
      </w:r>
    </w:p>
  </w:footnote>
  <w:footnote w:id="22">
    <w:p w14:paraId="4085C773" w14:textId="44BF94C1" w:rsidR="00556859" w:rsidRPr="00C83BB2" w:rsidRDefault="00556859">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hyperlink r:id="rId8" w:tooltip="https://www.westlaw.com/Document/I765536914b0411db99a18fc28eb0d9ae/View/FullText.html?transitionType=Default&amp;contextData=(sc.Default)&amp;VR=3.0&amp;RS=da3.0&amp;fragmentIdentifier=co_pp_sp_1268_358%2c+407" w:history="1">
        <w:r w:rsidRPr="00C83BB2">
          <w:rPr>
            <w:rStyle w:val="Hyperlink"/>
            <w:rFonts w:ascii="Times New Roman" w:eastAsiaTheme="minorHAnsi" w:hAnsi="Times New Roman"/>
            <w:sz w:val="20"/>
            <w:szCs w:val="20"/>
          </w:rPr>
          <w:t xml:space="preserve">Fran Ansley, </w:t>
        </w:r>
        <w:bookmarkStart w:id="4" w:name="dabmci_d9bafaf4d86a443c95977220b27db46d"/>
        <w:r w:rsidRPr="00C83BB2">
          <w:rPr>
            <w:rStyle w:val="Hyperlink"/>
            <w:rFonts w:ascii="Times New Roman" w:eastAsiaTheme="minorHAnsi" w:hAnsi="Times New Roman"/>
            <w:sz w:val="20"/>
            <w:szCs w:val="20"/>
          </w:rPr>
          <w:t>Inclusive Boundaries and Other (Im)possible Paths Toward Community Development in a Global World, 150 U. Pa. L. Rev. 353, 358, 407–08 (2001)</w:t>
        </w:r>
        <w:bookmarkEnd w:id="4"/>
      </w:hyperlink>
      <w:r w:rsidRPr="00C83BB2">
        <w:rPr>
          <w:rFonts w:ascii="Times New Roman" w:hAnsi="Times New Roman" w:cs="Times New Roman"/>
        </w:rPr>
        <w:t>.</w:t>
      </w:r>
    </w:p>
  </w:footnote>
  <w:footnote w:id="23">
    <w:p w14:paraId="3DB1A28A" w14:textId="25E4F3A8" w:rsidR="00947DF5" w:rsidRPr="00C83BB2" w:rsidRDefault="00947DF5">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hyperlink r:id="rId9" w:history="1">
        <w:r w:rsidRPr="00C83BB2">
          <w:rPr>
            <w:rStyle w:val="Hyperlink"/>
            <w:rFonts w:ascii="Times New Roman" w:eastAsiaTheme="minorHAnsi" w:hAnsi="Times New Roman"/>
            <w:sz w:val="20"/>
            <w:szCs w:val="20"/>
          </w:rPr>
          <w:t>https://www.loc.gov/rr/program/bib/ourdocs/monroe.html</w:t>
        </w:r>
      </w:hyperlink>
      <w:r w:rsidRPr="00C83BB2">
        <w:rPr>
          <w:rFonts w:ascii="Times New Roman" w:hAnsi="Times New Roman" w:cs="Times New Roman"/>
        </w:rPr>
        <w:t>.</w:t>
      </w:r>
    </w:p>
  </w:footnote>
  <w:footnote w:id="24">
    <w:p w14:paraId="60967DBC" w14:textId="026C4AE3" w:rsidR="00764AD8" w:rsidRPr="00C83BB2" w:rsidRDefault="00764AD8">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Steven W. Bender, How the West Was Juan: Reimagining the U.S.-Mexico Border (2017).</w:t>
      </w:r>
    </w:p>
  </w:footnote>
  <w:footnote w:id="25">
    <w:p w14:paraId="18E765DE" w14:textId="50CE5FE1" w:rsidR="009D746D" w:rsidRPr="00C83BB2" w:rsidRDefault="009D746D">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Véase </w:t>
      </w:r>
      <w:r w:rsidRPr="00C83BB2">
        <w:rPr>
          <w:rFonts w:ascii="Times New Roman" w:hAnsi="Times New Roman" w:cs="Times New Roman"/>
        </w:rPr>
        <w:fldChar w:fldCharType="begin"/>
      </w:r>
      <w:r w:rsidRPr="00C83BB2">
        <w:rPr>
          <w:rFonts w:ascii="Times New Roman" w:hAnsi="Times New Roman" w:cs="Times New Roman"/>
        </w:rPr>
        <w:instrText xml:space="preserve"> TA \l "Bender, Steven W., Tierra y Libertad: Land, Liberty, and Latino Housing ch. 2 (2010)" \s "Steven W. Bender, Tierra y Libertad: Land, Liberty, and Latino Housing ch. 2 (2010)" \c 13 </w:instrText>
      </w:r>
      <w:r w:rsidRPr="00C83BB2">
        <w:rPr>
          <w:rFonts w:ascii="Times New Roman" w:hAnsi="Times New Roman" w:cs="Times New Roman"/>
        </w:rPr>
        <w:fldChar w:fldCharType="end"/>
      </w:r>
      <w:r w:rsidRPr="00C83BB2">
        <w:rPr>
          <w:rFonts w:ascii="Times New Roman" w:hAnsi="Times New Roman" w:cs="Times New Roman"/>
        </w:rPr>
        <w:t>Steven W. Bender, Tierra y Libertad: Land, Liberty, and Latino Housing ch. 2 (2010).</w:t>
      </w:r>
    </w:p>
  </w:footnote>
  <w:footnote w:id="26">
    <w:p w14:paraId="364CFD9B" w14:textId="4A8B5DB6" w:rsidR="00024186" w:rsidRPr="00C83BB2" w:rsidRDefault="00024186">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Christopher David Ruiz Cameron, One Hundred Fifty Years of Solitude: Reflections on the End of the History Academy’s Dominance of Scholarship on the Treaty of Guadalupe Hidalgo, 5 Sw. J.L. &amp; Trade in the Americas 83, 97–98 (1998).</w:t>
      </w:r>
    </w:p>
  </w:footnote>
  <w:footnote w:id="27">
    <w:p w14:paraId="031CD376" w14:textId="64F10CAD" w:rsidR="00C35C83" w:rsidRPr="00C83BB2" w:rsidRDefault="00C35C83">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Scott Nearing and Joseph Freeman, Dollar Diplomacy 261–62 (1925).</w:t>
      </w:r>
    </w:p>
  </w:footnote>
  <w:footnote w:id="28">
    <w:p w14:paraId="4163616F" w14:textId="4778428A" w:rsidR="00AF5450" w:rsidRPr="00C83BB2" w:rsidRDefault="00AF5450">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Charles R. Venator Santiago, From the Insular Cases to Camp X-Ray, 39 Studies in Law, Politics and Society 15 (2006).</w:t>
      </w:r>
    </w:p>
  </w:footnote>
  <w:footnote w:id="29">
    <w:p w14:paraId="2065B22F" w14:textId="0658918F" w:rsidR="00155EFD" w:rsidRPr="00C83BB2" w:rsidRDefault="00155EFD">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Francis Rubin Weston, Racism in U.S. Imperialism (1972).</w:t>
      </w:r>
    </w:p>
  </w:footnote>
  <w:footnote w:id="30">
    <w:p w14:paraId="5EDE18D7" w14:textId="2F09C25F" w:rsidR="00B05C4A" w:rsidRPr="00C83BB2" w:rsidRDefault="00B05C4A">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Nearing and Freeman, Dollar Diplomacy, at xiv.</w:t>
      </w:r>
    </w:p>
  </w:footnote>
  <w:footnote w:id="31">
    <w:p w14:paraId="0AF55554" w14:textId="02FFE827" w:rsidR="0015208B" w:rsidRPr="00C83BB2" w:rsidRDefault="0015208B">
      <w:pPr>
        <w:pStyle w:val="FootnoteText"/>
        <w:rPr>
          <w:rFonts w:ascii="Times New Roman" w:hAnsi="Times New Roman" w:cs="Times New Roman"/>
          <w:i/>
          <w:iCs/>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i/>
          <w:iCs/>
          <w:lang w:val="en-US"/>
        </w:rPr>
        <w:t>Id.</w:t>
      </w:r>
    </w:p>
  </w:footnote>
  <w:footnote w:id="32">
    <w:p w14:paraId="6BE5EBC9" w14:textId="4FD3FE7E" w:rsidR="006C7616" w:rsidRPr="00C83BB2" w:rsidRDefault="006C7616">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Véase </w:t>
      </w:r>
      <w:r w:rsidRPr="00C83BB2">
        <w:rPr>
          <w:rFonts w:ascii="Times New Roman" w:hAnsi="Times New Roman" w:cs="Times New Roman"/>
        </w:rPr>
        <w:fldChar w:fldCharType="begin"/>
      </w:r>
      <w:r w:rsidRPr="00C83BB2">
        <w:rPr>
          <w:rFonts w:ascii="Times New Roman" w:hAnsi="Times New Roman" w:cs="Times New Roman"/>
        </w:rPr>
        <w:instrText xml:space="preserve"> TA \l "Chapman, Peter, Bananas: How the United Fruit Company Shaped the World 197 (2007)" \s "Peter Chapman, Bananas: How the United Fruit Company Shaped the World 197 (2007)" \c 13 </w:instrText>
      </w:r>
      <w:r w:rsidRPr="00C83BB2">
        <w:rPr>
          <w:rFonts w:ascii="Times New Roman" w:hAnsi="Times New Roman" w:cs="Times New Roman"/>
        </w:rPr>
        <w:fldChar w:fldCharType="end"/>
      </w:r>
      <w:r w:rsidRPr="00C83BB2">
        <w:rPr>
          <w:rFonts w:ascii="Times New Roman" w:hAnsi="Times New Roman" w:cs="Times New Roman"/>
        </w:rPr>
        <w:t>Peter Chapman, Bananas: How the United Fruit Company Shaped the World 197 (2007).</w:t>
      </w:r>
    </w:p>
  </w:footnote>
  <w:footnote w:id="33">
    <w:p w14:paraId="4249ED90" w14:textId="690D94F1" w:rsidR="003B37FD" w:rsidRPr="00C83BB2" w:rsidRDefault="003B37FD">
      <w:pPr>
        <w:pStyle w:val="FootnoteText"/>
        <w:rPr>
          <w:rFonts w:ascii="Times New Roman" w:hAnsi="Times New Roman" w:cs="Times New Roman"/>
          <w:lang w:val="es-PR"/>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i/>
        </w:rPr>
        <w:t>Id.</w:t>
      </w:r>
      <w:r w:rsidRPr="00C83BB2">
        <w:rPr>
          <w:rFonts w:ascii="Times New Roman" w:hAnsi="Times New Roman" w:cs="Times New Roman"/>
        </w:rPr>
        <w:t xml:space="preserve"> at 203–06.</w:t>
      </w:r>
    </w:p>
  </w:footnote>
  <w:footnote w:id="34">
    <w:p w14:paraId="574E2BDD" w14:textId="244A08A6" w:rsidR="00EE43F9" w:rsidRPr="00C83BB2" w:rsidRDefault="00EE43F9">
      <w:pPr>
        <w:pStyle w:val="FootnoteText"/>
        <w:rPr>
          <w:rFonts w:ascii="Times New Roman" w:hAnsi="Times New Roman" w:cs="Times New Roman"/>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Por ejemplo, tanto el Imperio neerlandés como el inglés crearon “compañías mercantiles” monopolísticas para maximizar los beneficios del colonialismo en la India y el Pacífico Sur.</w:t>
      </w:r>
    </w:p>
  </w:footnote>
  <w:footnote w:id="35">
    <w:p w14:paraId="7B5E1AD8" w14:textId="0CCC4780" w:rsidR="002D6A7C" w:rsidRPr="00C83BB2" w:rsidRDefault="002D6A7C">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hyperlink r:id="rId10" w:tooltip="https://www.westlaw.com/Document/Ie82655b8860c11df9b8c850332338889/View/FullText.html?transitionType=Default&amp;contextData=(sc.Default)&amp;VR=3.0&amp;RS=da3.0&amp;fragmentIdentifier=co_pp_sp_1464_87" w:history="1">
        <w:r w:rsidRPr="00C83BB2">
          <w:rPr>
            <w:rStyle w:val="Hyperlink"/>
            <w:rFonts w:ascii="Times New Roman" w:eastAsiaTheme="minorHAnsi" w:hAnsi="Times New Roman"/>
            <w:sz w:val="20"/>
            <w:szCs w:val="20"/>
          </w:rPr>
          <w:t xml:space="preserve">Trina Jones, </w:t>
        </w:r>
        <w:bookmarkStart w:id="5" w:name="dabmci_2c620daa5fbb4766ab5e61429c2931a4"/>
        <w:r w:rsidRPr="00C83BB2">
          <w:rPr>
            <w:rStyle w:val="Hyperlink"/>
            <w:rFonts w:ascii="Times New Roman" w:eastAsiaTheme="minorHAnsi" w:hAnsi="Times New Roman"/>
            <w:sz w:val="20"/>
            <w:szCs w:val="20"/>
          </w:rPr>
          <w:t>Race, Economic Class, and Employment Opportunity, 72 Law &amp; Contemp. Probs. 57, 87 (2009)</w:t>
        </w:r>
        <w:bookmarkEnd w:id="5"/>
      </w:hyperlink>
    </w:p>
  </w:footnote>
  <w:footnote w:id="36">
    <w:p w14:paraId="5717E680" w14:textId="3525A156" w:rsidR="00812088" w:rsidRPr="00C83BB2" w:rsidRDefault="00812088">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Molly Roberts, Stop Blaming White Supremacy on “Identity Politics,” Wash. Post (Aug. 14, 2017).</w:t>
      </w:r>
    </w:p>
  </w:footnote>
  <w:footnote w:id="37">
    <w:p w14:paraId="5773B11E" w14:textId="16A03086" w:rsidR="0062376C" w:rsidRPr="00C83BB2" w:rsidRDefault="0062376C">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Váse </w:t>
      </w:r>
      <w:r w:rsidRPr="00C83BB2">
        <w:rPr>
          <w:rFonts w:ascii="Times New Roman" w:hAnsi="Times New Roman" w:cs="Times New Roman"/>
        </w:rPr>
        <w:fldChar w:fldCharType="begin"/>
      </w:r>
      <w:r w:rsidRPr="00C83BB2">
        <w:rPr>
          <w:rFonts w:ascii="Times New Roman" w:hAnsi="Times New Roman" w:cs="Times New Roman"/>
        </w:rPr>
        <w:instrText xml:space="preserve"> TA \l "Schlesinger, Stephen and Stephen Kinzer, Bitter Fruit: The Story of the American Coup in Guatemala (rev. ed. 2005)" \s "Stephen Schlesinger and Stephen Kinzer, Bitter Fruit: The Story of the American Coup in Guatemala (rev. ed. 2005)" \c 13 </w:instrText>
      </w:r>
      <w:r w:rsidRPr="00C83BB2">
        <w:rPr>
          <w:rFonts w:ascii="Times New Roman" w:hAnsi="Times New Roman" w:cs="Times New Roman"/>
        </w:rPr>
        <w:fldChar w:fldCharType="end"/>
      </w:r>
      <w:r w:rsidRPr="00C83BB2">
        <w:rPr>
          <w:rFonts w:ascii="Times New Roman" w:hAnsi="Times New Roman" w:cs="Times New Roman"/>
        </w:rPr>
        <w:t>Stephen Schlesinger &amp; Stephen Kinzer, Bitter Fruit: The Story of the American Coup in Guatemala (rev. ed. 2005).</w:t>
      </w:r>
    </w:p>
  </w:footnote>
  <w:footnote w:id="38">
    <w:p w14:paraId="3C53C84D" w14:textId="15A05D69" w:rsidR="000E72AA" w:rsidRPr="00C83BB2" w:rsidRDefault="000E72AA">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hyperlink r:id="rId11" w:tooltip="https://www.westlaw.com/Document/Ide32f56366f611e9adfea82903531a62/View/FullText.html?transitionType=Default&amp;contextData=(sc.Default)&amp;VR=3.0&amp;RS=da3.0" w:history="1">
        <w:r w:rsidRPr="00C83BB2">
          <w:rPr>
            <w:rStyle w:val="Hyperlink"/>
            <w:rFonts w:ascii="Times New Roman" w:eastAsiaTheme="minorHAnsi" w:hAnsi="Times New Roman"/>
            <w:sz w:val="20"/>
            <w:szCs w:val="20"/>
          </w:rPr>
          <w:t xml:space="preserve">Stephen R. Munzer, </w:t>
        </w:r>
        <w:bookmarkStart w:id="6" w:name="dabmci_8c4d8b7243114e5799416e1bc343223b"/>
        <w:r w:rsidRPr="00C83BB2">
          <w:rPr>
            <w:rStyle w:val="Hyperlink"/>
            <w:rFonts w:ascii="Times New Roman" w:eastAsiaTheme="minorHAnsi" w:hAnsi="Times New Roman"/>
            <w:sz w:val="20"/>
            <w:szCs w:val="20"/>
          </w:rPr>
          <w:t>Dam(n) Displacement: Compensation, Resettlement, and Indigeneity, 51 Cornell Int’l L.J. 823 (2019)</w:t>
        </w:r>
        <w:bookmarkEnd w:id="6"/>
      </w:hyperlink>
      <w:r w:rsidRPr="00C83BB2">
        <w:rPr>
          <w:rFonts w:ascii="Times New Roman" w:hAnsi="Times New Roman" w:cs="Times New Roman"/>
        </w:rPr>
        <w:t>.</w:t>
      </w:r>
    </w:p>
  </w:footnote>
  <w:footnote w:id="39">
    <w:p w14:paraId="7CEC1601" w14:textId="156BBC03" w:rsidR="00DA32AA" w:rsidRPr="00C83BB2" w:rsidRDefault="00DA32AA">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Nick Dearden, Generating Terror: The Role of International Financial Institutions in Sustaining Guatemala’s Genocidal Regimes, Jubilee Debt Campaign 3–4 (Dec. </w:t>
      </w:r>
      <w:r w:rsidRPr="00C83BB2">
        <w:rPr>
          <w:rFonts w:ascii="Times New Roman" w:hAnsi="Times New Roman" w:cs="Times New Roman"/>
        </w:rPr>
        <w:t xml:space="preserve">2012), </w:t>
      </w:r>
      <w:r w:rsidRPr="00C83BB2">
        <w:rPr>
          <w:rFonts w:ascii="Times New Roman" w:hAnsi="Times New Roman" w:cs="Times New Roman"/>
        </w:rPr>
        <w:fldChar w:fldCharType="begin"/>
      </w:r>
      <w:r w:rsidRPr="00C83BB2">
        <w:rPr>
          <w:rFonts w:ascii="Times New Roman" w:hAnsi="Times New Roman" w:cs="Times New Roman"/>
        </w:rPr>
        <w:instrText>HYPERLINK "http://www.jubileedebt.org.uk/wp-content/uploads/2012/12/Generating-terror.pdf"</w:instrText>
      </w:r>
      <w:r w:rsidRPr="00C83BB2">
        <w:rPr>
          <w:rFonts w:ascii="Times New Roman" w:hAnsi="Times New Roman" w:cs="Times New Roman"/>
        </w:rPr>
      </w:r>
      <w:r w:rsidRPr="00C83BB2">
        <w:rPr>
          <w:rFonts w:ascii="Times New Roman" w:hAnsi="Times New Roman" w:cs="Times New Roman"/>
        </w:rPr>
        <w:fldChar w:fldCharType="separate"/>
      </w:r>
      <w:r w:rsidRPr="00C83BB2">
        <w:rPr>
          <w:rStyle w:val="Hyperlink"/>
          <w:rFonts w:ascii="Times New Roman" w:eastAsiaTheme="minorHAnsi" w:hAnsi="Times New Roman"/>
          <w:sz w:val="20"/>
          <w:szCs w:val="20"/>
        </w:rPr>
        <w:t>www.‌jubileedebt.org.uk/wp-content/uploads/2012/12/Generating-terror.pdf</w:t>
      </w:r>
      <w:r w:rsidRPr="00C83BB2">
        <w:rPr>
          <w:rFonts w:ascii="Times New Roman" w:hAnsi="Times New Roman" w:cs="Times New Roman"/>
        </w:rPr>
        <w:fldChar w:fldCharType="end"/>
      </w:r>
      <w:r w:rsidRPr="00C83BB2">
        <w:rPr>
          <w:rFonts w:ascii="Times New Roman" w:hAnsi="Times New Roman" w:cs="Times New Roman"/>
        </w:rPr>
        <w:t>.</w:t>
      </w:r>
    </w:p>
  </w:footnote>
  <w:footnote w:id="40">
    <w:p w14:paraId="2692198F" w14:textId="4FE61F83" w:rsidR="00B2478D" w:rsidRPr="00C83BB2" w:rsidRDefault="00B2478D">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00EC2655" w:rsidRPr="00C83BB2">
        <w:rPr>
          <w:rFonts w:ascii="Times New Roman" w:hAnsi="Times New Roman" w:cs="Times New Roman"/>
        </w:rPr>
        <w:t>Véase LatCrit Symposium, Countering Kulturkampf Politics through Critique and Justice Pedagogy, 50 Vill. L. Rev. 749 (2005), 35 Seton Hall L. Rev. 1155 (2005).</w:t>
      </w:r>
    </w:p>
  </w:footnote>
  <w:footnote w:id="41">
    <w:p w14:paraId="764581B7" w14:textId="18E3ABBB" w:rsidR="00BD4F43" w:rsidRPr="00C83BB2" w:rsidRDefault="00BD4F43">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Karl E. Klare, Labor Law as Ideology: Toward a New Historiography of Collective Bargaining Law, 4 Indus. Relations L.J. 450, 452–53, 455, 482 (1981).</w:t>
      </w:r>
    </w:p>
  </w:footnote>
  <w:footnote w:id="42">
    <w:p w14:paraId="52095C4B" w14:textId="08D2D0B1" w:rsidR="00051B94" w:rsidRPr="00C83BB2" w:rsidRDefault="00051B94">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Rebecca Tsosie, Indigenous Peoples and Epistemic Injustice: Science, Ethics, and Human Rights, 87 Wash. L. Rev. 1133 (2012).</w:t>
      </w:r>
    </w:p>
  </w:footnote>
  <w:footnote w:id="43">
    <w:p w14:paraId="09E842C9" w14:textId="3BC3FFC0" w:rsidR="000A4A57" w:rsidRPr="00C83BB2" w:rsidRDefault="000A4A57">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Véase Michelle Alexander, The New Jim Crow: Mass Incarceration in the Age of Colorblindness (2012).</w:t>
      </w:r>
    </w:p>
  </w:footnote>
  <w:footnote w:id="44">
    <w:p w14:paraId="44D7DA9B" w14:textId="26C8C7B5" w:rsidR="00D90A29" w:rsidRPr="00C83BB2" w:rsidRDefault="00D90A29">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“One Day, Everyone Will Have Always Been Against This”: Omar El Akkad on Gaza and Western Complicity, Democracy Now (Apr. 17, 2025).</w:t>
      </w:r>
    </w:p>
  </w:footnote>
  <w:footnote w:id="45">
    <w:p w14:paraId="2F89069D" w14:textId="6996987C" w:rsidR="0059238F" w:rsidRPr="00C83BB2" w:rsidRDefault="0059238F">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Jon Hanson and Kathleen Hanson, The Blame Frame: Justifying (Racial) Injustice in America, 41 Harv. C.R.-C.L. L. Rev. 413, 415-16 (2006).</w:t>
      </w:r>
    </w:p>
  </w:footnote>
  <w:footnote w:id="46">
    <w:p w14:paraId="7A12D73F" w14:textId="08551184" w:rsidR="003329C7" w:rsidRPr="00C83BB2" w:rsidRDefault="003329C7">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Véase </w:t>
      </w:r>
      <w:r w:rsidRPr="00C83BB2">
        <w:rPr>
          <w:rFonts w:ascii="Times New Roman" w:hAnsi="Times New Roman" w:cs="Times New Roman"/>
        </w:rPr>
        <w:fldChar w:fldCharType="begin"/>
      </w:r>
      <w:r w:rsidRPr="00C83BB2">
        <w:rPr>
          <w:rFonts w:ascii="Times New Roman" w:hAnsi="Times New Roman" w:cs="Times New Roman"/>
        </w:rPr>
        <w:instrText xml:space="preserve"> TA \l "Calmore, John O., </w:instrText>
      </w:r>
      <w:r w:rsidRPr="00C83BB2">
        <w:rPr>
          <w:rFonts w:ascii="Times New Roman" w:hAnsi="Times New Roman" w:cs="Times New Roman"/>
          <w:color w:val="000000"/>
        </w:rPr>
        <w:instrText>A Call to Context: The Professional Challenges of Cause Lawyering at the Intersection of Race, Space, and Poverty, 67 Fordham L. Rev. 1927 (1999)</w:instrText>
      </w:r>
      <w:r w:rsidRPr="00C83BB2">
        <w:rPr>
          <w:rFonts w:ascii="Times New Roman" w:hAnsi="Times New Roman" w:cs="Times New Roman"/>
        </w:rPr>
        <w:instrText>" \s "A;O;113;dabmci_8548fc280636458c9296ab712a82a21e_1;I94d2938149b811db99a18fc28eb0d9ae;;0;S;</w:instrText>
      </w:r>
      <w:r w:rsidRPr="00C83BB2">
        <w:rPr>
          <w:rFonts w:ascii="Times New Roman" w:hAnsi="Times New Roman" w:cs="Times New Roman"/>
          <w:color w:val="000000"/>
        </w:rPr>
        <w:instrText>A Call to Context: The Professional Challenges of Cause Lawyering at the Intersection of Race, Space, and Poverty, 67 Fordham L. Rev. 1927, 1937 (1999)</w:instrText>
      </w:r>
      <w:r w:rsidRPr="00C83BB2">
        <w:rPr>
          <w:rFonts w:ascii="Times New Roman" w:hAnsi="Times New Roman" w:cs="Times New Roman"/>
        </w:rPr>
        <w:instrText xml:space="preserve">" \c 13 </w:instrText>
      </w:r>
      <w:r w:rsidRPr="00C83BB2">
        <w:rPr>
          <w:rFonts w:ascii="Times New Roman" w:hAnsi="Times New Roman" w:cs="Times New Roman"/>
        </w:rPr>
        <w:fldChar w:fldCharType="end"/>
      </w:r>
      <w:hyperlink r:id="rId12" w:tooltip="https://www.westlaw.com/Document/I94d2938149b811db99a18fc28eb0d9ae/View/FullText.html?transitionType=Default&amp;contextData=(sc.Default)&amp;VR=3.0&amp;RS=da3.0&amp;fragmentIdentifier=co_pp_sp_1142_1937" w:history="1">
        <w:r w:rsidRPr="00C83BB2">
          <w:rPr>
            <w:rStyle w:val="Hyperlink"/>
            <w:rFonts w:ascii="Times New Roman" w:eastAsiaTheme="minorHAnsi" w:hAnsi="Times New Roman"/>
            <w:sz w:val="20"/>
            <w:szCs w:val="20"/>
          </w:rPr>
          <w:t xml:space="preserve">John O. Calmore, </w:t>
        </w:r>
        <w:bookmarkStart w:id="7" w:name="dabmci_25a700928abe450d88cda064f3c603e8"/>
        <w:r w:rsidRPr="00C83BB2">
          <w:rPr>
            <w:rStyle w:val="Hyperlink"/>
            <w:rFonts w:ascii="Times New Roman" w:eastAsiaTheme="minorHAnsi" w:hAnsi="Times New Roman"/>
            <w:sz w:val="20"/>
            <w:szCs w:val="20"/>
          </w:rPr>
          <w:t>A Call to Context: The Professional Challenges of Cause Lawyering at the Intersection of Race, Space, and Poverty, 67 Fordham L. Rev. 1927, 1937 (1999)</w:t>
        </w:r>
        <w:bookmarkEnd w:id="7"/>
      </w:hyperlink>
      <w:r w:rsidRPr="00C83BB2">
        <w:rPr>
          <w:rFonts w:ascii="Times New Roman" w:hAnsi="Times New Roman" w:cs="Times New Roman"/>
        </w:rPr>
        <w:t>.</w:t>
      </w:r>
    </w:p>
  </w:footnote>
  <w:footnote w:id="47">
    <w:p w14:paraId="533B609A" w14:textId="4A1194F9" w:rsidR="00FD292C" w:rsidRPr="00C83BB2" w:rsidRDefault="00FD292C">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Steven W. Bender, Mea Culpa: Lessons on Law and Regret From U.S. History 8–9 (2015).</w:t>
      </w:r>
    </w:p>
  </w:footnote>
  <w:footnote w:id="48">
    <w:p w14:paraId="4DA876D4" w14:textId="5CBFB506" w:rsidR="005E019D" w:rsidRPr="00C83BB2" w:rsidRDefault="005E019D">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i/>
          <w:iCs/>
        </w:rPr>
        <w:t>Id.</w:t>
      </w:r>
      <w:r w:rsidRPr="00C83BB2">
        <w:rPr>
          <w:rFonts w:ascii="Times New Roman" w:hAnsi="Times New Roman" w:cs="Times New Roman"/>
        </w:rPr>
        <w:t xml:space="preserve"> en 9.</w:t>
      </w:r>
    </w:p>
  </w:footnote>
  <w:footnote w:id="49">
    <w:p w14:paraId="175A54D8" w14:textId="1C8180FD" w:rsidR="005C51C3" w:rsidRPr="00C83BB2" w:rsidRDefault="005C51C3">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hyperlink r:id="rId13" w:tooltip="https://www.westlaw.com/Document/If4a38fe14a8411db99a18fc28eb0d9ae/View/FullText.html?transitionType=Default&amp;contextData=(sc.Default)&amp;VR=3.0&amp;RS=da3.0&amp;fragmentIdentifier=co_pp_sp_1234_1205" w:history="1">
        <w:r w:rsidRPr="00C83BB2">
          <w:rPr>
            <w:rStyle w:val="Hyperlink"/>
            <w:rFonts w:ascii="Times New Roman" w:eastAsiaTheme="minorHAnsi" w:hAnsi="Times New Roman"/>
            <w:sz w:val="20"/>
            <w:szCs w:val="20"/>
          </w:rPr>
          <w:t xml:space="preserve">Aya Gruber, </w:t>
        </w:r>
        <w:bookmarkStart w:id="8" w:name="dabmci_19a0758376444c0b9e6aa30a0171dad5"/>
        <w:r w:rsidRPr="00C83BB2">
          <w:rPr>
            <w:rStyle w:val="Hyperlink"/>
            <w:rFonts w:ascii="Times New Roman" w:eastAsiaTheme="minorHAnsi" w:hAnsi="Times New Roman"/>
            <w:sz w:val="20"/>
            <w:szCs w:val="20"/>
          </w:rPr>
          <w:t>Navigating Diverse Identities: Building Coalitions Through Redistribution of Academic Capital—An Exercise in Praxis, 35 Seton Hall L. Rev. 1201, 1205–06 (2005)</w:t>
        </w:r>
        <w:bookmarkEnd w:id="8"/>
      </w:hyperlink>
      <w:r w:rsidRPr="00C83BB2">
        <w:rPr>
          <w:rFonts w:ascii="Times New Roman" w:hAnsi="Times New Roman" w:cs="Times New Roman"/>
        </w:rPr>
        <w:t>.</w:t>
      </w:r>
    </w:p>
  </w:footnote>
  <w:footnote w:id="50">
    <w:p w14:paraId="23DC63DF" w14:textId="7E54681F" w:rsidR="001E4969" w:rsidRPr="00C83BB2" w:rsidRDefault="001E4969">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Mary C. Burke and Mary Bernstein, How the Right Usurped the Queer Agenda: Frame Co-optation in Political Discourse, 29 Sociological Forum 830, 831 (2014).</w:t>
      </w:r>
    </w:p>
  </w:footnote>
  <w:footnote w:id="51">
    <w:p w14:paraId="7941EBD5" w14:textId="7A889D66" w:rsidR="00084A63" w:rsidRPr="00C83BB2" w:rsidRDefault="00084A63">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Angelika Striedinger, How Organizational Research Can Avoid the Pitfalls of a Co-optation Perspective: Analyzing Gender Equality Work in Austrian Universities with Organizational Institutionalism, 19 Int’l Feminist J. of Politics 201, 201 (2017).</w:t>
      </w:r>
    </w:p>
  </w:footnote>
  <w:footnote w:id="52">
    <w:p w14:paraId="393A02C9" w14:textId="220BF958" w:rsidR="00626A4A" w:rsidRPr="00C83BB2" w:rsidRDefault="00626A4A">
      <w:pPr>
        <w:pStyle w:val="FootnoteText"/>
        <w:rPr>
          <w:rFonts w:ascii="Times New Roman" w:hAnsi="Times New Roman" w:cs="Times New Roman"/>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00F22C08" w:rsidRPr="00C83BB2">
        <w:rPr>
          <w:rFonts w:ascii="Times New Roman" w:hAnsi="Times New Roman" w:cs="Times New Roman"/>
        </w:rPr>
        <w:t>En el contexto de la educación jurídica, Sahar Aziz señala que, a pesar de los esfuerzos concertados de promoción que aumentaron el número de estudiantes, docentes y administradoras en las facultades de derecho de Estados Unidos, las mujeres siguen concentradas en puestos de redacción jurídica más precarios y siguen cobrando menos que los profesores varones. Como ella argumenta, “las mujeres que han logrado superar los obstáculos impuestos por el patriarcado para alcanzar puestos oficiales de liderazgo están tan sujetas a la captura institucional y a los conflictos de intereses como sus homólogos varones”. Además, en este y otros contextos, “el razonamiento de que un mayor número de mujeres y minorías en el poder producirá necesariamente menos sexismo y menos racismo es erróneo si se mantienen los sistemas patriarcales</w:t>
      </w:r>
      <w:r w:rsidR="00AA57A2" w:rsidRPr="00C83BB2">
        <w:rPr>
          <w:rFonts w:ascii="Times New Roman" w:hAnsi="Times New Roman" w:cs="Times New Roman"/>
        </w:rPr>
        <w:t>”.</w:t>
      </w:r>
      <w:r w:rsidR="00F22C08" w:rsidRPr="00C83BB2">
        <w:rPr>
          <w:rFonts w:ascii="Times New Roman" w:hAnsi="Times New Roman" w:cs="Times New Roman"/>
        </w:rPr>
        <w:t xml:space="preserve"> </w:t>
      </w:r>
      <w:r w:rsidR="00B13F99" w:rsidRPr="00C83BB2">
        <w:rPr>
          <w:rFonts w:ascii="Times New Roman" w:hAnsi="Times New Roman" w:cs="Times New Roman"/>
        </w:rPr>
        <w:t>Sahar F. Aziz, Identity Politics is Failing Women in Legal Academia, 69 J. Leg. Ed. 14 (2021).</w:t>
      </w:r>
    </w:p>
  </w:footnote>
  <w:footnote w:id="53">
    <w:p w14:paraId="1064E331" w14:textId="32B14191" w:rsidR="000E276B" w:rsidRPr="00C83BB2" w:rsidRDefault="000E276B">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Alec Karakatsanis, The Punishment Bureaucracy: How to Think About “Criminal Justice Reform,” 128 Yale L.J. Forum 848 (Mar. 28, 2019).</w:t>
      </w:r>
    </w:p>
  </w:footnote>
  <w:footnote w:id="54">
    <w:p w14:paraId="03F1D74F" w14:textId="24B857FC" w:rsidR="00CE6605" w:rsidRPr="00C83BB2" w:rsidRDefault="00CE6605">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Reva B. Siegel, “The Rule of Law”: Wife Beating as Prerogative and </w:t>
      </w:r>
      <w:r w:rsidRPr="00C83BB2">
        <w:rPr>
          <w:rFonts w:ascii="Times New Roman" w:hAnsi="Times New Roman" w:cs="Times New Roman"/>
        </w:rPr>
        <w:t xml:space="preserve">Privacy, </w:t>
      </w:r>
      <w:r w:rsidRPr="00C83BB2">
        <w:rPr>
          <w:rFonts w:ascii="Times New Roman" w:hAnsi="Times New Roman" w:cs="Times New Roman"/>
        </w:rPr>
        <w:fldChar w:fldCharType="begin"/>
      </w:r>
      <w:r w:rsidRPr="00C83BB2">
        <w:rPr>
          <w:rFonts w:ascii="Times New Roman" w:hAnsi="Times New Roman" w:cs="Times New Roman"/>
        </w:rPr>
        <w:instrText>HYPERLINK "https://www.westlaw.com/Document/I931238d14b0b11db99a18fc28eb0d9ae/View/FullText.html?transitionType=Default&amp;contextData=(sc.Default)&amp;VR=3.0&amp;RS=da3.0"</w:instrText>
      </w:r>
      <w:r w:rsidRPr="00C83BB2">
        <w:rPr>
          <w:rFonts w:ascii="Times New Roman" w:hAnsi="Times New Roman" w:cs="Times New Roman"/>
        </w:rPr>
      </w:r>
      <w:r w:rsidRPr="00C83BB2">
        <w:rPr>
          <w:rFonts w:ascii="Times New Roman" w:hAnsi="Times New Roman" w:cs="Times New Roman"/>
        </w:rPr>
        <w:fldChar w:fldCharType="separate"/>
      </w:r>
      <w:r w:rsidRPr="00C83BB2">
        <w:rPr>
          <w:rStyle w:val="Hyperlink"/>
          <w:rFonts w:ascii="Times New Roman" w:eastAsiaTheme="minorHAnsi" w:hAnsi="Times New Roman"/>
          <w:sz w:val="20"/>
          <w:szCs w:val="20"/>
        </w:rPr>
        <w:t>105 Yale L.J. 2117 (1996)</w:t>
      </w:r>
      <w:r w:rsidRPr="00C83BB2">
        <w:rPr>
          <w:rFonts w:ascii="Times New Roman" w:hAnsi="Times New Roman" w:cs="Times New Roman"/>
        </w:rPr>
        <w:fldChar w:fldCharType="end"/>
      </w:r>
      <w:r w:rsidRPr="00C83BB2">
        <w:rPr>
          <w:rStyle w:val="Hyperlink"/>
          <w:rFonts w:ascii="Times New Roman" w:eastAsiaTheme="minorHAnsi" w:hAnsi="Times New Roman"/>
          <w:sz w:val="20"/>
          <w:szCs w:val="20"/>
        </w:rPr>
        <w:t>.</w:t>
      </w:r>
    </w:p>
  </w:footnote>
  <w:footnote w:id="55">
    <w:p w14:paraId="3539CABB" w14:textId="60EA6530" w:rsidR="008460EF" w:rsidRPr="00C83BB2" w:rsidRDefault="008460EF">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hyperlink r:id="rId14" w:tooltip="https://www.westlaw.com/Document/I4191fb61c2ef11db909893dfdd4e329b/View/FullText.html?transitionType=Default&amp;contextData=(sc.Default)&amp;VR=3.0&amp;RS=da3.0" w:history="1">
        <w:r w:rsidRPr="00C83BB2">
          <w:rPr>
            <w:rStyle w:val="Hyperlink"/>
            <w:rFonts w:ascii="Times New Roman" w:eastAsiaTheme="minorHAnsi" w:hAnsi="Times New Roman"/>
            <w:sz w:val="20"/>
            <w:szCs w:val="20"/>
          </w:rPr>
          <w:t xml:space="preserve">Orly Lobel, </w:t>
        </w:r>
        <w:bookmarkStart w:id="9" w:name="dabmci_33ab07894ebf4c14a4405aa94538c1c0"/>
        <w:r w:rsidRPr="00C83BB2">
          <w:rPr>
            <w:rStyle w:val="Hyperlink"/>
            <w:rFonts w:ascii="Times New Roman" w:eastAsiaTheme="minorHAnsi" w:hAnsi="Times New Roman"/>
            <w:sz w:val="20"/>
            <w:szCs w:val="20"/>
          </w:rPr>
          <w:t>The Paradox of Extralegal Activism: Critical Legal Consciousness and Transformative Politics, 120 Harv. L. Rev. 937 (2007)</w:t>
        </w:r>
        <w:bookmarkEnd w:id="9"/>
      </w:hyperlink>
      <w:r w:rsidRPr="00C83BB2">
        <w:rPr>
          <w:rFonts w:ascii="Times New Roman" w:hAnsi="Times New Roman" w:cs="Times New Roman"/>
        </w:rPr>
        <w:t>.</w:t>
      </w:r>
    </w:p>
  </w:footnote>
  <w:footnote w:id="56">
    <w:p w14:paraId="53893317" w14:textId="1E625146" w:rsidR="003737F5" w:rsidRPr="00C83BB2" w:rsidRDefault="003737F5">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bookmarkStart w:id="10" w:name="dabmci_5a892652a4f74b06b61e342c0e174918"/>
      <w:r w:rsidRPr="00C83BB2">
        <w:rPr>
          <w:rFonts w:ascii="Times New Roman" w:hAnsi="Times New Roman" w:cs="Times New Roman"/>
          <w:i/>
        </w:rPr>
        <w:t>Id.</w:t>
      </w:r>
      <w:r w:rsidRPr="00C83BB2">
        <w:rPr>
          <w:rFonts w:ascii="Times New Roman" w:hAnsi="Times New Roman" w:cs="Times New Roman"/>
        </w:rPr>
        <w:t xml:space="preserve"> at 939, 978, 983, 987–88</w:t>
      </w:r>
      <w:bookmarkEnd w:id="10"/>
      <w:r w:rsidRPr="00C83BB2">
        <w:rPr>
          <w:rFonts w:ascii="Times New Roman" w:hAnsi="Times New Roman" w:cs="Times New Roman"/>
        </w:rPr>
        <w:t>.</w:t>
      </w:r>
    </w:p>
  </w:footnote>
  <w:footnote w:id="57">
    <w:p w14:paraId="581D59B0" w14:textId="53F03896" w:rsidR="002D4D59" w:rsidRPr="00C83BB2" w:rsidRDefault="002D4D59">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hyperlink r:id="rId15" w:tooltip="https://www.westlaw.com/Document/I4191fb61c2ef11db909893dfdd4e329b/View/FullText.html?transitionType=Default&amp;contextData=(sc.Default)&amp;VR=3.0&amp;RS=da3.0&amp;fragmentIdentifier=co_pp_sp_3084_942" w:history="1">
        <w:r w:rsidRPr="00C83BB2">
          <w:rPr>
            <w:rStyle w:val="Hyperlink"/>
            <w:rFonts w:ascii="Times New Roman" w:eastAsiaTheme="minorHAnsi" w:hAnsi="Times New Roman"/>
            <w:sz w:val="20"/>
            <w:szCs w:val="20"/>
          </w:rPr>
          <w:t xml:space="preserve">Orly Lobel, </w:t>
        </w:r>
        <w:bookmarkStart w:id="11" w:name="dabmci_31e259f92d3c4714afe7180ef079f3c2"/>
        <w:r w:rsidRPr="00C83BB2">
          <w:rPr>
            <w:rStyle w:val="Hyperlink"/>
            <w:rFonts w:ascii="Times New Roman" w:eastAsiaTheme="minorHAnsi" w:hAnsi="Times New Roman"/>
            <w:sz w:val="20"/>
            <w:szCs w:val="20"/>
          </w:rPr>
          <w:t>The Paradox of Extralegal Activism: Critical Legal Consciousness and Transformative Politics, 120 Harv. L. Rev. 937, 942 (2007)</w:t>
        </w:r>
        <w:bookmarkEnd w:id="11"/>
      </w:hyperlink>
      <w:r w:rsidRPr="00C83BB2">
        <w:rPr>
          <w:rFonts w:ascii="Times New Roman" w:hAnsi="Times New Roman" w:cs="Times New Roman"/>
        </w:rPr>
        <w:t>.</w:t>
      </w:r>
    </w:p>
  </w:footnote>
  <w:footnote w:id="58">
    <w:p w14:paraId="610DFE72" w14:textId="286EAF33" w:rsidR="00681D9E" w:rsidRPr="00C83BB2" w:rsidRDefault="00681D9E">
      <w:pPr>
        <w:pStyle w:val="FootnoteText"/>
        <w:rPr>
          <w:rFonts w:ascii="Times New Roman" w:hAnsi="Times New Roman" w:cs="Times New Roman"/>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El siguiente resumen se basa en y cita a C. Wright Mills, The Power Elite, pp. 269–278 (1956).</w:t>
      </w:r>
    </w:p>
  </w:footnote>
  <w:footnote w:id="59">
    <w:p w14:paraId="70655632" w14:textId="46BDB4AD" w:rsidR="009A6B4B" w:rsidRPr="00C83BB2" w:rsidRDefault="009A6B4B">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Brooke Harrington, Capital Without Borders: Wealth Managers and the One Percent 232 (2016).</w:t>
      </w:r>
    </w:p>
  </w:footnote>
  <w:footnote w:id="60">
    <w:p w14:paraId="4930F756" w14:textId="45C400B4" w:rsidR="008956A3" w:rsidRPr="00C83BB2" w:rsidRDefault="008956A3">
      <w:pPr>
        <w:pStyle w:val="FootnoteText"/>
        <w:rPr>
          <w:rFonts w:ascii="Times New Roman" w:hAnsi="Times New Roman" w:cs="Times New Roman"/>
          <w:i/>
          <w:iCs/>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i/>
          <w:iCs/>
          <w:lang w:val="en-US"/>
        </w:rPr>
        <w:t xml:space="preserve">Id. </w:t>
      </w:r>
    </w:p>
  </w:footnote>
  <w:footnote w:id="61">
    <w:p w14:paraId="71C61529" w14:textId="24259ECD" w:rsidR="00BB3134" w:rsidRPr="00C83BB2" w:rsidRDefault="00BB3134">
      <w:pPr>
        <w:pStyle w:val="FootnoteText"/>
        <w:rPr>
          <w:rFonts w:ascii="Times New Roman" w:hAnsi="Times New Roman" w:cs="Times New Roman"/>
          <w:i/>
          <w:iCs/>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i/>
          <w:iCs/>
          <w:lang w:val="en-US"/>
        </w:rPr>
        <w:t xml:space="preserve">Id. </w:t>
      </w:r>
    </w:p>
  </w:footnote>
  <w:footnote w:id="62">
    <w:p w14:paraId="4F5C127C" w14:textId="745E8049" w:rsidR="00BA4EF8" w:rsidRPr="00C83BB2" w:rsidRDefault="00BA4EF8">
      <w:pPr>
        <w:pStyle w:val="FootnoteText"/>
        <w:rPr>
          <w:rFonts w:ascii="Times New Roman" w:hAnsi="Times New Roman" w:cs="Times New Roman"/>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David Luban, Taking Out the Adversary: The Assault on Progressive Public-Interest Lawyers, 91 Cal. L. Rev. 209 (2003).</w:t>
      </w:r>
    </w:p>
  </w:footnote>
  <w:footnote w:id="63">
    <w:p w14:paraId="68604076" w14:textId="31EFB2F4" w:rsidR="006A1E7B" w:rsidRPr="00C83BB2" w:rsidRDefault="006A1E7B">
      <w:pPr>
        <w:pStyle w:val="FootnoteText"/>
        <w:rPr>
          <w:rFonts w:ascii="Times New Roman" w:hAnsi="Times New Roman" w:cs="Times New Roman"/>
          <w:i/>
          <w:iCs/>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i/>
          <w:iCs/>
          <w:lang w:val="en-US"/>
        </w:rPr>
        <w:t xml:space="preserve">Id. </w:t>
      </w:r>
    </w:p>
  </w:footnote>
  <w:footnote w:id="64">
    <w:p w14:paraId="4FB63CEC" w14:textId="1BD7B3AE" w:rsidR="00343CDE" w:rsidRPr="00C83BB2" w:rsidRDefault="00343CDE">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Rebecca Smith, Engaging in Direct Action Campaigns Without Getting SLAPP’ed: Take Action Against Wage Theft!, National Employment Law Project I (Dec. </w:t>
      </w:r>
      <w:r w:rsidRPr="00C83BB2">
        <w:rPr>
          <w:rFonts w:ascii="Times New Roman" w:hAnsi="Times New Roman" w:cs="Times New Roman"/>
        </w:rPr>
        <w:t xml:space="preserve">2007), </w:t>
      </w:r>
      <w:r w:rsidRPr="00C83BB2">
        <w:rPr>
          <w:rFonts w:ascii="Times New Roman" w:hAnsi="Times New Roman" w:cs="Times New Roman"/>
        </w:rPr>
        <w:fldChar w:fldCharType="begin"/>
      </w:r>
      <w:r w:rsidRPr="00C83BB2">
        <w:rPr>
          <w:rFonts w:ascii="Times New Roman" w:hAnsi="Times New Roman" w:cs="Times New Roman"/>
        </w:rPr>
        <w:instrText>HYPERLINK "https://globalfreedomofexpression.columbia.edu/publications/slapps-5-ws-background-strategic-lawsuits-public-participation/"</w:instrText>
      </w:r>
      <w:r w:rsidRPr="00C83BB2">
        <w:rPr>
          <w:rFonts w:ascii="Times New Roman" w:hAnsi="Times New Roman" w:cs="Times New Roman"/>
        </w:rPr>
      </w:r>
      <w:r w:rsidRPr="00C83BB2">
        <w:rPr>
          <w:rFonts w:ascii="Times New Roman" w:hAnsi="Times New Roman" w:cs="Times New Roman"/>
        </w:rPr>
        <w:fldChar w:fldCharType="separate"/>
      </w:r>
      <w:r w:rsidRPr="00C83BB2">
        <w:rPr>
          <w:rStyle w:val="Hyperlink"/>
          <w:rFonts w:ascii="Times New Roman" w:eastAsiaTheme="minorHAnsi" w:hAnsi="Times New Roman"/>
          <w:sz w:val="20"/>
          <w:szCs w:val="20"/>
        </w:rPr>
        <w:t>https://global‌freedomofexpression.columbia.edu/publications/slapps-5-ws-background-strategic-lawsuits-public-participation/</w:t>
      </w:r>
      <w:r w:rsidRPr="00C83BB2">
        <w:rPr>
          <w:rFonts w:ascii="Times New Roman" w:hAnsi="Times New Roman" w:cs="Times New Roman"/>
        </w:rPr>
        <w:fldChar w:fldCharType="end"/>
      </w:r>
      <w:r w:rsidRPr="00C83BB2">
        <w:rPr>
          <w:rFonts w:ascii="Times New Roman" w:hAnsi="Times New Roman" w:cs="Times New Roman"/>
        </w:rPr>
        <w:t>.</w:t>
      </w:r>
    </w:p>
  </w:footnote>
  <w:footnote w:id="65">
    <w:p w14:paraId="324B2E6A" w14:textId="453FF280" w:rsidR="00C763E3" w:rsidRPr="00C83BB2" w:rsidRDefault="00C763E3">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Palestinian Human Rights Advocacy in the U.S., Palestine Solidarity Legal Support and Center for Constitutional Rights (2013), </w:t>
      </w:r>
      <w:r w:rsidRPr="00C83BB2">
        <w:rPr>
          <w:rFonts w:ascii="Times New Roman" w:hAnsi="Times New Roman" w:cs="Times New Roman"/>
        </w:rPr>
        <w:fldChar w:fldCharType="begin"/>
      </w:r>
      <w:r w:rsidRPr="00C83BB2">
        <w:rPr>
          <w:rFonts w:ascii="Times New Roman" w:hAnsi="Times New Roman" w:cs="Times New Roman"/>
        </w:rPr>
        <w:instrText>HYPERLINK "https://ccrjustice.org/files/3Final-Linked_CCR_Palestinian_Human_Rights_bk_small.pdf"</w:instrText>
      </w:r>
      <w:r w:rsidRPr="00C83BB2">
        <w:rPr>
          <w:rFonts w:ascii="Times New Roman" w:hAnsi="Times New Roman" w:cs="Times New Roman"/>
        </w:rPr>
      </w:r>
      <w:r w:rsidRPr="00C83BB2">
        <w:rPr>
          <w:rFonts w:ascii="Times New Roman" w:hAnsi="Times New Roman" w:cs="Times New Roman"/>
        </w:rPr>
        <w:fldChar w:fldCharType="separate"/>
      </w:r>
      <w:r w:rsidRPr="00C83BB2">
        <w:rPr>
          <w:rStyle w:val="Hyperlink"/>
          <w:rFonts w:ascii="Times New Roman" w:eastAsiaTheme="minorHAnsi" w:hAnsi="Times New Roman"/>
          <w:sz w:val="20"/>
          <w:szCs w:val="20"/>
        </w:rPr>
        <w:t>https://ccrjustice.org/files/3Final-Linked_CCR_‌Palestinian_Human_Rights_bk_small.pdf</w:t>
      </w:r>
      <w:r w:rsidRPr="00C83BB2">
        <w:rPr>
          <w:rFonts w:ascii="Times New Roman" w:hAnsi="Times New Roman" w:cs="Times New Roman"/>
        </w:rPr>
        <w:fldChar w:fldCharType="end"/>
      </w:r>
      <w:r w:rsidRPr="00C83BB2">
        <w:rPr>
          <w:rFonts w:ascii="Times New Roman" w:hAnsi="Times New Roman" w:cs="Times New Roman"/>
        </w:rPr>
        <w:t>.</w:t>
      </w:r>
    </w:p>
  </w:footnote>
  <w:footnote w:id="66">
    <w:p w14:paraId="2F773BA7" w14:textId="70E0A53F" w:rsidR="00F53E55" w:rsidRPr="00C83BB2" w:rsidRDefault="00F53E55">
      <w:pPr>
        <w:pStyle w:val="FootnoteText"/>
        <w:rPr>
          <w:rFonts w:ascii="Times New Roman" w:hAnsi="Times New Roman" w:cs="Times New Roman"/>
          <w:lang w:val="es-PR"/>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Robert R. Kuehn and Bridget M. McCormack, Lessons from Forty Years of Interference in Law School Clinics, 24 Geo. J. Leg. Ethics 59, 90 (2011).</w:t>
      </w:r>
    </w:p>
  </w:footnote>
  <w:footnote w:id="67">
    <w:p w14:paraId="19EEDEDF" w14:textId="52C8EDE6" w:rsidR="00147CC4" w:rsidRPr="00C83BB2" w:rsidRDefault="00147CC4">
      <w:pPr>
        <w:pStyle w:val="FootnoteText"/>
        <w:rPr>
          <w:rFonts w:ascii="Times New Roman" w:hAnsi="Times New Roman" w:cs="Times New Roman"/>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Véase el análisis del principio de antisubordinación más adelante, en el apartado 4.5.</w:t>
      </w:r>
    </w:p>
  </w:footnote>
  <w:footnote w:id="68">
    <w:p w14:paraId="0070B4A9" w14:textId="1F99CD1C" w:rsidR="00262C87" w:rsidRPr="00C83BB2" w:rsidRDefault="00262C87">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Memorandum from Lewis F. Powell to Eugene Sydnor, Attack on American Free Enterprise System (Aug. 23, 1971), </w:t>
      </w:r>
      <w:r w:rsidRPr="00C83BB2">
        <w:rPr>
          <w:rFonts w:ascii="Times New Roman" w:hAnsi="Times New Roman" w:cs="Times New Roman"/>
        </w:rPr>
        <w:fldChar w:fldCharType="begin"/>
      </w:r>
      <w:r w:rsidRPr="00C83BB2">
        <w:rPr>
          <w:rFonts w:ascii="Times New Roman" w:hAnsi="Times New Roman" w:cs="Times New Roman"/>
        </w:rPr>
        <w:instrText>HYPERLINK "http://www.law.wlu.edu/deptimages/Powell%20Archives/PowellMemorandumTypescript.pdf"</w:instrText>
      </w:r>
      <w:r w:rsidRPr="00C83BB2">
        <w:rPr>
          <w:rFonts w:ascii="Times New Roman" w:hAnsi="Times New Roman" w:cs="Times New Roman"/>
        </w:rPr>
      </w:r>
      <w:r w:rsidRPr="00C83BB2">
        <w:rPr>
          <w:rFonts w:ascii="Times New Roman" w:hAnsi="Times New Roman" w:cs="Times New Roman"/>
        </w:rPr>
        <w:fldChar w:fldCharType="separate"/>
      </w:r>
      <w:r w:rsidRPr="00C83BB2">
        <w:rPr>
          <w:rStyle w:val="Hyperlink"/>
          <w:rFonts w:ascii="Times New Roman" w:eastAsiaTheme="minorHAnsi" w:hAnsi="Times New Roman"/>
          <w:sz w:val="20"/>
          <w:szCs w:val="20"/>
        </w:rPr>
        <w:t>www.law.wlu.edu/deptimages/Powell%20Archives/Powell‌MemorandumTypescript.pdf</w:t>
      </w:r>
      <w:r w:rsidRPr="00C83BB2">
        <w:rPr>
          <w:rFonts w:ascii="Times New Roman" w:hAnsi="Times New Roman" w:cs="Times New Roman"/>
        </w:rPr>
        <w:fldChar w:fldCharType="end"/>
      </w:r>
      <w:r w:rsidRPr="00C83BB2">
        <w:rPr>
          <w:rFonts w:ascii="Times New Roman" w:hAnsi="Times New Roman" w:cs="Times New Roman"/>
        </w:rPr>
        <w:t>.</w:t>
      </w:r>
    </w:p>
  </w:footnote>
  <w:footnote w:id="69">
    <w:p w14:paraId="36D8C542" w14:textId="6423F62F" w:rsidR="006762C2" w:rsidRPr="00C83BB2" w:rsidRDefault="006762C2">
      <w:pPr>
        <w:pStyle w:val="FootnoteText"/>
        <w:rPr>
          <w:rFonts w:ascii="Times New Roman" w:hAnsi="Times New Roman" w:cs="Times New Roman"/>
          <w:lang w:val="es-PR"/>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hyperlink r:id="rId16" w:tooltip="https://www.westlaw.com/Document/Ic2de18215ae411dbbd2dfa5ce1d08a25/View/FullText.html?transitionType=Default&amp;contextData=(sc.Default)&amp;VR=3.0&amp;RS=da3.0&amp;fragmentIdentifier=co_pp_sp_100483_32" w:history="1">
        <w:r w:rsidRPr="00C83BB2">
          <w:rPr>
            <w:rStyle w:val="Hyperlink"/>
            <w:rFonts w:ascii="Times New Roman" w:eastAsiaTheme="minorHAnsi" w:hAnsi="Times New Roman"/>
            <w:sz w:val="20"/>
            <w:szCs w:val="20"/>
          </w:rPr>
          <w:t xml:space="preserve">Zygmunt J.B. Plater, </w:t>
        </w:r>
        <w:bookmarkStart w:id="12" w:name="dabmci_fe9b5b30aea645969bf97bffd9a75826"/>
        <w:r w:rsidRPr="00C83BB2">
          <w:rPr>
            <w:rStyle w:val="Hyperlink"/>
            <w:rFonts w:ascii="Times New Roman" w:eastAsiaTheme="minorHAnsi" w:hAnsi="Times New Roman"/>
            <w:sz w:val="20"/>
            <w:szCs w:val="20"/>
          </w:rPr>
          <w:t>Dealing with Dumb and Dumber: The Continuing Mission of Citizen Environmentalism, 20 J. Envtl. L. &amp; Litig. 9, 32 (2006)</w:t>
        </w:r>
        <w:bookmarkEnd w:id="12"/>
      </w:hyperlink>
      <w:r w:rsidRPr="00C83BB2">
        <w:rPr>
          <w:rFonts w:ascii="Times New Roman" w:hAnsi="Times New Roman" w:cs="Times New Roman"/>
        </w:rPr>
        <w:t>.</w:t>
      </w:r>
    </w:p>
  </w:footnote>
  <w:footnote w:id="70">
    <w:p w14:paraId="6A183DC8" w14:textId="161F2113" w:rsidR="00F3795D" w:rsidRPr="00C83BB2" w:rsidRDefault="00F3795D">
      <w:pPr>
        <w:pStyle w:val="FootnoteText"/>
        <w:rPr>
          <w:rFonts w:ascii="Times New Roman" w:hAnsi="Times New Roman" w:cs="Times New Roman"/>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Véase </w:t>
      </w:r>
      <w:r w:rsidRPr="00C83BB2">
        <w:rPr>
          <w:rFonts w:ascii="Times New Roman" w:hAnsi="Times New Roman" w:cs="Times New Roman"/>
          <w:i/>
          <w:iCs/>
        </w:rPr>
        <w:t>Dodge v. Ford Motor Co.,</w:t>
      </w:r>
      <w:r w:rsidRPr="00C83BB2">
        <w:rPr>
          <w:rFonts w:ascii="Times New Roman" w:hAnsi="Times New Roman" w:cs="Times New Roman"/>
        </w:rPr>
        <w:t xml:space="preserve"> 170 N.W. 668, 680 (Mich. 1919) (en el que se establece la primacía de la maximización de la riqueza de los accionistas en la toma de decisiones corporativas).</w:t>
      </w:r>
    </w:p>
  </w:footnote>
  <w:footnote w:id="71">
    <w:p w14:paraId="77FE5F6B" w14:textId="420C67C4" w:rsidR="00647B23" w:rsidRPr="00C83BB2" w:rsidRDefault="00647B23">
      <w:pPr>
        <w:pStyle w:val="FootnoteText"/>
        <w:rPr>
          <w:rFonts w:ascii="Times New Roman" w:hAnsi="Times New Roman" w:cs="Times New Roman"/>
          <w:lang w:val="es-PR"/>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Plater, Dealing with Dumb, 32.</w:t>
      </w:r>
    </w:p>
  </w:footnote>
  <w:footnote w:id="72">
    <w:p w14:paraId="56B0FC35" w14:textId="269A7092" w:rsidR="00071F3C" w:rsidRPr="00C83BB2" w:rsidRDefault="00071F3C">
      <w:pPr>
        <w:pStyle w:val="FootnoteText"/>
        <w:rPr>
          <w:rFonts w:ascii="Times New Roman" w:hAnsi="Times New Roman" w:cs="Times New Roman"/>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i/>
          <w:iCs/>
        </w:rPr>
        <w:t>Citizens United contra FEC</w:t>
      </w:r>
      <w:r w:rsidRPr="00C83BB2">
        <w:rPr>
          <w:rFonts w:ascii="Times New Roman" w:hAnsi="Times New Roman" w:cs="Times New Roman"/>
        </w:rPr>
        <w:t>, 558 U.S. 310 (2010) (que invalidó la ley federal de reforma de las campañas electorales que impedía a las empresas y los sindicatos financiar la publicidad política; surgida en el contexto de un documental crítico con la candidata presidencial Hillary Clinton y de los anuncios publicitarios de la película, financiados por la organización conservadora Citizens United).</w:t>
      </w:r>
    </w:p>
  </w:footnote>
  <w:footnote w:id="73">
    <w:p w14:paraId="1D04CFE9" w14:textId="365357E4" w:rsidR="00C8682D" w:rsidRPr="00C83BB2" w:rsidRDefault="00C8682D">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Brian R. Frazwlle, A Banner Year for Business as the Supreme Court’s Conservative Majority is Restored, 2017–2018 Term, Constitutional Accountability Center (July 17, 2018).</w:t>
      </w:r>
    </w:p>
  </w:footnote>
  <w:footnote w:id="74">
    <w:p w14:paraId="7CAB8DF9" w14:textId="75C0BA33" w:rsidR="008139C2" w:rsidRPr="00C83BB2" w:rsidRDefault="008139C2">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bookmarkStart w:id="13" w:name="dabmci_9232839862e441e199aad401e1b95b21"/>
      <w:r w:rsidRPr="00C83BB2">
        <w:rPr>
          <w:rFonts w:ascii="Times New Roman" w:hAnsi="Times New Roman" w:cs="Times New Roman"/>
          <w:i/>
        </w:rPr>
        <w:t>Id.</w:t>
      </w:r>
      <w:r w:rsidRPr="00C83BB2">
        <w:rPr>
          <w:rFonts w:ascii="Times New Roman" w:hAnsi="Times New Roman" w:cs="Times New Roman"/>
        </w:rPr>
        <w:t xml:space="preserve"> at 913–15</w:t>
      </w:r>
      <w:bookmarkEnd w:id="13"/>
      <w:r w:rsidRPr="00C83BB2">
        <w:rPr>
          <w:rFonts w:ascii="Times New Roman" w:hAnsi="Times New Roman" w:cs="Times New Roman"/>
        </w:rPr>
        <w:t>.</w:t>
      </w:r>
    </w:p>
  </w:footnote>
  <w:footnote w:id="75">
    <w:p w14:paraId="4EB86373" w14:textId="29010F39" w:rsidR="00505C68" w:rsidRPr="00C83BB2" w:rsidRDefault="00505C68">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hyperlink r:id="rId17" w:tooltip="https://www.westlaw.com/Document/I238f8d07b0ff11eabea3f0dc9fb69570/View/FullText.html?transitionType=Default&amp;contextData=(sc.Default)&amp;VR=3.0&amp;RS=da3.0" w:history="1">
        <w:r w:rsidRPr="00C83BB2">
          <w:rPr>
            <w:rStyle w:val="Hyperlink"/>
            <w:rFonts w:ascii="Times New Roman" w:eastAsiaTheme="minorHAnsi" w:hAnsi="Times New Roman"/>
            <w:sz w:val="20"/>
            <w:szCs w:val="20"/>
          </w:rPr>
          <w:t xml:space="preserve">Jennifer Karas Montez, </w:t>
        </w:r>
        <w:bookmarkStart w:id="14" w:name="dabmci_12326c4e148b4c51923a1d73a542f5a6"/>
        <w:r w:rsidRPr="00C83BB2">
          <w:rPr>
            <w:rStyle w:val="Hyperlink"/>
            <w:rFonts w:ascii="Times New Roman" w:eastAsiaTheme="minorHAnsi" w:hAnsi="Times New Roman"/>
            <w:sz w:val="20"/>
            <w:szCs w:val="20"/>
          </w:rPr>
          <w:t>Policy Polarization and Death in the United States, 92 Temp. L. Rev. 889 (2020)</w:t>
        </w:r>
        <w:bookmarkEnd w:id="14"/>
      </w:hyperlink>
      <w:r w:rsidRPr="00C83BB2">
        <w:rPr>
          <w:rFonts w:ascii="Times New Roman" w:hAnsi="Times New Roman" w:cs="Times New Roman"/>
        </w:rPr>
        <w:t>.</w:t>
      </w:r>
    </w:p>
  </w:footnote>
  <w:footnote w:id="76">
    <w:p w14:paraId="3399E2BA" w14:textId="381353F5" w:rsidR="00B2048A" w:rsidRPr="00C83BB2" w:rsidRDefault="00B2048A">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hyperlink r:id="rId18" w:tooltip="https://www.westlaw.com/Document/I8efbff1e500811e89bf199c0ee06c731/View/FullText.html?transitionType=Default&amp;contextData=(sc.Default)&amp;VR=3.0&amp;RS=da3.0&amp;fragmentIdentifier=co_pp_sp_1142_2113" w:history="1">
        <w:r w:rsidRPr="00C83BB2">
          <w:rPr>
            <w:rStyle w:val="Hyperlink"/>
            <w:rFonts w:ascii="Times New Roman" w:eastAsiaTheme="minorHAnsi" w:hAnsi="Times New Roman"/>
            <w:sz w:val="20"/>
            <w:szCs w:val="20"/>
          </w:rPr>
          <w:t xml:space="preserve">J. Maria Glover, </w:t>
        </w:r>
        <w:bookmarkStart w:id="15" w:name="dabmci_22f765edddc34047ac7739307aa7ee0c"/>
        <w:r w:rsidRPr="00C83BB2">
          <w:rPr>
            <w:rStyle w:val="Hyperlink"/>
            <w:rFonts w:ascii="Times New Roman" w:eastAsiaTheme="minorHAnsi" w:hAnsi="Times New Roman"/>
            <w:sz w:val="20"/>
            <w:szCs w:val="20"/>
          </w:rPr>
          <w:t>“Encroachments and Oppressions”: The Corporatization of Procedure and the Decline of Rule of Law, 86 Fordham L. Rev. 2113, 2113 (2018)</w:t>
        </w:r>
        <w:bookmarkEnd w:id="15"/>
      </w:hyperlink>
      <w:r w:rsidRPr="00C83BB2">
        <w:rPr>
          <w:rFonts w:ascii="Times New Roman" w:hAnsi="Times New Roman" w:cs="Times New Roman"/>
        </w:rPr>
        <w:t>.</w:t>
      </w:r>
    </w:p>
  </w:footnote>
  <w:footnote w:id="77">
    <w:p w14:paraId="5B7E84FA" w14:textId="6C4FA20F" w:rsidR="006F4100" w:rsidRPr="00C83BB2" w:rsidRDefault="006F4100">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bookmarkStart w:id="16" w:name="dabmci_27be798c5de149018780450a506421db"/>
      <w:r w:rsidRPr="00C83BB2">
        <w:rPr>
          <w:rFonts w:ascii="Times New Roman" w:hAnsi="Times New Roman" w:cs="Times New Roman"/>
          <w:i/>
        </w:rPr>
        <w:t>Id.</w:t>
      </w:r>
      <w:r w:rsidRPr="00C83BB2">
        <w:rPr>
          <w:rFonts w:ascii="Times New Roman" w:hAnsi="Times New Roman" w:cs="Times New Roman"/>
        </w:rPr>
        <w:t xml:space="preserve"> at 2114</w:t>
      </w:r>
      <w:bookmarkEnd w:id="16"/>
      <w:r w:rsidRPr="00C83BB2">
        <w:rPr>
          <w:rFonts w:ascii="Times New Roman" w:hAnsi="Times New Roman" w:cs="Times New Roman"/>
        </w:rPr>
        <w:t>.</w:t>
      </w:r>
    </w:p>
  </w:footnote>
  <w:footnote w:id="78">
    <w:p w14:paraId="2AFF6B0E" w14:textId="3AB86B95" w:rsidR="009B41A5" w:rsidRPr="00C83BB2" w:rsidRDefault="009B41A5">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hyperlink r:id="rId19" w:tooltip="https://www.westlaw.com/Document/I6505211a9c9711d9bc61beebb95be672/View/FullText.html?transitionType=Default&amp;contextData=(sc.Default)&amp;VR=3.0&amp;RS=da3.0" w:history="1">
        <w:r w:rsidRPr="00C83BB2">
          <w:rPr>
            <w:rStyle w:val="Hyperlink"/>
            <w:rFonts w:ascii="Times New Roman" w:eastAsiaTheme="minorHAnsi" w:hAnsi="Times New Roman"/>
            <w:i/>
            <w:iCs/>
            <w:sz w:val="20"/>
            <w:szCs w:val="20"/>
          </w:rPr>
          <w:t>Deposit Guar. Nat’l Bank v. Roper</w:t>
        </w:r>
        <w:r w:rsidRPr="00C83BB2">
          <w:rPr>
            <w:rStyle w:val="Hyperlink"/>
            <w:rFonts w:ascii="Times New Roman" w:eastAsiaTheme="minorHAnsi" w:hAnsi="Times New Roman"/>
            <w:sz w:val="20"/>
            <w:szCs w:val="20"/>
          </w:rPr>
          <w:t>, 445 U.S. 326 (1980)</w:t>
        </w:r>
      </w:hyperlink>
      <w:r w:rsidRPr="00C83BB2">
        <w:rPr>
          <w:rFonts w:ascii="Times New Roman" w:hAnsi="Times New Roman" w:cs="Times New Roman"/>
        </w:rPr>
        <w:t>.</w:t>
      </w:r>
    </w:p>
  </w:footnote>
  <w:footnote w:id="79">
    <w:p w14:paraId="0CDA3461" w14:textId="24776ED0" w:rsidR="00EB5259" w:rsidRPr="00C83BB2" w:rsidRDefault="00EB5259">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hyperlink r:id="rId20" w:tooltip="https://www.westlaw.com/Document/I1a7b61a14a0f11dba16d88fb847e95e5/View/FullText.html?transitionType=Default&amp;contextData=(sc.Default)&amp;VR=3.0&amp;RS=da3.0" w:history="1">
        <w:r w:rsidRPr="00C83BB2">
          <w:rPr>
            <w:rStyle w:val="Hyperlink"/>
            <w:rFonts w:ascii="Times New Roman" w:eastAsiaTheme="minorHAnsi" w:hAnsi="Times New Roman"/>
            <w:sz w:val="20"/>
            <w:szCs w:val="20"/>
          </w:rPr>
          <w:t xml:space="preserve">Arthur R. Miller, </w:t>
        </w:r>
        <w:bookmarkStart w:id="17" w:name="dabmci_3f6c6741b31f4e4ebd1d15b11f69ec34"/>
        <w:r w:rsidRPr="00C83BB2">
          <w:rPr>
            <w:rStyle w:val="Hyperlink"/>
            <w:rFonts w:ascii="Times New Roman" w:eastAsiaTheme="minorHAnsi" w:hAnsi="Times New Roman"/>
            <w:sz w:val="20"/>
            <w:szCs w:val="20"/>
          </w:rPr>
          <w:t>Of Frankenstein Monsters and Shining Knights: Myth, Reality, and the “Class Action Problem,” 92 Harv. L. Rev. 664 (1979)</w:t>
        </w:r>
        <w:bookmarkEnd w:id="17"/>
      </w:hyperlink>
      <w:r w:rsidRPr="00C83BB2">
        <w:rPr>
          <w:rFonts w:ascii="Times New Roman" w:hAnsi="Times New Roman" w:cs="Times New Roman"/>
        </w:rPr>
        <w:t>.</w:t>
      </w:r>
    </w:p>
  </w:footnote>
  <w:footnote w:id="80">
    <w:p w14:paraId="2B8D2E0C" w14:textId="36E0283A" w:rsidR="00ED4E4F" w:rsidRPr="00C83BB2" w:rsidRDefault="00ED4E4F">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hyperlink r:id="rId21" w:tooltip="https://www.westlaw.com/Document/Icf707c851b6111e38578f7ccc38dcbee/View/FullText.html?transitionType=Default&amp;contextData=(sc.Default)&amp;VR=3.0&amp;RS=da3.0&amp;fragmentIdentifier=co_pp_sp_195297_731" w:history="1">
        <w:r w:rsidRPr="00C83BB2">
          <w:rPr>
            <w:rStyle w:val="Hyperlink"/>
            <w:rFonts w:ascii="Times New Roman" w:eastAsiaTheme="minorHAnsi" w:hAnsi="Times New Roman"/>
            <w:sz w:val="20"/>
            <w:szCs w:val="20"/>
          </w:rPr>
          <w:t xml:space="preserve">Robert Klonoff, </w:t>
        </w:r>
        <w:bookmarkStart w:id="18" w:name="dabmci_3ded93415db1448fa9a4744cc8533b9d"/>
        <w:r w:rsidRPr="00C83BB2">
          <w:rPr>
            <w:rStyle w:val="Hyperlink"/>
            <w:rFonts w:ascii="Times New Roman" w:eastAsiaTheme="minorHAnsi" w:hAnsi="Times New Roman"/>
            <w:sz w:val="20"/>
            <w:szCs w:val="20"/>
          </w:rPr>
          <w:t>The Decline of Class Actions, 90 Wash. U. L. Rev. 729, 731–32 (2013)</w:t>
        </w:r>
        <w:bookmarkEnd w:id="18"/>
      </w:hyperlink>
      <w:r w:rsidRPr="00C83BB2">
        <w:rPr>
          <w:rFonts w:ascii="Times New Roman" w:hAnsi="Times New Roman" w:cs="Times New Roman"/>
        </w:rPr>
        <w:t>.</w:t>
      </w:r>
    </w:p>
  </w:footnote>
  <w:footnote w:id="81">
    <w:p w14:paraId="7563B4C8" w14:textId="35620BA6" w:rsidR="006205C8" w:rsidRPr="00C83BB2" w:rsidRDefault="006205C8">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proofErr w:type="spellStart"/>
      <w:r w:rsidRPr="00C83BB2">
        <w:rPr>
          <w:rFonts w:ascii="Times New Roman" w:hAnsi="Times New Roman" w:cs="Times New Roman"/>
          <w:lang w:val="en-US"/>
        </w:rPr>
        <w:t>Véase</w:t>
      </w:r>
      <w:proofErr w:type="spellEnd"/>
      <w:r w:rsidRPr="00C83BB2">
        <w:rPr>
          <w:rFonts w:ascii="Times New Roman" w:hAnsi="Times New Roman" w:cs="Times New Roman"/>
          <w:lang w:val="en-US"/>
        </w:rPr>
        <w:t xml:space="preserve"> </w:t>
      </w:r>
      <w:hyperlink r:id="rId22" w:tooltip="https://www.westlaw.com/Document/I2f6eecca5cd811e8a7a8babcb3077f93/View/FullText.html?transitionType=Default&amp;contextData=(sc.Default)&amp;VR=3.0&amp;RS=da3.0" w:history="1">
        <w:r w:rsidRPr="00C83BB2">
          <w:rPr>
            <w:rStyle w:val="Hyperlink"/>
            <w:rFonts w:ascii="Times New Roman" w:eastAsiaTheme="minorHAnsi" w:hAnsi="Times New Roman"/>
            <w:i/>
            <w:iCs/>
            <w:sz w:val="20"/>
            <w:szCs w:val="20"/>
          </w:rPr>
          <w:t>Epic Systems Corp. v. Lewis</w:t>
        </w:r>
        <w:r w:rsidRPr="00C83BB2">
          <w:rPr>
            <w:rStyle w:val="Hyperlink"/>
            <w:rFonts w:ascii="Times New Roman" w:eastAsiaTheme="minorHAnsi" w:hAnsi="Times New Roman"/>
            <w:sz w:val="20"/>
            <w:szCs w:val="20"/>
          </w:rPr>
          <w:t>, 138 S. Ct. 1612 (2018)</w:t>
        </w:r>
      </w:hyperlink>
      <w:r w:rsidRPr="00C83BB2">
        <w:rPr>
          <w:rFonts w:ascii="Times New Roman" w:hAnsi="Times New Roman" w:cs="Times New Roman"/>
        </w:rPr>
        <w:t xml:space="preserve">; </w:t>
      </w:r>
      <w:bookmarkStart w:id="19" w:name="dabmci_e97d3a44f74545d0a299476d7bb367a4"/>
      <w:r w:rsidRPr="00C83BB2">
        <w:rPr>
          <w:rFonts w:ascii="Times New Roman" w:hAnsi="Times New Roman" w:cs="Times New Roman"/>
        </w:rPr>
        <w:fldChar w:fldCharType="begin"/>
      </w:r>
      <w:r w:rsidRPr="00C83BB2">
        <w:rPr>
          <w:rFonts w:ascii="Times New Roman" w:hAnsi="Times New Roman" w:cs="Times New Roman"/>
        </w:rPr>
        <w:instrText xml:space="preserve">TA \l "American Express Co. v. Italian Colors Restaurant" \s "A;O;49;dabmci_3a6870a3d0ca4dafaf14cd4781c60445_1;I80e6e305d98c11e28502bda794601919;;0;F;American Express Co. v. Italian Colors Restaurant, 133 S. Ct. 2304 (2013)" \c 3 </w:instrText>
      </w:r>
      <w:r w:rsidRPr="00C83BB2">
        <w:rPr>
          <w:rFonts w:ascii="Times New Roman" w:hAnsi="Times New Roman" w:cs="Times New Roman"/>
        </w:rPr>
        <w:fldChar w:fldCharType="end"/>
      </w:r>
      <w:hyperlink r:id="rId23" w:tooltip="https://www.westlaw.com/Document/I80e6e305d98c11e28502bda794601919/View/FullText.html?transitionType=Default&amp;contextData=(sc.Default)&amp;VR=3.0&amp;RS=da3.0" w:history="1">
        <w:r w:rsidRPr="00C83BB2">
          <w:rPr>
            <w:rStyle w:val="Hyperlink"/>
            <w:rFonts w:ascii="Times New Roman" w:eastAsiaTheme="minorHAnsi" w:hAnsi="Times New Roman"/>
            <w:i/>
            <w:iCs/>
            <w:sz w:val="20"/>
            <w:szCs w:val="20"/>
          </w:rPr>
          <w:t>American Express Co. v. Italian Colors Restaurant</w:t>
        </w:r>
        <w:r w:rsidRPr="00C83BB2">
          <w:rPr>
            <w:rStyle w:val="Hyperlink"/>
            <w:rFonts w:ascii="Times New Roman" w:eastAsiaTheme="minorHAnsi" w:hAnsi="Times New Roman"/>
            <w:sz w:val="20"/>
            <w:szCs w:val="20"/>
          </w:rPr>
          <w:t>, 133 S. Ct. 2304 (2013)</w:t>
        </w:r>
        <w:bookmarkEnd w:id="19"/>
      </w:hyperlink>
      <w:r w:rsidRPr="00C83BB2">
        <w:rPr>
          <w:rFonts w:ascii="Times New Roman" w:hAnsi="Times New Roman" w:cs="Times New Roman"/>
        </w:rPr>
        <w:t xml:space="preserve">; </w:t>
      </w:r>
      <w:bookmarkStart w:id="20" w:name="dabmci_c0adb44130824192ae7a62ecf2ccb8ea"/>
      <w:r w:rsidRPr="00C83BB2">
        <w:rPr>
          <w:rFonts w:ascii="Times New Roman" w:hAnsi="Times New Roman" w:cs="Times New Roman"/>
        </w:rPr>
        <w:fldChar w:fldCharType="begin"/>
      </w:r>
      <w:r w:rsidRPr="00C83BB2">
        <w:rPr>
          <w:rFonts w:ascii="Times New Roman" w:hAnsi="Times New Roman" w:cs="Times New Roman"/>
        </w:rPr>
        <w:instrText xml:space="preserve">TA \l "AT&amp;T Mobility LLC v. Concepcion" \s "A;O;31;dabmci_5e0923b1b22143789bc8f4e780dc77e2_1;I2cd0aa5870bc11e0a34df17ea74c323f;;0;F;AT&amp;T Mobility LLC v. Concepcion, 563 U.S. 333 (2011)" \c 3 </w:instrText>
      </w:r>
      <w:r w:rsidRPr="00C83BB2">
        <w:rPr>
          <w:rFonts w:ascii="Times New Roman" w:hAnsi="Times New Roman" w:cs="Times New Roman"/>
        </w:rPr>
        <w:fldChar w:fldCharType="end"/>
      </w:r>
      <w:hyperlink r:id="rId24" w:tooltip="https://www.westlaw.com/Document/I2cd0aa5870bc11e0a34df17ea74c323f/View/FullText.html?transitionType=Default&amp;contextData=(sc.Default)&amp;VR=3.0&amp;RS=da3.0" w:history="1">
        <w:r w:rsidRPr="00C83BB2">
          <w:rPr>
            <w:rStyle w:val="Hyperlink"/>
            <w:rFonts w:ascii="Times New Roman" w:eastAsiaTheme="minorHAnsi" w:hAnsi="Times New Roman"/>
            <w:i/>
            <w:iCs/>
            <w:sz w:val="20"/>
            <w:szCs w:val="20"/>
          </w:rPr>
          <w:t>AT&amp;T Mobility LLC v. Concepcion</w:t>
        </w:r>
        <w:r w:rsidRPr="00C83BB2">
          <w:rPr>
            <w:rStyle w:val="Hyperlink"/>
            <w:rFonts w:ascii="Times New Roman" w:eastAsiaTheme="minorHAnsi" w:hAnsi="Times New Roman"/>
            <w:sz w:val="20"/>
            <w:szCs w:val="20"/>
          </w:rPr>
          <w:t>, 563 U.S. 333 (2011)</w:t>
        </w:r>
        <w:bookmarkEnd w:id="20"/>
      </w:hyperlink>
      <w:r w:rsidRPr="00C83BB2">
        <w:rPr>
          <w:rFonts w:ascii="Times New Roman" w:hAnsi="Times New Roman" w:cs="Times New Roman"/>
        </w:rPr>
        <w:t>.</w:t>
      </w:r>
    </w:p>
  </w:footnote>
  <w:footnote w:id="82">
    <w:p w14:paraId="31842E48" w14:textId="019BE7AB" w:rsidR="00824AEC" w:rsidRPr="00C83BB2" w:rsidRDefault="00824AEC">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hyperlink r:id="rId25" w:tooltip="https://www.westlaw.com/Document/Iec8096a1f5cd11e79bf099c0ee06c731/View/FullText.html?transitionType=Default&amp;contextData=(sc.Default)&amp;VR=3.0&amp;RS=da3.0&amp;fragmentIdentifier=co_pp_sp_101925_815" w:history="1">
        <w:r w:rsidRPr="00C83BB2">
          <w:rPr>
            <w:rStyle w:val="Hyperlink"/>
            <w:rFonts w:ascii="Times New Roman" w:eastAsiaTheme="minorHAnsi" w:hAnsi="Times New Roman"/>
            <w:sz w:val="20"/>
            <w:szCs w:val="20"/>
          </w:rPr>
          <w:t xml:space="preserve">Eric K. Yamamoto, </w:t>
        </w:r>
        <w:bookmarkStart w:id="21" w:name="dabmci_2620ce543bdd46e4b9eef19f3ee25fd9"/>
        <w:r w:rsidRPr="00C83BB2">
          <w:rPr>
            <w:rStyle w:val="Hyperlink"/>
            <w:rFonts w:ascii="Times New Roman" w:eastAsiaTheme="minorHAnsi" w:hAnsi="Times New Roman"/>
            <w:sz w:val="20"/>
            <w:szCs w:val="20"/>
          </w:rPr>
          <w:t>Critical Procedure: ADR and the Justices’ “Second Wave” Constriction of Court Access and Claim Development, 70 SMU L. Rev. 765, 815 (2017)</w:t>
        </w:r>
        <w:bookmarkEnd w:id="21"/>
      </w:hyperlink>
      <w:r w:rsidRPr="00C83BB2">
        <w:rPr>
          <w:rFonts w:ascii="Times New Roman" w:hAnsi="Times New Roman" w:cs="Times New Roman"/>
        </w:rPr>
        <w:t>.</w:t>
      </w:r>
    </w:p>
  </w:footnote>
  <w:footnote w:id="83">
    <w:p w14:paraId="338122CE" w14:textId="541DC028" w:rsidR="002616AD" w:rsidRPr="00C83BB2" w:rsidRDefault="002616AD">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bookmarkStart w:id="22" w:name="dabmci_c2715ee14870490abd3ce9f62864ee93"/>
      <w:r w:rsidRPr="00C83BB2">
        <w:rPr>
          <w:rFonts w:ascii="Times New Roman" w:hAnsi="Times New Roman" w:cs="Times New Roman"/>
          <w:i/>
        </w:rPr>
        <w:t>Id.</w:t>
      </w:r>
      <w:r w:rsidRPr="00C83BB2">
        <w:rPr>
          <w:rFonts w:ascii="Times New Roman" w:hAnsi="Times New Roman" w:cs="Times New Roman"/>
        </w:rPr>
        <w:t xml:space="preserve"> at 814–16</w:t>
      </w:r>
      <w:bookmarkEnd w:id="22"/>
      <w:r w:rsidRPr="00C83BB2">
        <w:rPr>
          <w:rFonts w:ascii="Times New Roman" w:hAnsi="Times New Roman" w:cs="Times New Roman"/>
        </w:rPr>
        <w:t>.</w:t>
      </w:r>
    </w:p>
  </w:footnote>
  <w:footnote w:id="84">
    <w:p w14:paraId="2BDC7C59" w14:textId="4B16F027" w:rsidR="001B2E91" w:rsidRPr="00C83BB2" w:rsidRDefault="001B2E91">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hyperlink r:id="rId26" w:tooltip="https://www.westlaw.com/Document/Ibe01528ca31e11e28578f7ccc38dcbee/View/FullText.html?transitionType=Default&amp;contextData=(sc.Default)&amp;VR=3.0&amp;RS=da3.0" w:history="1">
        <w:r w:rsidRPr="00C83BB2">
          <w:rPr>
            <w:rStyle w:val="Hyperlink"/>
            <w:rFonts w:ascii="Times New Roman" w:eastAsiaTheme="minorHAnsi" w:hAnsi="Times New Roman"/>
            <w:color w:val="000000" w:themeColor="text1"/>
            <w:sz w:val="20"/>
            <w:szCs w:val="20"/>
          </w:rPr>
          <w:t xml:space="preserve">Benjamin Levin, </w:t>
        </w:r>
        <w:bookmarkStart w:id="23" w:name="dabmci_388758f844b04412a264da037d57129a"/>
        <w:r w:rsidRPr="00C83BB2">
          <w:rPr>
            <w:rStyle w:val="Hyperlink"/>
            <w:rFonts w:ascii="Times New Roman" w:eastAsiaTheme="minorHAnsi" w:hAnsi="Times New Roman"/>
            <w:color w:val="000000" w:themeColor="text1"/>
            <w:sz w:val="20"/>
            <w:szCs w:val="20"/>
          </w:rPr>
          <w:t>American Gangsters: RICO, Criminal Syndicates and Conspiracy Law as Market Control, 48 Harv. C.R.-C.L. L. Rev. 105 (2013)</w:t>
        </w:r>
        <w:bookmarkEnd w:id="23"/>
      </w:hyperlink>
      <w:r w:rsidRPr="00C83BB2">
        <w:rPr>
          <w:rFonts w:ascii="Times New Roman" w:hAnsi="Times New Roman" w:cs="Times New Roman"/>
          <w:color w:val="000000" w:themeColor="text1"/>
        </w:rPr>
        <w:t>.</w:t>
      </w:r>
    </w:p>
  </w:footnote>
  <w:footnote w:id="85">
    <w:p w14:paraId="3E4A7BAD" w14:textId="6592946C" w:rsidR="00AB73C2" w:rsidRPr="00C83BB2" w:rsidRDefault="00AB73C2">
      <w:pPr>
        <w:pStyle w:val="FootnoteText"/>
        <w:rPr>
          <w:rFonts w:ascii="Times New Roman" w:hAnsi="Times New Roman" w:cs="Times New Roman"/>
          <w:i/>
          <w:iCs/>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i/>
          <w:iCs/>
          <w:lang w:val="en-US"/>
        </w:rPr>
        <w:t xml:space="preserve">Id. </w:t>
      </w:r>
    </w:p>
  </w:footnote>
  <w:footnote w:id="86">
    <w:p w14:paraId="17A3178A" w14:textId="150AFF5A" w:rsidR="00873F65" w:rsidRPr="00C83BB2" w:rsidRDefault="00873F65">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Native American Protester Calls for Dismissal of Vengeful Dakota Access Pipeline Lawsuit, Center for Constitutional Rights (Jan. 28, 2019), https://ccrjustice.org/home/press-center/‌press-releases/native-american-protester-calls-dismissal-vengeful-dakota-access.</w:t>
      </w:r>
    </w:p>
  </w:footnote>
  <w:footnote w:id="87">
    <w:p w14:paraId="2DCB486C" w14:textId="38FA1D33" w:rsidR="00052685" w:rsidRPr="00C83BB2" w:rsidRDefault="00052685" w:rsidP="00052685">
      <w:pPr>
        <w:spacing w:after="0" w:line="240" w:lineRule="auto"/>
        <w:rPr>
          <w:rFonts w:ascii="Times New Roman" w:hAnsi="Times New Roman" w:cs="Times New Roman"/>
          <w:sz w:val="20"/>
          <w:szCs w:val="20"/>
        </w:rPr>
      </w:pPr>
      <w:r w:rsidRPr="00C83BB2">
        <w:rPr>
          <w:rStyle w:val="FootnoteReference"/>
          <w:rFonts w:ascii="Times New Roman" w:hAnsi="Times New Roman" w:cs="Times New Roman"/>
          <w:sz w:val="20"/>
          <w:szCs w:val="20"/>
        </w:rPr>
        <w:footnoteRef/>
      </w:r>
      <w:r w:rsidRPr="00C83BB2">
        <w:rPr>
          <w:rFonts w:ascii="Times New Roman" w:hAnsi="Times New Roman" w:cs="Times New Roman"/>
          <w:sz w:val="20"/>
          <w:szCs w:val="20"/>
        </w:rPr>
        <w:t xml:space="preserve"> </w:t>
      </w:r>
      <w:r w:rsidRPr="00C83BB2">
        <w:rPr>
          <w:rFonts w:ascii="Times New Roman" w:hAnsi="Times New Roman" w:cs="Times New Roman"/>
          <w:sz w:val="20"/>
          <w:szCs w:val="20"/>
        </w:rPr>
        <w:t>Tras la desestimación de la demanda en virtud de la ley RICO en un tribunal federal, la empresa constructora del oleoducto presentó una demanda ante un tribunal estatal. Finalmente, un jurado declaró a Greenpeace responsable de difamación y de las acciones de los manifestantes que supuestamente causaron daños a la empresa constructora, y condenó a la organización sin fines de lucro a pagar 667 millones de dólares en concepto de daños y perjuicios compensatorios y punitivos.</w:t>
      </w:r>
    </w:p>
  </w:footnote>
  <w:footnote w:id="88">
    <w:p w14:paraId="557F19E5" w14:textId="7BF17657" w:rsidR="00D04E34" w:rsidRPr="00C83BB2" w:rsidRDefault="00D04E34">
      <w:pPr>
        <w:pStyle w:val="FootnoteText"/>
        <w:rPr>
          <w:rFonts w:ascii="Times New Roman" w:hAnsi="Times New Roman" w:cs="Times New Roman"/>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Véase Nick Reynolds, «Las escuelas revisan el plan de estudios, pero siguen en el punto de mira por “blanquear” la historia», Newsweek (17 de noviembre de 2022), https://www.newsweek.com/schools-revise-curriculum-still-under-fire-whitewashing-history-1760497; véase también Hannah Natanson, «Virginia está cambiando la forma de enseñar historia y ciencias sociales». Así es como lo hace, Wash. Post (16 de noviembre de 2022), washingtonpost.com/educa- tion/2022/11/16/virginia-school-history-standards-youngkin/; Andrew Atterbury, «Las juntas escolares respaldadas por DeSantis comienzan a destituir a educadores de Florida», Politico (30 de noviembre de 2022), politico.com/news/2022/11/30/desantis-school-board-covid-00071305.</w:t>
      </w:r>
    </w:p>
  </w:footnote>
  <w:footnote w:id="89">
    <w:p w14:paraId="3F0DCBBA" w14:textId="60676A3F" w:rsidR="007D31E9" w:rsidRPr="00C83BB2" w:rsidRDefault="007D31E9">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Véase, por ejemplo, Duncan Kennedy, «Legal Education and the Reproduction of Hierarchy», 32 J. Legal Educ. 591 (1982); Lani Guinier, Michelle Fine, Jane Balin, Ann Bartow y Deborah Lee Stachel, «Becoming Gentlemen: Women’s Experiences at One Ivy League Law School», 143 U. Pa. L. Rev. 1 (1994); Daria Roithmayr, Deconstructing the Distinction Between Bias and Merit, 85 Cal L. Rev. 1449 (1997) y 10 La Raza L.J. 363 (1998).</w:t>
      </w:r>
    </w:p>
  </w:footnote>
  <w:footnote w:id="90">
    <w:p w14:paraId="660CD5BA" w14:textId="42DB3BD5" w:rsidR="00316E10" w:rsidRPr="00C83BB2" w:rsidRDefault="00316E10">
      <w:pPr>
        <w:pStyle w:val="FootnoteText"/>
        <w:rPr>
          <w:rFonts w:ascii="Times New Roman" w:hAnsi="Times New Roman" w:cs="Times New Roman"/>
          <w:lang w:val="es-PR"/>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Véase Brown contra la Junta de Educación de Topeka, 347 U.S. 483 (1954). </w:t>
      </w:r>
    </w:p>
  </w:footnote>
  <w:footnote w:id="91">
    <w:p w14:paraId="7E2A2FCC" w14:textId="4E703854" w:rsidR="00E472E6" w:rsidRPr="00C83BB2" w:rsidRDefault="00E472E6">
      <w:pPr>
        <w:pStyle w:val="FootnoteText"/>
        <w:rPr>
          <w:rFonts w:ascii="Times New Roman" w:hAnsi="Times New Roman" w:cs="Times New Roman"/>
          <w:lang w:val="es-PR"/>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Véase, en general, C. Wright Mills, La élite del poder (1956).</w:t>
      </w:r>
    </w:p>
  </w:footnote>
  <w:footnote w:id="92">
    <w:p w14:paraId="526B67CD" w14:textId="55BE376F" w:rsidR="006C75FF" w:rsidRPr="00C83BB2" w:rsidRDefault="006C75FF">
      <w:pPr>
        <w:pStyle w:val="FootnoteText"/>
        <w:rPr>
          <w:rFonts w:ascii="Times New Roman" w:hAnsi="Times New Roman" w:cs="Times New Roman"/>
          <w:lang w:val="es-PR"/>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https://envirodatagov.org/project2025-foreword-annotated/.</w:t>
      </w:r>
    </w:p>
  </w:footnote>
  <w:footnote w:id="93">
    <w:p w14:paraId="3CAD7A43" w14:textId="5805C911" w:rsidR="002942C3" w:rsidRPr="00C83BB2" w:rsidRDefault="002942C3">
      <w:pPr>
        <w:pStyle w:val="FootnoteText"/>
        <w:rPr>
          <w:rFonts w:ascii="Times New Roman" w:hAnsi="Times New Roman" w:cs="Times New Roman"/>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https://www.insidehighered.com/sites/default/files/202407/Project%202025%20Education%20Department.pdf.a</w:t>
      </w:r>
    </w:p>
  </w:footnote>
  <w:footnote w:id="94">
    <w:p w14:paraId="4AE3AD86" w14:textId="0CE57213" w:rsidR="00AA6C6F" w:rsidRPr="00C83BB2" w:rsidRDefault="00AA6C6F">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Jennifer Nedelsky, Private Property and the Limits of American Constitutionalism: The Madisonian Framework and Its Legacy 1–3 (1990).</w:t>
      </w:r>
    </w:p>
  </w:footnote>
  <w:footnote w:id="95">
    <w:p w14:paraId="1DA2D544" w14:textId="715ADBE6" w:rsidR="00AA6C6F" w:rsidRPr="00C83BB2" w:rsidRDefault="00AA6C6F">
      <w:pPr>
        <w:pStyle w:val="FootnoteText"/>
        <w:rPr>
          <w:rFonts w:ascii="Times New Roman" w:hAnsi="Times New Roman" w:cs="Times New Roman"/>
          <w:lang w:val="es-PR"/>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i/>
          <w:iCs/>
          <w:lang w:val="es-PR"/>
        </w:rPr>
        <w:t xml:space="preserve">Id. </w:t>
      </w:r>
      <w:r w:rsidRPr="00C83BB2">
        <w:rPr>
          <w:rFonts w:ascii="Times New Roman" w:hAnsi="Times New Roman" w:cs="Times New Roman"/>
          <w:lang w:val="es-PR"/>
        </w:rPr>
        <w:t xml:space="preserve">en 1. </w:t>
      </w:r>
    </w:p>
  </w:footnote>
  <w:footnote w:id="96">
    <w:p w14:paraId="43FE1FF7" w14:textId="1FC2A1FA" w:rsidR="003C5531" w:rsidRPr="00C83BB2" w:rsidRDefault="003C5531">
      <w:pPr>
        <w:pStyle w:val="FootnoteText"/>
        <w:rPr>
          <w:rFonts w:ascii="Times New Roman" w:hAnsi="Times New Roman" w:cs="Times New Roman"/>
          <w:i/>
          <w:iCs/>
          <w:lang w:val="es-PR"/>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i/>
          <w:iCs/>
          <w:lang w:val="es-PR"/>
        </w:rPr>
        <w:t>Id.</w:t>
      </w:r>
    </w:p>
  </w:footnote>
  <w:footnote w:id="97">
    <w:p w14:paraId="313D3DA0" w14:textId="40426859" w:rsidR="003C5531" w:rsidRPr="00C83BB2" w:rsidRDefault="003C5531">
      <w:pPr>
        <w:pStyle w:val="FootnoteText"/>
        <w:rPr>
          <w:rFonts w:ascii="Times New Roman" w:hAnsi="Times New Roman" w:cs="Times New Roman"/>
          <w:lang w:val="es-PR"/>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i/>
          <w:iCs/>
          <w:lang w:val="es-PR"/>
        </w:rPr>
        <w:t xml:space="preserve">Id. </w:t>
      </w:r>
      <w:r w:rsidRPr="00C83BB2">
        <w:rPr>
          <w:rFonts w:ascii="Times New Roman" w:hAnsi="Times New Roman" w:cs="Times New Roman"/>
          <w:lang w:val="es-PR"/>
        </w:rPr>
        <w:t xml:space="preserve">en 2. </w:t>
      </w:r>
    </w:p>
  </w:footnote>
  <w:footnote w:id="98">
    <w:p w14:paraId="635CA5F2" w14:textId="6B97CDDC" w:rsidR="004B4165" w:rsidRPr="00C83BB2" w:rsidRDefault="004B4165">
      <w:pPr>
        <w:pStyle w:val="FootnoteText"/>
        <w:rPr>
          <w:rFonts w:ascii="Times New Roman" w:hAnsi="Times New Roman" w:cs="Times New Roman"/>
          <w:lang w:val="es-PR"/>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hyperlink r:id="rId27" w:history="1">
        <w:r w:rsidRPr="00C83BB2">
          <w:rPr>
            <w:rStyle w:val="Hyperlink"/>
            <w:rFonts w:ascii="Times New Roman" w:eastAsiaTheme="minorHAnsi" w:hAnsi="Times New Roman"/>
            <w:sz w:val="20"/>
            <w:szCs w:val="20"/>
          </w:rPr>
          <w:t>www.billofrightsinstitute.org/founding-documents/primary-source-documents/the-federalist-papers/federalist-papers-no-10/</w:t>
        </w:r>
      </w:hyperlink>
      <w:r w:rsidRPr="00C83BB2">
        <w:rPr>
          <w:rFonts w:ascii="Times New Roman" w:hAnsi="Times New Roman" w:cs="Times New Roman"/>
        </w:rPr>
        <w:t>.</w:t>
      </w:r>
    </w:p>
  </w:footnote>
  <w:footnote w:id="99">
    <w:p w14:paraId="5710B9F6" w14:textId="5896BA46" w:rsidR="004B4165" w:rsidRPr="00C83BB2" w:rsidRDefault="004B4165">
      <w:pPr>
        <w:pStyle w:val="FootnoteText"/>
        <w:rPr>
          <w:rFonts w:ascii="Times New Roman" w:hAnsi="Times New Roman" w:cs="Times New Roman"/>
          <w:i/>
          <w:iCs/>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i/>
          <w:iCs/>
          <w:lang w:val="en-US"/>
        </w:rPr>
        <w:t>Id.</w:t>
      </w:r>
    </w:p>
  </w:footnote>
  <w:footnote w:id="100">
    <w:p w14:paraId="7B0570BA" w14:textId="2DC2A282" w:rsidR="00FC2819" w:rsidRPr="00C83BB2" w:rsidRDefault="00FC2819">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Gordon S. Wood, The Creation of the American Republic 410–11 (1969).</w:t>
      </w:r>
    </w:p>
  </w:footnote>
  <w:footnote w:id="101">
    <w:p w14:paraId="556E1813" w14:textId="11BDE579" w:rsidR="005F2CD7" w:rsidRPr="00C83BB2" w:rsidRDefault="005F2CD7">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Churchill statement, House of Commons, Nov. 11, 1947, quoting an unknown earlier speaker. </w:t>
      </w:r>
      <w:r w:rsidRPr="00C83BB2">
        <w:rPr>
          <w:rFonts w:ascii="Times New Roman" w:hAnsi="Times New Roman" w:cs="Times New Roman"/>
        </w:rPr>
        <w:fldChar w:fldCharType="begin"/>
      </w:r>
      <w:r w:rsidRPr="00C83BB2">
        <w:rPr>
          <w:rFonts w:ascii="Times New Roman" w:hAnsi="Times New Roman" w:cs="Times New Roman"/>
        </w:rPr>
        <w:instrText xml:space="preserve"> TA \l "Churchill by Himself: The Definitive Collection of Quotations vii (2008)" \s "Churchill by Himself: The Definitive Collection of Quotations vii (2008)" \c 13 </w:instrText>
      </w:r>
      <w:r w:rsidRPr="00C83BB2">
        <w:rPr>
          <w:rFonts w:ascii="Times New Roman" w:hAnsi="Times New Roman" w:cs="Times New Roman"/>
        </w:rPr>
        <w:fldChar w:fldCharType="end"/>
      </w:r>
      <w:r w:rsidRPr="00C83BB2">
        <w:rPr>
          <w:rFonts w:ascii="Times New Roman" w:hAnsi="Times New Roman" w:cs="Times New Roman"/>
        </w:rPr>
        <w:t>Churchill by Himself: The Definitive Collection of Quotations vii (2008).</w:t>
      </w:r>
    </w:p>
  </w:footnote>
  <w:footnote w:id="102">
    <w:p w14:paraId="73E6DB88" w14:textId="13D2C52C" w:rsidR="008F15EE" w:rsidRPr="00C83BB2" w:rsidRDefault="008F15EE">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hyperlink r:id="rId28" w:tooltip="https://www.westlaw.com/Document/Ibde366689c2511d9bc61beebb95be672/View/FullText.html?transitionType=Default&amp;contextData=(sc.Default)&amp;VR=3.0&amp;RS=da3.0" w:history="1">
        <w:r w:rsidRPr="00C83BB2">
          <w:rPr>
            <w:rStyle w:val="Hyperlink"/>
            <w:rFonts w:ascii="Times New Roman" w:eastAsiaTheme="minorHAnsi" w:hAnsi="Times New Roman"/>
            <w:i/>
            <w:iCs/>
            <w:sz w:val="20"/>
            <w:szCs w:val="20"/>
          </w:rPr>
          <w:t>Bush v. Gore</w:t>
        </w:r>
        <w:r w:rsidRPr="00C83BB2">
          <w:rPr>
            <w:rStyle w:val="Hyperlink"/>
            <w:rFonts w:ascii="Times New Roman" w:eastAsiaTheme="minorHAnsi" w:hAnsi="Times New Roman"/>
            <w:sz w:val="20"/>
            <w:szCs w:val="20"/>
          </w:rPr>
          <w:t>, 531 U.S. 98 (2000)</w:t>
        </w:r>
      </w:hyperlink>
      <w:r w:rsidRPr="00C83BB2">
        <w:rPr>
          <w:rFonts w:ascii="Times New Roman" w:hAnsi="Times New Roman" w:cs="Times New Roman"/>
        </w:rPr>
        <w:t>.</w:t>
      </w:r>
    </w:p>
  </w:footnote>
  <w:footnote w:id="103">
    <w:p w14:paraId="023F126B" w14:textId="5CDD139C" w:rsidR="004063AC" w:rsidRPr="00C83BB2" w:rsidRDefault="004063AC">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bdr w:val="none" w:sz="0" w:space="0" w:color="auto" w:frame="1"/>
        </w:rPr>
        <w:t>Catherine Powell and Camille Gear Rich, The “Welfare Queen” Goes to the Polls: Race-Based Fractures in Gender Politics and Opportunities for Intersectional Coalitions</w:t>
      </w:r>
      <w:r w:rsidRPr="00C83BB2">
        <w:rPr>
          <w:rStyle w:val="Emphasis"/>
          <w:rFonts w:ascii="Times New Roman" w:hAnsi="Times New Roman" w:cs="Times New Roman"/>
          <w:bdr w:val="none" w:sz="0" w:space="0" w:color="auto" w:frame="1"/>
        </w:rPr>
        <w:t>,</w:t>
      </w:r>
      <w:r w:rsidRPr="00C83BB2">
        <w:rPr>
          <w:rFonts w:ascii="Times New Roman" w:hAnsi="Times New Roman" w:cs="Times New Roman"/>
          <w:bdr w:val="none" w:sz="0" w:space="0" w:color="auto" w:frame="1"/>
        </w:rPr>
        <w:t xml:space="preserve"> Geo. L.J. 19th Amend. Special Ed. 105 (2020)</w:t>
      </w:r>
      <w:r w:rsidRPr="00C83BB2">
        <w:rPr>
          <w:rFonts w:ascii="Times New Roman" w:hAnsi="Times New Roman" w:cs="Times New Roman"/>
          <w:noProof/>
          <w:bdr w:val="none" w:sz="0" w:space="0" w:color="auto" w:frame="1"/>
        </w:rPr>
        <w:t>.</w:t>
      </w:r>
    </w:p>
  </w:footnote>
  <w:footnote w:id="104">
    <w:p w14:paraId="37CF51D7" w14:textId="6555EA7A" w:rsidR="005079D8" w:rsidRPr="00C83BB2" w:rsidRDefault="005079D8">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Martin Gilens and Benjamin I. Page, Testing Theories of American Politics: Elites, Interest Groups, and Average Citizens, 12 Perspectives on Politics 564 (Sept. 2014).  </w:t>
      </w:r>
    </w:p>
  </w:footnote>
  <w:footnote w:id="105">
    <w:p w14:paraId="6A97F2A3" w14:textId="77777777" w:rsidR="008C125D" w:rsidRPr="00C83BB2" w:rsidRDefault="008C125D" w:rsidP="008C125D">
      <w:pPr>
        <w:pStyle w:val="FNPara"/>
        <w:spacing w:after="0" w:line="240" w:lineRule="auto"/>
        <w:rPr>
          <w:rFonts w:ascii="Times New Roman" w:hAnsi="Times New Roman"/>
          <w:sz w:val="20"/>
          <w:szCs w:val="20"/>
        </w:rPr>
      </w:pPr>
      <w:r w:rsidRPr="00C83BB2">
        <w:rPr>
          <w:rStyle w:val="FootnoteReference"/>
          <w:rFonts w:ascii="Times New Roman" w:hAnsi="Times New Roman"/>
          <w:sz w:val="20"/>
          <w:szCs w:val="20"/>
        </w:rPr>
        <w:footnoteRef/>
      </w:r>
      <w:r w:rsidRPr="00C83BB2">
        <w:rPr>
          <w:rFonts w:ascii="Times New Roman" w:hAnsi="Times New Roman"/>
          <w:sz w:val="20"/>
          <w:szCs w:val="20"/>
        </w:rPr>
        <w:t xml:space="preserve"> </w:t>
      </w:r>
      <w:hyperlink r:id="rId29" w:tooltip="https://www.westlaw.com/Document/I1094fd815a1e11dbbd2dfa5ce1d08a25/View/FullText.html?transitionType=Default&amp;contextData=(sc.Default)&amp;VR=3.0&amp;RS=da3.0&amp;fragmentIdentifier=co_pp_sp_1199_1496" w:history="1">
        <w:r w:rsidRPr="00C83BB2">
          <w:rPr>
            <w:rStyle w:val="Hyperlink"/>
            <w:rFonts w:ascii="Times New Roman" w:hAnsi="Times New Roman"/>
            <w:sz w:val="20"/>
            <w:szCs w:val="20"/>
          </w:rPr>
          <w:t xml:space="preserve">Terry Smith, </w:t>
        </w:r>
        <w:bookmarkStart w:id="24" w:name="dabmci_1fbff3ba904840a28acc6179d254ec4b"/>
        <w:r w:rsidRPr="00C83BB2">
          <w:rPr>
            <w:rStyle w:val="Hyperlink"/>
            <w:rFonts w:ascii="Times New Roman" w:hAnsi="Times New Roman"/>
            <w:sz w:val="20"/>
            <w:szCs w:val="20"/>
          </w:rPr>
          <w:t>Race and Money in Politics, 79 N.C. L. Rev. 1469, 1496–1500 (2001)</w:t>
        </w:r>
        <w:bookmarkEnd w:id="24"/>
      </w:hyperlink>
      <w:r w:rsidRPr="00C83BB2">
        <w:rPr>
          <w:rFonts w:ascii="Times New Roman" w:hAnsi="Times New Roman"/>
          <w:sz w:val="20"/>
          <w:szCs w:val="20"/>
        </w:rPr>
        <w:t>.</w:t>
      </w:r>
    </w:p>
    <w:p w14:paraId="332CDFD4" w14:textId="624451DF" w:rsidR="008C125D" w:rsidRPr="00C83BB2" w:rsidRDefault="008C125D">
      <w:pPr>
        <w:pStyle w:val="FootnoteText"/>
        <w:rPr>
          <w:rFonts w:ascii="Times New Roman" w:hAnsi="Times New Roman" w:cs="Times New Roman"/>
          <w:lang w:val="en-US"/>
        </w:rPr>
      </w:pPr>
    </w:p>
  </w:footnote>
  <w:footnote w:id="106">
    <w:p w14:paraId="4CBA244C" w14:textId="71FC1369" w:rsidR="008240E1" w:rsidRPr="00C83BB2" w:rsidRDefault="008240E1">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Charles R. Pouncy, Recovery from the Recovery: Law and Contemporary Processes of Accumulation by Dispossession, 26 J. of Civ. Rts. and Eco. Dev. 107 (2010).</w:t>
      </w:r>
    </w:p>
  </w:footnote>
  <w:footnote w:id="107">
    <w:p w14:paraId="0DFA2DA4" w14:textId="74072F92" w:rsidR="00DB1721" w:rsidRPr="00C83BB2" w:rsidRDefault="00DB1721">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Carmen</w:t>
      </w:r>
      <w:r w:rsidRPr="00C83BB2">
        <w:rPr>
          <w:rFonts w:ascii="Times New Roman" w:hAnsi="Times New Roman" w:cs="Times New Roman"/>
          <w:spacing w:val="-10"/>
        </w:rPr>
        <w:t xml:space="preserve"> </w:t>
      </w:r>
      <w:r w:rsidRPr="00C83BB2">
        <w:rPr>
          <w:rFonts w:ascii="Times New Roman" w:hAnsi="Times New Roman" w:cs="Times New Roman"/>
        </w:rPr>
        <w:t>G.</w:t>
      </w:r>
      <w:r w:rsidRPr="00C83BB2">
        <w:rPr>
          <w:rFonts w:ascii="Times New Roman" w:hAnsi="Times New Roman" w:cs="Times New Roman"/>
          <w:spacing w:val="-7"/>
        </w:rPr>
        <w:t xml:space="preserve"> </w:t>
      </w:r>
      <w:r w:rsidRPr="00C83BB2">
        <w:rPr>
          <w:rFonts w:ascii="Times New Roman" w:hAnsi="Times New Roman" w:cs="Times New Roman"/>
        </w:rPr>
        <w:t>Gonzalez</w:t>
      </w:r>
      <w:r w:rsidRPr="00C83BB2">
        <w:rPr>
          <w:rFonts w:ascii="Times New Roman" w:hAnsi="Times New Roman" w:cs="Times New Roman"/>
          <w:spacing w:val="-6"/>
        </w:rPr>
        <w:t xml:space="preserve"> </w:t>
      </w:r>
      <w:r w:rsidRPr="00C83BB2">
        <w:rPr>
          <w:rFonts w:ascii="Times New Roman" w:hAnsi="Times New Roman" w:cs="Times New Roman"/>
        </w:rPr>
        <w:t>and</w:t>
      </w:r>
      <w:r w:rsidRPr="00C83BB2">
        <w:rPr>
          <w:rFonts w:ascii="Times New Roman" w:hAnsi="Times New Roman" w:cs="Times New Roman"/>
          <w:spacing w:val="-15"/>
        </w:rPr>
        <w:t xml:space="preserve"> </w:t>
      </w:r>
      <w:r w:rsidRPr="00C83BB2">
        <w:rPr>
          <w:rFonts w:ascii="Times New Roman" w:hAnsi="Times New Roman" w:cs="Times New Roman"/>
        </w:rPr>
        <w:t>Athena</w:t>
      </w:r>
      <w:r w:rsidRPr="00C83BB2">
        <w:rPr>
          <w:rFonts w:ascii="Times New Roman" w:hAnsi="Times New Roman" w:cs="Times New Roman"/>
          <w:spacing w:val="-6"/>
        </w:rPr>
        <w:t xml:space="preserve"> </w:t>
      </w:r>
      <w:r w:rsidRPr="00C83BB2">
        <w:rPr>
          <w:rFonts w:ascii="Times New Roman" w:hAnsi="Times New Roman" w:cs="Times New Roman"/>
        </w:rPr>
        <w:t>D.</w:t>
      </w:r>
      <w:r w:rsidRPr="00C83BB2">
        <w:rPr>
          <w:rFonts w:ascii="Times New Roman" w:hAnsi="Times New Roman" w:cs="Times New Roman"/>
          <w:spacing w:val="-8"/>
        </w:rPr>
        <w:t xml:space="preserve"> </w:t>
      </w:r>
      <w:r w:rsidRPr="00C83BB2">
        <w:rPr>
          <w:rFonts w:ascii="Times New Roman" w:hAnsi="Times New Roman" w:cs="Times New Roman"/>
        </w:rPr>
        <w:t>Mutua, Mapping Racial Capitalism: Implications for Law, 2 J.L. and Pol. Econ. 127 (2022).</w:t>
      </w:r>
    </w:p>
  </w:footnote>
  <w:footnote w:id="108">
    <w:p w14:paraId="5EEF6738" w14:textId="05DC08F5" w:rsidR="009035F6" w:rsidRPr="00C83BB2" w:rsidRDefault="009035F6">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Pierre Bourdieu, Utopia of Endless Exploitation: The Essence of Neoliberalism, Le Monde Diplomatique (Dec. </w:t>
      </w:r>
      <w:r w:rsidRPr="00C83BB2">
        <w:rPr>
          <w:rFonts w:ascii="Times New Roman" w:hAnsi="Times New Roman" w:cs="Times New Roman"/>
        </w:rPr>
        <w:t xml:space="preserve">1998), </w:t>
      </w:r>
      <w:r w:rsidRPr="00C83BB2">
        <w:rPr>
          <w:rFonts w:ascii="Times New Roman" w:hAnsi="Times New Roman" w:cs="Times New Roman"/>
        </w:rPr>
        <w:fldChar w:fldCharType="begin"/>
      </w:r>
      <w:r w:rsidRPr="00C83BB2">
        <w:rPr>
          <w:rFonts w:ascii="Times New Roman" w:hAnsi="Times New Roman" w:cs="Times New Roman"/>
        </w:rPr>
        <w:instrText>HYPERLINK "http://www.mondediplo.com/1998/12/08bourdieu"</w:instrText>
      </w:r>
      <w:r w:rsidRPr="00C83BB2">
        <w:rPr>
          <w:rFonts w:ascii="Times New Roman" w:hAnsi="Times New Roman" w:cs="Times New Roman"/>
        </w:rPr>
      </w:r>
      <w:r w:rsidRPr="00C83BB2">
        <w:rPr>
          <w:rFonts w:ascii="Times New Roman" w:hAnsi="Times New Roman" w:cs="Times New Roman"/>
        </w:rPr>
        <w:fldChar w:fldCharType="separate"/>
      </w:r>
      <w:r w:rsidRPr="00C83BB2">
        <w:rPr>
          <w:rStyle w:val="Hyperlink"/>
          <w:rFonts w:ascii="Times New Roman" w:eastAsiaTheme="minorHAnsi" w:hAnsi="Times New Roman"/>
          <w:sz w:val="20"/>
          <w:szCs w:val="20"/>
        </w:rPr>
        <w:t>www.mondediplo.com/1998/12/08bourdieu</w:t>
      </w:r>
      <w:r w:rsidRPr="00C83BB2">
        <w:rPr>
          <w:rFonts w:ascii="Times New Roman" w:hAnsi="Times New Roman" w:cs="Times New Roman"/>
        </w:rPr>
        <w:fldChar w:fldCharType="end"/>
      </w:r>
      <w:r w:rsidRPr="00C83BB2">
        <w:rPr>
          <w:rFonts w:ascii="Times New Roman" w:hAnsi="Times New Roman" w:cs="Times New Roman"/>
        </w:rPr>
        <w:t>.</w:t>
      </w:r>
    </w:p>
  </w:footnote>
  <w:footnote w:id="109">
    <w:p w14:paraId="1E626BED" w14:textId="5BA26366" w:rsidR="008824FA" w:rsidRPr="00C83BB2" w:rsidRDefault="008824FA">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José Atiles Osoria, The State of Exception and the Puerto Rican Financial Crisis, 25 Tex. Hisp. J. L. &amp; Pol’y 91 (2019).</w:t>
      </w:r>
    </w:p>
  </w:footnote>
  <w:footnote w:id="110">
    <w:p w14:paraId="5866D50B" w14:textId="4C7B56E3" w:rsidR="00E66650" w:rsidRPr="00C83BB2" w:rsidRDefault="00E66650">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Hedgepapers No. 26, Puerto Rico: Pain and Profit (Mar. 21, 2017), </w:t>
      </w:r>
      <w:r w:rsidRPr="00C83BB2">
        <w:rPr>
          <w:rFonts w:ascii="Times New Roman" w:hAnsi="Times New Roman" w:cs="Times New Roman"/>
        </w:rPr>
        <w:fldChar w:fldCharType="begin"/>
      </w:r>
      <w:r w:rsidRPr="00C83BB2">
        <w:rPr>
          <w:rFonts w:ascii="Times New Roman" w:hAnsi="Times New Roman" w:cs="Times New Roman"/>
        </w:rPr>
        <w:instrText>HYPERLINK "http://www.hedgeclippers.org/wp-content/uploads/2016/03/HP26.pdf"</w:instrText>
      </w:r>
      <w:r w:rsidRPr="00C83BB2">
        <w:rPr>
          <w:rFonts w:ascii="Times New Roman" w:hAnsi="Times New Roman" w:cs="Times New Roman"/>
        </w:rPr>
      </w:r>
      <w:r w:rsidRPr="00C83BB2">
        <w:rPr>
          <w:rFonts w:ascii="Times New Roman" w:hAnsi="Times New Roman" w:cs="Times New Roman"/>
        </w:rPr>
        <w:fldChar w:fldCharType="separate"/>
      </w:r>
      <w:r w:rsidRPr="00C83BB2">
        <w:rPr>
          <w:rStyle w:val="Hyperlink"/>
          <w:rFonts w:ascii="Times New Roman" w:eastAsiaTheme="minorHAnsi" w:hAnsi="Times New Roman"/>
          <w:sz w:val="20"/>
          <w:szCs w:val="20"/>
        </w:rPr>
        <w:t>www.hedgeclippers.org/‌wp-content/uploads/2016/03/HP26.pdf</w:t>
      </w:r>
      <w:r w:rsidRPr="00C83BB2">
        <w:rPr>
          <w:rFonts w:ascii="Times New Roman" w:hAnsi="Times New Roman" w:cs="Times New Roman"/>
        </w:rPr>
        <w:fldChar w:fldCharType="end"/>
      </w:r>
      <w:r w:rsidRPr="00C83BB2">
        <w:rPr>
          <w:rFonts w:ascii="Times New Roman" w:hAnsi="Times New Roman" w:cs="Times New Roman"/>
        </w:rPr>
        <w:t>.</w:t>
      </w:r>
    </w:p>
  </w:footnote>
  <w:footnote w:id="111">
    <w:p w14:paraId="472F8307" w14:textId="4A068919" w:rsidR="003E58FE" w:rsidRPr="00C83BB2" w:rsidRDefault="003E58FE">
      <w:pPr>
        <w:pStyle w:val="FootnoteText"/>
        <w:rPr>
          <w:rFonts w:ascii="Times New Roman" w:hAnsi="Times New Roman" w:cs="Times New Roman"/>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Véase la Parte VII para un análisis de esta desigualdad legal en el financiamiento educativo.</w:t>
      </w:r>
    </w:p>
  </w:footnote>
  <w:footnote w:id="112">
    <w:p w14:paraId="338AE809" w14:textId="380DE1EA" w:rsidR="0072571D" w:rsidRPr="00C83BB2" w:rsidRDefault="0072571D">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Pew Research Center, America’s Incarceration Rate Is At a Two-Decade Low (May 2, 2018), </w:t>
      </w:r>
      <w:r w:rsidRPr="00C83BB2">
        <w:rPr>
          <w:rFonts w:ascii="Times New Roman" w:hAnsi="Times New Roman" w:cs="Times New Roman"/>
        </w:rPr>
        <w:fldChar w:fldCharType="begin"/>
      </w:r>
      <w:r w:rsidRPr="00C83BB2">
        <w:rPr>
          <w:rFonts w:ascii="Times New Roman" w:hAnsi="Times New Roman" w:cs="Times New Roman"/>
        </w:rPr>
        <w:instrText>HYPERLINK "http://www.pewresearch.org/fact-tank/2018/05/02/americas-incarceration-rate-is-at-a-two-decade-low/"</w:instrText>
      </w:r>
      <w:r w:rsidRPr="00C83BB2">
        <w:rPr>
          <w:rFonts w:ascii="Times New Roman" w:hAnsi="Times New Roman" w:cs="Times New Roman"/>
        </w:rPr>
      </w:r>
      <w:r w:rsidRPr="00C83BB2">
        <w:rPr>
          <w:rFonts w:ascii="Times New Roman" w:hAnsi="Times New Roman" w:cs="Times New Roman"/>
        </w:rPr>
        <w:fldChar w:fldCharType="separate"/>
      </w:r>
      <w:r w:rsidRPr="00C83BB2">
        <w:rPr>
          <w:rStyle w:val="Hyperlink"/>
          <w:rFonts w:ascii="Times New Roman" w:eastAsiaTheme="minorHAnsi" w:hAnsi="Times New Roman"/>
          <w:sz w:val="20"/>
          <w:szCs w:val="20"/>
        </w:rPr>
        <w:t>www.pewresearch.org/fact-tank/2018/05/02/americas-incarceration-rate-is-at-a-two-decade-low/</w:t>
      </w:r>
      <w:r w:rsidRPr="00C83BB2">
        <w:rPr>
          <w:rFonts w:ascii="Times New Roman" w:hAnsi="Times New Roman" w:cs="Times New Roman"/>
        </w:rPr>
        <w:fldChar w:fldCharType="end"/>
      </w:r>
      <w:r w:rsidRPr="00C83BB2">
        <w:rPr>
          <w:rFonts w:ascii="Times New Roman" w:hAnsi="Times New Roman" w:cs="Times New Roman"/>
        </w:rPr>
        <w:t>.</w:t>
      </w:r>
    </w:p>
  </w:footnote>
  <w:footnote w:id="113">
    <w:p w14:paraId="4FEC6CEF" w14:textId="7637AF01" w:rsidR="0048323D" w:rsidRPr="00C83BB2" w:rsidRDefault="0048323D">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Michelle Alexander, The New Jim Crow: Mass Incarceration in an Age of Colorblindness (2010).</w:t>
      </w:r>
    </w:p>
  </w:footnote>
  <w:footnote w:id="114">
    <w:p w14:paraId="47B2F289" w14:textId="6CC59536" w:rsidR="000452BB" w:rsidRPr="00C83BB2" w:rsidRDefault="000452BB">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hyperlink r:id="rId30" w:tooltip="https://www.westlaw.com/Document/I8aef6dd75f8511df9b8c850332338889/View/FullText.html?transitionType=Default&amp;contextData=(sc.Default)&amp;VR=3.0&amp;RS=da3.0" w:history="1">
        <w:r w:rsidRPr="00C83BB2">
          <w:rPr>
            <w:rStyle w:val="Hyperlink"/>
            <w:rFonts w:ascii="Times New Roman" w:eastAsiaTheme="minorHAnsi" w:hAnsi="Times New Roman"/>
            <w:sz w:val="20"/>
            <w:szCs w:val="20"/>
          </w:rPr>
          <w:t xml:space="preserve">Ricardo J. Bascuas, </w:t>
        </w:r>
        <w:bookmarkStart w:id="25" w:name="dabmci_b92b9ffcd68848d1abaca3ec1e8a5f57"/>
        <w:r w:rsidRPr="00C83BB2">
          <w:rPr>
            <w:rStyle w:val="Hyperlink"/>
            <w:rFonts w:ascii="Times New Roman" w:eastAsiaTheme="minorHAnsi" w:hAnsi="Times New Roman"/>
            <w:sz w:val="20"/>
            <w:szCs w:val="20"/>
          </w:rPr>
          <w:t>The American Inquisition: Sentencing After the Federal Guidelines, 45 Wake Forest L. Rev. 1 (2010)</w:t>
        </w:r>
        <w:bookmarkEnd w:id="25"/>
      </w:hyperlink>
    </w:p>
  </w:footnote>
  <w:footnote w:id="115">
    <w:p w14:paraId="49C43060" w14:textId="054B729A" w:rsidR="004E5D49" w:rsidRPr="00C83BB2" w:rsidRDefault="004E5D49">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Paul Butler, Let’s Get Free: A Hip-Hop Theory of Justice 101–02, 108–09, 120 (2010).</w:t>
      </w:r>
    </w:p>
  </w:footnote>
  <w:footnote w:id="116">
    <w:p w14:paraId="4D19D858" w14:textId="1CCD7EA6" w:rsidR="00CF5EE1" w:rsidRPr="00C83BB2" w:rsidRDefault="00CF5EE1">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Center for American Progress, Aisha C. Moodie-Mills, Jumping Beyond the Broom: Why Black Gay and Transgender Americans Need More Than Marriage Equality, </w:t>
      </w:r>
      <w:r w:rsidRPr="00C83BB2">
        <w:rPr>
          <w:rFonts w:ascii="Times New Roman" w:hAnsi="Times New Roman" w:cs="Times New Roman"/>
        </w:rPr>
        <w:fldChar w:fldCharType="begin"/>
      </w:r>
      <w:r w:rsidRPr="00C83BB2">
        <w:rPr>
          <w:rFonts w:ascii="Times New Roman" w:hAnsi="Times New Roman" w:cs="Times New Roman"/>
        </w:rPr>
        <w:instrText>HYPERLINK "http://www.outrightinternational.org/content/united-caribbean-trans-network-launches-first-regional-network-promote-human-rights-trans"</w:instrText>
      </w:r>
      <w:r w:rsidRPr="00C83BB2">
        <w:rPr>
          <w:rFonts w:ascii="Times New Roman" w:hAnsi="Times New Roman" w:cs="Times New Roman"/>
        </w:rPr>
      </w:r>
      <w:r w:rsidRPr="00C83BB2">
        <w:rPr>
          <w:rFonts w:ascii="Times New Roman" w:hAnsi="Times New Roman" w:cs="Times New Roman"/>
        </w:rPr>
        <w:fldChar w:fldCharType="separate"/>
      </w:r>
      <w:r w:rsidRPr="00C83BB2">
        <w:rPr>
          <w:rStyle w:val="Hyperlink"/>
          <w:rFonts w:ascii="Times New Roman" w:eastAsiaTheme="minorHAnsi" w:hAnsi="Times New Roman"/>
          <w:sz w:val="20"/>
          <w:szCs w:val="20"/>
        </w:rPr>
        <w:t>www.outright‌international.org/content/united-caribbean-trans-network-launches-first-regional-network-promote-human-rights-trans</w:t>
      </w:r>
      <w:r w:rsidRPr="00C83BB2">
        <w:rPr>
          <w:rFonts w:ascii="Times New Roman" w:hAnsi="Times New Roman" w:cs="Times New Roman"/>
        </w:rPr>
        <w:fldChar w:fldCharType="end"/>
      </w:r>
      <w:r w:rsidRPr="00C83BB2">
        <w:rPr>
          <w:rFonts w:ascii="Times New Roman" w:hAnsi="Times New Roman" w:cs="Times New Roman"/>
        </w:rPr>
        <w:t>.</w:t>
      </w:r>
    </w:p>
  </w:footnote>
  <w:footnote w:id="117">
    <w:p w14:paraId="5C19C042" w14:textId="235F04AB" w:rsidR="00AA3740" w:rsidRPr="00C83BB2" w:rsidRDefault="00AA3740">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hyperlink r:id="rId31" w:history="1">
        <w:r w:rsidRPr="00C83BB2">
          <w:rPr>
            <w:rStyle w:val="Hyperlink"/>
            <w:rFonts w:ascii="Times New Roman" w:eastAsiaTheme="minorHAnsi" w:hAnsi="Times New Roman"/>
            <w:sz w:val="20"/>
            <w:szCs w:val="20"/>
          </w:rPr>
          <w:t>www.law.virginia.edu/static/uvalawyer/html/alumni/uvalawyer/s03/opinion.htm</w:t>
        </w:r>
      </w:hyperlink>
      <w:r w:rsidRPr="00C83BB2">
        <w:rPr>
          <w:rFonts w:ascii="Times New Roman" w:hAnsi="Times New Roman" w:cs="Times New Roman"/>
        </w:rPr>
        <w:t>.</w:t>
      </w:r>
    </w:p>
  </w:footnote>
  <w:footnote w:id="118">
    <w:p w14:paraId="30E306C3" w14:textId="0BB2730F" w:rsidR="002D6B0F" w:rsidRPr="00C83BB2" w:rsidRDefault="002D6B0F">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hyperlink r:id="rId32" w:tooltip="https://www.westlaw.com/Document/I3017e4f136e311db8382aef8d8e33c97/View/FullText.html?transitionType=Default&amp;contextData=(sc.Default)&amp;VR=3.0&amp;RS=da3.0&amp;fragmentIdentifier=co_pp_sp_3039_639" w:history="1">
        <w:r w:rsidRPr="00C83BB2">
          <w:rPr>
            <w:rStyle w:val="Hyperlink"/>
            <w:rFonts w:ascii="Times New Roman" w:eastAsiaTheme="minorHAnsi" w:hAnsi="Times New Roman"/>
            <w:sz w:val="20"/>
            <w:szCs w:val="20"/>
          </w:rPr>
          <w:t>Cass R. Sunstein, Must Formalism Be Defended Empirically?, 66 U. Chi. L. Rev. 636, 639 (1999)</w:t>
        </w:r>
      </w:hyperlink>
      <w:r w:rsidRPr="00C83BB2">
        <w:rPr>
          <w:rFonts w:ascii="Times New Roman" w:hAnsi="Times New Roman" w:cs="Times New Roman"/>
        </w:rPr>
        <w:t>.</w:t>
      </w:r>
    </w:p>
  </w:footnote>
  <w:footnote w:id="119">
    <w:p w14:paraId="793E3A1E" w14:textId="4821307B" w:rsidR="00CE12BF" w:rsidRPr="00C83BB2" w:rsidRDefault="00CE12BF">
      <w:pPr>
        <w:pStyle w:val="FootnoteText"/>
        <w:rPr>
          <w:rFonts w:ascii="Times New Roman" w:hAnsi="Times New Roman" w:cs="Times New Roman"/>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Este fenómeno en el ámbito jurídico es transnacional y está impulsado, en parte, por los grandes planes de globalización empresarial. Véase Joanne Bagust, The Legal Profession and the Business of Law, 35 Syd. L. Rev. 27, 29 (2013) (donde se describe cómo “muchos de los abogados corporativos de élite de Australia corren el riesgo de quedar reducidos a meros funcionarios, proletarizados en un proceso de capitulación ante el poder de sus clientes y ante las fuerzas productivas de las ‘grandes empresas’”).</w:t>
      </w:r>
    </w:p>
  </w:footnote>
  <w:footnote w:id="120">
    <w:p w14:paraId="57147746" w14:textId="7D142D3B" w:rsidR="0068559D" w:rsidRPr="00C83BB2" w:rsidRDefault="0068559D">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Marion Crain, The Transformation of the Professional Workplace, 79 Chi.-Kent L. Rev. 543 (2004).</w:t>
      </w:r>
    </w:p>
  </w:footnote>
  <w:footnote w:id="121">
    <w:p w14:paraId="57AC3B45" w14:textId="1C8F018D" w:rsidR="00035F29" w:rsidRPr="00C83BB2" w:rsidRDefault="00035F29">
      <w:pPr>
        <w:pStyle w:val="FootnoteText"/>
        <w:rPr>
          <w:rFonts w:ascii="Times New Roman" w:hAnsi="Times New Roman" w:cs="Times New Roman"/>
          <w:i/>
          <w:iCs/>
          <w:lang w:val="es-PR"/>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i/>
          <w:iCs/>
          <w:lang w:val="es-PR"/>
        </w:rPr>
        <w:t xml:space="preserve">Id. </w:t>
      </w:r>
    </w:p>
  </w:footnote>
  <w:footnote w:id="122">
    <w:p w14:paraId="67582574" w14:textId="1985EC82" w:rsidR="002F633C" w:rsidRPr="00C83BB2" w:rsidRDefault="002F633C">
      <w:pPr>
        <w:pStyle w:val="FootnoteText"/>
        <w:rPr>
          <w:rFonts w:ascii="Times New Roman" w:hAnsi="Times New Roman" w:cs="Times New Roman"/>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www.lawsitesblog.com/2019/05/wilson-sonsinis-tech-subsidiary-sixfifty-releases-first-product-for-calif-privacy-compliance.html (en el que se analiza la «aplicación» de cumplimiento normativo desarrollada por la filial tecnológica del bufete de abogados, así como el potencial para desarrollar avances tecnológicos destinados a facilitar el acceso a la justicia).</w:t>
      </w:r>
    </w:p>
  </w:footnote>
  <w:footnote w:id="123">
    <w:p w14:paraId="5A8DE6FD" w14:textId="3760E277" w:rsidR="007416CA" w:rsidRPr="00C83BB2" w:rsidRDefault="007416CA">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Daria Roithmayr, Deconstructing the Distinction Between Bias and Merit,  85 Cal. L. Rev. 1449 (1997), 10 La Raza L.J. 363 (1998).</w:t>
      </w:r>
    </w:p>
  </w:footnote>
  <w:footnote w:id="124">
    <w:p w14:paraId="281AA2B6" w14:textId="41A8069D" w:rsidR="00BC46B5" w:rsidRPr="00C83BB2" w:rsidRDefault="00BC46B5">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bCs/>
        </w:rPr>
        <w:t>Duncan Kennedy, Legal Education and the Reproduction of Hierarchy, 32 J. Legal Educ. 591 (1982).</w:t>
      </w:r>
    </w:p>
  </w:footnote>
  <w:footnote w:id="125">
    <w:p w14:paraId="25ED3352" w14:textId="5F173993" w:rsidR="00E945E3" w:rsidRPr="00C83BB2" w:rsidRDefault="00E945E3">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hyperlink r:id="rId33" w:tooltip="https://www.westlaw.com/Document/If6e762e2f1a511ddb055de4196f001f3/View/FullText.html?transitionType=Default&amp;contextData=(sc.Default)&amp;VR=3.0&amp;RS=da3.0" w:history="1">
        <w:r w:rsidRPr="00C83BB2">
          <w:rPr>
            <w:rStyle w:val="Hyperlink"/>
            <w:rFonts w:ascii="Times New Roman" w:eastAsiaTheme="minorHAnsi" w:hAnsi="Times New Roman"/>
            <w:sz w:val="20"/>
            <w:szCs w:val="20"/>
          </w:rPr>
          <w:t>Lucille A. Jewel, Bourdieu and American Legal Education: How Law Schools Reproduce Social Stratification and Class Hierarchy, 56 Buff. L. Rev. 1155 (2008)</w:t>
        </w:r>
      </w:hyperlink>
      <w:r w:rsidRPr="00C83BB2">
        <w:rPr>
          <w:rFonts w:ascii="Times New Roman" w:hAnsi="Times New Roman" w:cs="Times New Roman"/>
        </w:rPr>
        <w:t>.</w:t>
      </w:r>
    </w:p>
  </w:footnote>
  <w:footnote w:id="126">
    <w:p w14:paraId="02D84758" w14:textId="79936F08" w:rsidR="00C17977" w:rsidRPr="00C83BB2" w:rsidRDefault="00C17977">
      <w:pPr>
        <w:pStyle w:val="FootnoteText"/>
        <w:rPr>
          <w:rFonts w:ascii="Times New Roman" w:hAnsi="Times New Roman" w:cs="Times New Roman"/>
          <w:i/>
          <w:iCs/>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i/>
          <w:iCs/>
          <w:lang w:val="en-US"/>
        </w:rPr>
        <w:t xml:space="preserve">Id. </w:t>
      </w:r>
    </w:p>
  </w:footnote>
  <w:footnote w:id="127">
    <w:p w14:paraId="29FB97BB" w14:textId="0A008478" w:rsidR="005577DE" w:rsidRPr="00C83BB2" w:rsidRDefault="005577DE">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hyperlink r:id="rId34" w:tooltip="https://www.westlaw.com/Document/I017dd6115c9811dbbe1cf2d29fe2afe6/View/FullText.html?transitionType=Default&amp;contextData=(sc.Default)&amp;VR=3.0&amp;RS=da3.0" w:history="1">
        <w:r w:rsidRPr="00C83BB2">
          <w:rPr>
            <w:rStyle w:val="Hyperlink"/>
            <w:rFonts w:ascii="Times New Roman" w:eastAsiaTheme="minorHAnsi" w:hAnsi="Times New Roman"/>
            <w:sz w:val="20"/>
            <w:szCs w:val="20"/>
          </w:rPr>
          <w:t>Lani Guinier, Michelle Fine, Jane Balin, Ann Bartow &amp; Deborah Lee Stachel, Becoming Gentlemen: Women’s Experiences at One Ivy League Law School, 143 U. Pa. L. Rev. 1 (1994)</w:t>
        </w:r>
      </w:hyperlink>
      <w:r w:rsidRPr="00C83BB2">
        <w:rPr>
          <w:rFonts w:ascii="Times New Roman" w:hAnsi="Times New Roman" w:cs="Times New Roman"/>
        </w:rPr>
        <w:t>.</w:t>
      </w:r>
    </w:p>
  </w:footnote>
  <w:footnote w:id="128">
    <w:p w14:paraId="377AC63C" w14:textId="0C66A92E" w:rsidR="00CB1E5A" w:rsidRPr="00C83BB2" w:rsidRDefault="00CB1E5A">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i/>
        </w:rPr>
        <w:t>Id.</w:t>
      </w:r>
      <w:r w:rsidRPr="00C83BB2">
        <w:rPr>
          <w:rFonts w:ascii="Times New Roman" w:hAnsi="Times New Roman" w:cs="Times New Roman"/>
        </w:rPr>
        <w:t xml:space="preserve"> Véase tabmién </w:t>
      </w:r>
      <w:r w:rsidRPr="00C83BB2">
        <w:rPr>
          <w:rFonts w:ascii="Times New Roman" w:hAnsi="Times New Roman" w:cs="Times New Roman"/>
        </w:rPr>
        <w:fldChar w:fldCharType="begin"/>
      </w:r>
      <w:r w:rsidRPr="00C83BB2">
        <w:rPr>
          <w:rFonts w:ascii="Times New Roman" w:hAnsi="Times New Roman" w:cs="Times New Roman"/>
        </w:rPr>
        <w:instrText xml:space="preserve"> TA \l "NALP Foundation for Law Career Research and Education and The Center for Women in Law, Women of Color: A Study of Law School Experiences (2020)" \s "NALP Foundation for Law Career Research and Education and The Center for Women in Law, Women of Color: A Study of Law School Experiences (2020)" \c 13 </w:instrText>
      </w:r>
      <w:r w:rsidRPr="00C83BB2">
        <w:rPr>
          <w:rFonts w:ascii="Times New Roman" w:hAnsi="Times New Roman" w:cs="Times New Roman"/>
        </w:rPr>
        <w:fldChar w:fldCharType="end"/>
      </w:r>
      <w:r w:rsidRPr="00C83BB2">
        <w:rPr>
          <w:rFonts w:ascii="Times New Roman" w:hAnsi="Times New Roman" w:cs="Times New Roman"/>
        </w:rPr>
        <w:t xml:space="preserve">NALP Foundation for Law Career Research and Education and The Center for Women in Law, Women of Color: A Study of Law School Experiences </w:t>
      </w:r>
      <w:r w:rsidRPr="00C83BB2">
        <w:rPr>
          <w:rFonts w:ascii="Times New Roman" w:hAnsi="Times New Roman" w:cs="Times New Roman"/>
        </w:rPr>
        <w:t xml:space="preserve">(2020), </w:t>
      </w:r>
      <w:r w:rsidRPr="00C83BB2">
        <w:rPr>
          <w:rFonts w:ascii="Times New Roman" w:hAnsi="Times New Roman" w:cs="Times New Roman"/>
        </w:rPr>
        <w:fldChar w:fldCharType="begin"/>
      </w:r>
      <w:r w:rsidRPr="00C83BB2">
        <w:rPr>
          <w:rFonts w:ascii="Times New Roman" w:hAnsi="Times New Roman" w:cs="Times New Roman"/>
        </w:rPr>
        <w:instrText>HYPERLINK "http://www.utexas.app.box.com/s/kvn7dezec99khii6ely9cve368q4gj9o"</w:instrText>
      </w:r>
      <w:r w:rsidRPr="00C83BB2">
        <w:rPr>
          <w:rFonts w:ascii="Times New Roman" w:hAnsi="Times New Roman" w:cs="Times New Roman"/>
        </w:rPr>
      </w:r>
      <w:r w:rsidRPr="00C83BB2">
        <w:rPr>
          <w:rFonts w:ascii="Times New Roman" w:hAnsi="Times New Roman" w:cs="Times New Roman"/>
        </w:rPr>
        <w:fldChar w:fldCharType="separate"/>
      </w:r>
      <w:r w:rsidRPr="00C83BB2">
        <w:rPr>
          <w:rStyle w:val="Hyperlink"/>
          <w:rFonts w:ascii="Times New Roman" w:eastAsiaTheme="minorHAnsi" w:hAnsi="Times New Roman"/>
          <w:sz w:val="20"/>
          <w:szCs w:val="20"/>
        </w:rPr>
        <w:t>www.utexas.app.‌box.com/s/kvn7dezec99khii6ely9cve368q4gj9o</w:t>
      </w:r>
      <w:r w:rsidRPr="00C83BB2">
        <w:rPr>
          <w:rFonts w:ascii="Times New Roman" w:hAnsi="Times New Roman" w:cs="Times New Roman"/>
        </w:rPr>
        <w:fldChar w:fldCharType="end"/>
      </w:r>
      <w:r w:rsidRPr="00C83BB2">
        <w:rPr>
          <w:rFonts w:ascii="Times New Roman" w:hAnsi="Times New Roman" w:cs="Times New Roman"/>
        </w:rPr>
        <w:t>.</w:t>
      </w:r>
    </w:p>
  </w:footnote>
  <w:footnote w:id="129">
    <w:p w14:paraId="48EF9F5E" w14:textId="14CF47D2" w:rsidR="0052156B" w:rsidRPr="00C83BB2" w:rsidRDefault="0052156B">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proofErr w:type="spellStart"/>
      <w:r w:rsidRPr="00C83BB2">
        <w:rPr>
          <w:rFonts w:ascii="Times New Roman" w:hAnsi="Times New Roman" w:cs="Times New Roman"/>
          <w:lang w:val="en-US"/>
        </w:rPr>
        <w:t>Véase</w:t>
      </w:r>
      <w:proofErr w:type="spellEnd"/>
      <w:r w:rsidRPr="00C83BB2">
        <w:rPr>
          <w:rFonts w:ascii="Times New Roman" w:hAnsi="Times New Roman" w:cs="Times New Roman"/>
          <w:lang w:val="en-US"/>
        </w:rPr>
        <w:t xml:space="preserve"> Allison E. Laffey and Allison Ng, Diversity and Inclusion in the Law: Challenges and Initiatives, ABA (May 2, 2018).</w:t>
      </w:r>
    </w:p>
  </w:footnote>
  <w:footnote w:id="130">
    <w:p w14:paraId="3DE230B8" w14:textId="59D7D90E" w:rsidR="001814FF" w:rsidRPr="00C83BB2" w:rsidRDefault="001814FF">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S. M. Feldman, The Transformation of An Academic Discipline, 54 J. Legal Ed. 206 (2004).</w:t>
      </w:r>
    </w:p>
  </w:footnote>
  <w:footnote w:id="131">
    <w:p w14:paraId="757AADFE" w14:textId="1D3ABAA5" w:rsidR="0065265D" w:rsidRPr="00C83BB2" w:rsidRDefault="0065265D">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Legal formalism, WEX, Cornell Law School Legal Information </w:t>
      </w:r>
      <w:r w:rsidRPr="00C83BB2">
        <w:rPr>
          <w:rFonts w:ascii="Times New Roman" w:hAnsi="Times New Roman" w:cs="Times New Roman"/>
        </w:rPr>
        <w:t xml:space="preserve">Institute, </w:t>
      </w:r>
      <w:r w:rsidRPr="00C83BB2">
        <w:rPr>
          <w:rFonts w:ascii="Times New Roman" w:hAnsi="Times New Roman" w:cs="Times New Roman"/>
        </w:rPr>
        <w:fldChar w:fldCharType="begin"/>
      </w:r>
      <w:r w:rsidRPr="00C83BB2">
        <w:rPr>
          <w:rFonts w:ascii="Times New Roman" w:hAnsi="Times New Roman" w:cs="Times New Roman"/>
        </w:rPr>
        <w:instrText>HYPERLINK "http://www.law.cornell.edu/wex/legal_formalism"</w:instrText>
      </w:r>
      <w:r w:rsidRPr="00C83BB2">
        <w:rPr>
          <w:rFonts w:ascii="Times New Roman" w:hAnsi="Times New Roman" w:cs="Times New Roman"/>
        </w:rPr>
      </w:r>
      <w:r w:rsidRPr="00C83BB2">
        <w:rPr>
          <w:rFonts w:ascii="Times New Roman" w:hAnsi="Times New Roman" w:cs="Times New Roman"/>
        </w:rPr>
        <w:fldChar w:fldCharType="separate"/>
      </w:r>
      <w:r w:rsidRPr="00C83BB2">
        <w:rPr>
          <w:rStyle w:val="Hyperlink"/>
          <w:rFonts w:ascii="Times New Roman" w:eastAsiaTheme="minorHAnsi" w:hAnsi="Times New Roman"/>
          <w:sz w:val="20"/>
          <w:szCs w:val="20"/>
        </w:rPr>
        <w:t>www.law.cornell.‌edu/wex/legal_formalism</w:t>
      </w:r>
      <w:r w:rsidRPr="00C83BB2">
        <w:rPr>
          <w:rFonts w:ascii="Times New Roman" w:hAnsi="Times New Roman" w:cs="Times New Roman"/>
        </w:rPr>
        <w:fldChar w:fldCharType="end"/>
      </w:r>
      <w:r w:rsidRPr="00C83BB2">
        <w:rPr>
          <w:rFonts w:ascii="Times New Roman" w:hAnsi="Times New Roman" w:cs="Times New Roman"/>
        </w:rPr>
        <w:t>.</w:t>
      </w:r>
    </w:p>
  </w:footnote>
  <w:footnote w:id="132">
    <w:p w14:paraId="500E55A4" w14:textId="24887C2E" w:rsidR="008846B2" w:rsidRPr="00C83BB2" w:rsidRDefault="008846B2">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Jean Stefancic and Richard Delgado, How Lawyers Lose Their Way: A Profession Fails Its Creative Minds xi (2005).</w:t>
      </w:r>
    </w:p>
  </w:footnote>
  <w:footnote w:id="133">
    <w:p w14:paraId="6DB71F06" w14:textId="65C65BED" w:rsidR="00CE5D34" w:rsidRPr="00C83BB2" w:rsidRDefault="00CE5D34" w:rsidP="00CE5D34">
      <w:pPr>
        <w:pStyle w:val="FootnoteText"/>
        <w:rPr>
          <w:rFonts w:ascii="Times New Roman" w:hAnsi="Times New Roman" w:cs="Times New Roman"/>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hyperlink r:id="rId35" w:tooltip="https://www.westlaw.com/Document/Ibde16a9d462c11e598dc8b09b4f043e0/View/FullText.html?transitionType=Default&amp;contextData=(sc.Default)&amp;VR=3.0&amp;RS=da3.0" w:history="1">
        <w:r w:rsidR="00350374" w:rsidRPr="00C83BB2">
          <w:rPr>
            <w:rStyle w:val="Hyperlink"/>
            <w:rFonts w:ascii="Times New Roman" w:eastAsiaTheme="minorHAnsi" w:hAnsi="Times New Roman"/>
            <w:sz w:val="20"/>
            <w:szCs w:val="20"/>
          </w:rPr>
          <w:t>Aníbal Rosario-Lebrón, If These Blackboards Could Talk: The Crit Classroom, A Battlefield, 9 Charleston L. Rev. 305 (2015)</w:t>
        </w:r>
      </w:hyperlink>
      <w:r w:rsidR="00350374" w:rsidRPr="00C83BB2">
        <w:rPr>
          <w:rFonts w:ascii="Times New Roman" w:hAnsi="Times New Roman" w:cs="Times New Roman"/>
        </w:rPr>
        <w:t>.</w:t>
      </w:r>
    </w:p>
  </w:footnote>
  <w:footnote w:id="134">
    <w:p w14:paraId="3724D3D9" w14:textId="26F83731" w:rsidR="002230D3" w:rsidRPr="00C83BB2" w:rsidRDefault="002230D3">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hyperlink r:id="rId36" w:tooltip="https://www.westlaw.com/Document/Ic9ac61ccdf2d11e8a5b3e3d9e23d7429/View/FullText.html?transitionType=Default&amp;contextData=(sc.Default)&amp;VR=3.0&amp;RS=da3.0&amp;fragmentIdentifier=co_pp_sp_231399_476" w:history="1">
        <w:r w:rsidRPr="00C83BB2">
          <w:rPr>
            <w:rStyle w:val="Hyperlink"/>
            <w:rFonts w:ascii="Times New Roman" w:eastAsiaTheme="minorHAnsi" w:hAnsi="Times New Roman"/>
            <w:sz w:val="20"/>
            <w:szCs w:val="20"/>
          </w:rPr>
          <w:t>Jaribu Hill, In Praise of Hope Lewis—Thank You, 10 N.E. U.L. Rev. 473, 476 (2018)</w:t>
        </w:r>
      </w:hyperlink>
      <w:r w:rsidRPr="00C83BB2">
        <w:rPr>
          <w:rFonts w:ascii="Times New Roman" w:hAnsi="Times New Roman" w:cs="Times New Roman"/>
        </w:rPr>
        <w:t>.</w:t>
      </w:r>
    </w:p>
  </w:footnote>
  <w:footnote w:id="135">
    <w:p w14:paraId="0CF6565B" w14:textId="66DC1FAC" w:rsidR="00D76F81" w:rsidRPr="00C83BB2" w:rsidRDefault="00D76F81">
      <w:pPr>
        <w:pStyle w:val="FootnoteText"/>
        <w:rPr>
          <w:rFonts w:ascii="Times New Roman" w:hAnsi="Times New Roman" w:cs="Times New Roman"/>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powell no sigue la convención social predominante en Estados Unidos de escribir su nombre con mayúscula, ya que considera que las mayúsculas denotan dominio.</w:t>
      </w:r>
    </w:p>
  </w:footnote>
  <w:footnote w:id="136">
    <w:p w14:paraId="7CE1560B" w14:textId="710838E4" w:rsidR="00226B7F" w:rsidRPr="00C83BB2" w:rsidRDefault="00226B7F">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john a. powell, </w:t>
      </w:r>
      <w:r w:rsidRPr="00C83BB2">
        <w:rPr>
          <w:rFonts w:ascii="Times New Roman" w:hAnsi="Times New Roman" w:cs="Times New Roman"/>
          <w:shd w:val="clear" w:color="auto" w:fill="FFFFFF"/>
        </w:rPr>
        <w:t>Disrupting Individualism and Distributive Remedies with Intersubjectivity and Empowerment: An Approach to Justice and Discourse, 1 Margins 1 (2001).</w:t>
      </w:r>
    </w:p>
  </w:footnote>
  <w:footnote w:id="137">
    <w:p w14:paraId="36B9C914" w14:textId="79553B05" w:rsidR="00640C77" w:rsidRPr="00C83BB2" w:rsidRDefault="00640C77">
      <w:pPr>
        <w:pStyle w:val="FootnoteText"/>
        <w:rPr>
          <w:rFonts w:ascii="Times New Roman" w:hAnsi="Times New Roman" w:cs="Times New Roman"/>
          <w:lang w:val="es-PR"/>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hyperlink r:id="rId37" w:tooltip="https://www.westlaw.com/Document/If41467c1228e11dbbab99dfb880c57ae/View/FullText.html?transitionType=Default&amp;contextData=(sc.Default)&amp;VR=3.0&amp;RS=da3.0&amp;fragmentIdentifier=co_pp_sp_148305_661%2c+677" w:history="1">
        <w:r w:rsidRPr="00C83BB2">
          <w:rPr>
            <w:rStyle w:val="Hyperlink"/>
            <w:rFonts w:ascii="Times New Roman" w:eastAsiaTheme="minorHAnsi" w:hAnsi="Times New Roman"/>
            <w:sz w:val="20"/>
            <w:szCs w:val="20"/>
          </w:rPr>
          <w:t>Christian Sundquist, Critical Praxis, Spirit Healing, and Community Activism: Preserving a Subversive Dialogue on Reparations, 58 N.Y.U. Ann. Surv. Am. L. 659, 661, 677 (2003)</w:t>
        </w:r>
      </w:hyperlink>
      <w:r w:rsidRPr="00C83BB2">
        <w:rPr>
          <w:rFonts w:ascii="Times New Roman" w:hAnsi="Times New Roman" w:cs="Times New Roman"/>
        </w:rPr>
        <w:t>.</w:t>
      </w:r>
    </w:p>
  </w:footnote>
  <w:footnote w:id="138">
    <w:p w14:paraId="00338B27" w14:textId="534BFF10" w:rsidR="00EB7FC2" w:rsidRPr="00C83BB2" w:rsidRDefault="00EB7FC2">
      <w:pPr>
        <w:pStyle w:val="FootnoteText"/>
        <w:rPr>
          <w:rFonts w:ascii="Times New Roman" w:hAnsi="Times New Roman" w:cs="Times New Roman"/>
          <w:lang w:val="es-PR"/>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color w:val="000000" w:themeColor="text1"/>
        </w:rPr>
        <w:t xml:space="preserve">Para más información sobre el neoliberalismo, véase el capítulo 2.5; véase también David Harvey, </w:t>
      </w:r>
      <w:r w:rsidR="007219FA" w:rsidRPr="00C83BB2">
        <w:rPr>
          <w:rFonts w:ascii="Times New Roman" w:hAnsi="Times New Roman" w:cs="Times New Roman"/>
          <w:color w:val="000000" w:themeColor="text1"/>
        </w:rPr>
        <w:t>A Brief History of Neoliberalism 2 (2005)</w:t>
      </w:r>
    </w:p>
  </w:footnote>
  <w:footnote w:id="139">
    <w:p w14:paraId="4224A800" w14:textId="7CF8D886" w:rsidR="00521D48" w:rsidRPr="00C83BB2" w:rsidRDefault="00521D48">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hyperlink r:id="rId38" w:tooltip="https://www.westlaw.com/Document/I6f000d77cf2511e28578f7ccc38dcbee/View/FullText.html?transitionType=Default&amp;contextData=(sc.Default)&amp;VR=3.0&amp;RS=da3.0&amp;fragmentIdentifier=co_pp_sp_1142_3145%2c+3147%2c+3162" w:history="1">
        <w:r w:rsidRPr="00C83BB2">
          <w:rPr>
            <w:rStyle w:val="Hyperlink"/>
            <w:rFonts w:ascii="Times New Roman" w:eastAsiaTheme="minorHAnsi" w:hAnsi="Times New Roman"/>
            <w:sz w:val="20"/>
            <w:szCs w:val="20"/>
          </w:rPr>
          <w:t>Kristen A. Carpenter and Eli Wald, Lawyering for Groups: The Case of American Indian Tribal Attorneys, 81 Fordham L. Rev. 3085, 3145, 3147, 3162 (2013)</w:t>
        </w:r>
      </w:hyperlink>
      <w:r w:rsidRPr="00C83BB2">
        <w:rPr>
          <w:rFonts w:ascii="Times New Roman" w:hAnsi="Times New Roman" w:cs="Times New Roman"/>
        </w:rPr>
        <w:t>.</w:t>
      </w:r>
    </w:p>
  </w:footnote>
  <w:footnote w:id="140">
    <w:p w14:paraId="02DBA6AF" w14:textId="6223E22F" w:rsidR="001D5379" w:rsidRPr="00C83BB2" w:rsidRDefault="001D5379">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Pilar Margarita Hernández Escontrías, Setting the Bar: Legal Ethics and the Racialization of Attorney Discipline (unpublished manuscript on file with editors).</w:t>
      </w:r>
    </w:p>
  </w:footnote>
  <w:footnote w:id="141">
    <w:p w14:paraId="4615D039" w14:textId="5BC58BA0" w:rsidR="00042812" w:rsidRPr="00C83BB2" w:rsidRDefault="00042812">
      <w:pPr>
        <w:pStyle w:val="FootnoteText"/>
        <w:rPr>
          <w:rFonts w:ascii="Times New Roman" w:hAnsi="Times New Roman" w:cs="Times New Roman"/>
          <w:i/>
          <w:iCs/>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i/>
          <w:iCs/>
          <w:lang w:val="en-US"/>
        </w:rPr>
        <w:t xml:space="preserve">Id. </w:t>
      </w:r>
    </w:p>
  </w:footnote>
  <w:footnote w:id="142">
    <w:p w14:paraId="6312BAE9" w14:textId="491444F1" w:rsidR="000172F9" w:rsidRPr="00C83BB2" w:rsidRDefault="000172F9">
      <w:pPr>
        <w:pStyle w:val="FootnoteText"/>
        <w:rPr>
          <w:rFonts w:ascii="Times New Roman" w:hAnsi="Times New Roman" w:cs="Times New Roman"/>
          <w:lang w:val="es-PR"/>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Véase </w:t>
      </w:r>
      <w:r w:rsidR="00F05315" w:rsidRPr="00C83BB2">
        <w:rPr>
          <w:rFonts w:ascii="Times New Roman" w:hAnsi="Times New Roman" w:cs="Times New Roman"/>
        </w:rPr>
        <w:fldChar w:fldCharType="begin"/>
      </w:r>
      <w:r w:rsidR="00F05315" w:rsidRPr="00C83BB2">
        <w:rPr>
          <w:rFonts w:ascii="Times New Roman" w:hAnsi="Times New Roman" w:cs="Times New Roman"/>
        </w:rPr>
        <w:instrText>HYPERLINK "https://www.westlaw.com/Document/I2a1f53904a6511dba16d88fb847e95e5/View/FullText.html?transitionType=Default&amp;contextData=(sc.Default)&amp;VR=3.0&amp;RS=da3.0" \o "https://www.westlaw.com/Document/I2a1f53904a6511dba16d88fb847e95e5/View/FullText.html?transitionType=Default&amp;contextData=(sc.Default)&amp;VR=3.0&amp;RS=da3.0"</w:instrText>
      </w:r>
      <w:r w:rsidR="00F05315" w:rsidRPr="00C83BB2">
        <w:rPr>
          <w:rFonts w:ascii="Times New Roman" w:hAnsi="Times New Roman" w:cs="Times New Roman"/>
        </w:rPr>
      </w:r>
      <w:r w:rsidR="00F05315" w:rsidRPr="00C83BB2">
        <w:rPr>
          <w:rFonts w:ascii="Times New Roman" w:hAnsi="Times New Roman" w:cs="Times New Roman"/>
        </w:rPr>
        <w:fldChar w:fldCharType="separate"/>
      </w:r>
      <w:r w:rsidR="00F05315" w:rsidRPr="00C83BB2">
        <w:rPr>
          <w:rStyle w:val="Hyperlink"/>
          <w:rFonts w:ascii="Times New Roman" w:eastAsiaTheme="minorHAnsi" w:hAnsi="Times New Roman"/>
          <w:sz w:val="20"/>
          <w:szCs w:val="20"/>
        </w:rPr>
        <w:t>Susan D. Carle, How Should We Theorize Class Interests in Thinking About Professional Regulation: The Early NAACP as a Case Example, 12 Cornell J.L. &amp; Pub. Pol’y 571 (2003)</w:t>
      </w:r>
      <w:r w:rsidR="00F05315" w:rsidRPr="00C83BB2">
        <w:rPr>
          <w:rFonts w:ascii="Times New Roman" w:hAnsi="Times New Roman" w:cs="Times New Roman"/>
        </w:rPr>
        <w:fldChar w:fldCharType="end"/>
      </w:r>
      <w:r w:rsidR="00F05315" w:rsidRPr="00C83BB2">
        <w:rPr>
          <w:rFonts w:ascii="Times New Roman" w:hAnsi="Times New Roman" w:cs="Times New Roman"/>
        </w:rPr>
        <w:t>.</w:t>
      </w:r>
      <w:r w:rsidRPr="00C83BB2">
        <w:rPr>
          <w:rFonts w:ascii="Times New Roman" w:hAnsi="Times New Roman" w:cs="Times New Roman"/>
        </w:rPr>
        <w:t xml:space="preserve"> Véase también Michael Bennett y Cruz Reynoso, California Rural Legal Assistance (CRLA): Survival of a Poverty Law Practice, 1 Chicano L. Rev. 1 (1972) (donde se describen los ataques desde dentro y fuera de la profesión jurídica que acusaban a los defensores de los trabajadores agrícolas de prácticas poco éticas, así como el apoyo crítico de aliados legales).</w:t>
      </w:r>
    </w:p>
  </w:footnote>
  <w:footnote w:id="143">
    <w:p w14:paraId="7707769C" w14:textId="56DE137F" w:rsidR="00955FF5" w:rsidRPr="00C83BB2" w:rsidRDefault="00955FF5">
      <w:pPr>
        <w:pStyle w:val="FootnoteText"/>
        <w:rPr>
          <w:rFonts w:ascii="Times New Roman" w:hAnsi="Times New Roman" w:cs="Times New Roman"/>
          <w:lang w:val="es-PR"/>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David B. Wilkins, Class Not Race in Legal Ethics: Or Why Hierarchy Makes Strange Bedfellows, 20 L. &amp; Hist. Rev. 147, 151 (2002).</w:t>
      </w:r>
    </w:p>
  </w:footnote>
  <w:footnote w:id="144">
    <w:p w14:paraId="1032FDCF" w14:textId="77777777" w:rsidR="00E300F0" w:rsidRPr="00C83BB2" w:rsidRDefault="00E300F0" w:rsidP="00E300F0">
      <w:pPr>
        <w:rPr>
          <w:rFonts w:ascii="Times New Roman" w:hAnsi="Times New Roman" w:cs="Times New Roman"/>
          <w:sz w:val="20"/>
          <w:szCs w:val="20"/>
        </w:rPr>
      </w:pPr>
      <w:r w:rsidRPr="00C83BB2">
        <w:rPr>
          <w:rStyle w:val="FootnoteReference"/>
          <w:rFonts w:ascii="Times New Roman" w:hAnsi="Times New Roman" w:cs="Times New Roman"/>
          <w:sz w:val="20"/>
          <w:szCs w:val="20"/>
        </w:rPr>
        <w:footnoteRef/>
      </w:r>
      <w:r w:rsidRPr="00C83BB2">
        <w:rPr>
          <w:rFonts w:ascii="Times New Roman" w:hAnsi="Times New Roman" w:cs="Times New Roman"/>
          <w:sz w:val="20"/>
          <w:szCs w:val="20"/>
        </w:rPr>
        <w:t xml:space="preserve"> </w:t>
      </w:r>
      <w:r w:rsidRPr="00C83BB2">
        <w:rPr>
          <w:rFonts w:ascii="Times New Roman" w:hAnsi="Times New Roman" w:cs="Times New Roman"/>
          <w:sz w:val="20"/>
          <w:szCs w:val="20"/>
        </w:rPr>
        <w:t>Otra consecuencia de la influencia de las élites en la configuración de la ética jurídica ha sido la promoción de normas que favorecen un modelo de servicio público pro bono y que desfavorecen «un modelo de base muy diferente, que combinaba el trabajo público y el privado y aceptaba honorarios legales siempre que fuera posible, con el fin de mantener a flote estos pequeños despachos». Carle, How Should We Theorize, p. 598.</w:t>
      </w:r>
    </w:p>
    <w:p w14:paraId="7AEBAAB4" w14:textId="0F3FAC65" w:rsidR="00E300F0" w:rsidRPr="00C83BB2" w:rsidRDefault="00E300F0">
      <w:pPr>
        <w:pStyle w:val="FootnoteText"/>
        <w:rPr>
          <w:rFonts w:ascii="Times New Roman" w:hAnsi="Times New Roman" w:cs="Times New Roman"/>
          <w:lang w:val="en-US"/>
        </w:rPr>
      </w:pPr>
    </w:p>
  </w:footnote>
  <w:footnote w:id="145">
    <w:p w14:paraId="69423D0C" w14:textId="5ED9F0CD" w:rsidR="00F76353" w:rsidRPr="00C83BB2" w:rsidRDefault="00F76353">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Jorge R. Roig, The First Thing We Do, 47 J. Marshall L. Rev. 1275, 1275 (2014).</w:t>
      </w:r>
    </w:p>
  </w:footnote>
  <w:footnote w:id="146">
    <w:p w14:paraId="56E6806C" w14:textId="4DFC92F3" w:rsidR="00CD65C3" w:rsidRPr="00C83BB2" w:rsidRDefault="00CD65C3">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proofErr w:type="spellStart"/>
      <w:r w:rsidRPr="00C83BB2">
        <w:rPr>
          <w:rFonts w:ascii="Times New Roman" w:hAnsi="Times New Roman" w:cs="Times New Roman"/>
          <w:lang w:val="en-US"/>
        </w:rPr>
        <w:t>Véase</w:t>
      </w:r>
      <w:proofErr w:type="spellEnd"/>
      <w:r w:rsidRPr="00C83BB2">
        <w:rPr>
          <w:rFonts w:ascii="Times New Roman" w:hAnsi="Times New Roman" w:cs="Times New Roman"/>
          <w:lang w:val="en-US"/>
        </w:rPr>
        <w:t xml:space="preserve"> </w:t>
      </w:r>
      <w:r w:rsidRPr="00C83BB2">
        <w:rPr>
          <w:rFonts w:ascii="Times New Roman" w:hAnsi="Times New Roman" w:cs="Times New Roman"/>
        </w:rPr>
        <w:t>Peggy McIntosh, White Privilege: Unpacking the Invisible Knapsack, Peace and Freedom Magazine 10–12 (July/Aug. 1989).</w:t>
      </w:r>
    </w:p>
  </w:footnote>
  <w:footnote w:id="147">
    <w:p w14:paraId="032F1ECE" w14:textId="54490445" w:rsidR="00847274" w:rsidRPr="00C83BB2" w:rsidRDefault="00847274">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Barbara J. Flagg, Was Blind But Now I See (1997).</w:t>
      </w:r>
    </w:p>
  </w:footnote>
  <w:footnote w:id="148">
    <w:p w14:paraId="233EA585" w14:textId="691753FF" w:rsidR="00E07CD9" w:rsidRPr="00C83BB2" w:rsidRDefault="00E07CD9">
      <w:pPr>
        <w:pStyle w:val="FootnoteText"/>
        <w:rPr>
          <w:rFonts w:ascii="Times New Roman" w:hAnsi="Times New Roman" w:cs="Times New Roman"/>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McIntosh, White Privilege, p. 10. Véase también Susan E. Borrego, «Understanding My Privilege», TEDx Talks (9 de diciembre de 2016), www.youtube.com/watch?v=XlRxqC0Sze4 (donde se describe cómo una mujer blanca que creció en la pobreza tuvo dificultades para comprender la naturaleza del privilegio blanco a pesar de haber sufrido privaciones debido a su posición social).</w:t>
      </w:r>
    </w:p>
  </w:footnote>
  <w:footnote w:id="149">
    <w:p w14:paraId="3FE35C24" w14:textId="709B4EAA" w:rsidR="00116DCF" w:rsidRPr="00C83BB2" w:rsidRDefault="00116DCF">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Sian Ferguson, Privilege 101: A Quick and Dirty Guide, Everyday Feminism (Sept. 29, 2014), </w:t>
      </w:r>
      <w:r w:rsidRPr="00C83BB2">
        <w:rPr>
          <w:rFonts w:ascii="Times New Roman" w:hAnsi="Times New Roman" w:cs="Times New Roman"/>
        </w:rPr>
        <w:fldChar w:fldCharType="begin"/>
      </w:r>
      <w:r w:rsidRPr="00C83BB2">
        <w:rPr>
          <w:rFonts w:ascii="Times New Roman" w:hAnsi="Times New Roman" w:cs="Times New Roman"/>
        </w:rPr>
        <w:instrText>HYPERLINK "http://www.everydayfeminism.com/2014/09/what-is-privilege/"</w:instrText>
      </w:r>
      <w:r w:rsidRPr="00C83BB2">
        <w:rPr>
          <w:rFonts w:ascii="Times New Roman" w:hAnsi="Times New Roman" w:cs="Times New Roman"/>
        </w:rPr>
      </w:r>
      <w:r w:rsidRPr="00C83BB2">
        <w:rPr>
          <w:rFonts w:ascii="Times New Roman" w:hAnsi="Times New Roman" w:cs="Times New Roman"/>
        </w:rPr>
        <w:fldChar w:fldCharType="separate"/>
      </w:r>
      <w:r w:rsidRPr="00C83BB2">
        <w:rPr>
          <w:rStyle w:val="Hyperlink"/>
          <w:rFonts w:ascii="Times New Roman" w:eastAsiaTheme="minorHAnsi" w:hAnsi="Times New Roman"/>
          <w:sz w:val="20"/>
          <w:szCs w:val="20"/>
        </w:rPr>
        <w:t>www.everydayfeminism.com/2014/09/what-is-privilege/</w:t>
      </w:r>
      <w:r w:rsidRPr="00C83BB2">
        <w:rPr>
          <w:rFonts w:ascii="Times New Roman" w:hAnsi="Times New Roman" w:cs="Times New Roman"/>
        </w:rPr>
        <w:fldChar w:fldCharType="end"/>
      </w:r>
      <w:r w:rsidRPr="00C83BB2">
        <w:rPr>
          <w:rFonts w:ascii="Times New Roman" w:hAnsi="Times New Roman" w:cs="Times New Roman"/>
        </w:rPr>
        <w:t>.</w:t>
      </w:r>
    </w:p>
  </w:footnote>
  <w:footnote w:id="150">
    <w:p w14:paraId="01FC35FC" w14:textId="43DD71E1" w:rsidR="009218CA" w:rsidRPr="00C83BB2" w:rsidRDefault="009218CA">
      <w:pPr>
        <w:pStyle w:val="FootnoteText"/>
        <w:rPr>
          <w:rFonts w:ascii="Times New Roman" w:hAnsi="Times New Roman" w:cs="Times New Roman"/>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Allan G. Johnson, The Blackwell Dictionary of Sociology: A User’s Guide to Sociological Language, p. 293 (2.ª ed., 2000) (en cuya definición de </w:t>
      </w:r>
      <w:r w:rsidR="006710B8" w:rsidRPr="00C83BB2">
        <w:rPr>
          <w:rFonts w:ascii="Times New Roman" w:hAnsi="Times New Roman" w:cs="Times New Roman"/>
        </w:rPr>
        <w:t>“</w:t>
      </w:r>
      <w:r w:rsidRPr="00C83BB2">
        <w:rPr>
          <w:rFonts w:ascii="Times New Roman" w:hAnsi="Times New Roman" w:cs="Times New Roman"/>
        </w:rPr>
        <w:t>opresión</w:t>
      </w:r>
      <w:r w:rsidR="006710B8" w:rsidRPr="00C83BB2">
        <w:rPr>
          <w:rFonts w:ascii="Times New Roman" w:hAnsi="Times New Roman" w:cs="Times New Roman"/>
        </w:rPr>
        <w:t>”</w:t>
      </w:r>
      <w:r w:rsidRPr="00C83BB2">
        <w:rPr>
          <w:rFonts w:ascii="Times New Roman" w:hAnsi="Times New Roman" w:cs="Times New Roman"/>
        </w:rPr>
        <w:t xml:space="preserve"> se describe el sistema de fianzas como un ejemplo estadounidense de prejuicios raciales y de clase).</w:t>
      </w:r>
    </w:p>
  </w:footnote>
  <w:footnote w:id="151">
    <w:p w14:paraId="11D1D9DA" w14:textId="43FAB2CE" w:rsidR="00CA1D21" w:rsidRPr="00C83BB2" w:rsidRDefault="00CA1D21">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Véase </w:t>
      </w:r>
      <w:r w:rsidRPr="00C83BB2">
        <w:rPr>
          <w:rFonts w:ascii="Times New Roman" w:hAnsi="Times New Roman" w:cs="Times New Roman"/>
        </w:rPr>
        <w:fldChar w:fldCharType="begin"/>
      </w:r>
      <w:r w:rsidRPr="00C83BB2">
        <w:rPr>
          <w:rFonts w:ascii="Times New Roman" w:hAnsi="Times New Roman" w:cs="Times New Roman"/>
        </w:rPr>
        <w:instrText xml:space="preserve"> TA \l "Bannai, Lorraine K., Enduring Conviction: Fred Korematsu and His Quest for Justice (2015)" \s "Lorraine K. Bannai, Enduring Conviction: Fred Korematsu and His Quest for Justice (2015)" \c 13 </w:instrText>
      </w:r>
      <w:r w:rsidRPr="00C83BB2">
        <w:rPr>
          <w:rFonts w:ascii="Times New Roman" w:hAnsi="Times New Roman" w:cs="Times New Roman"/>
        </w:rPr>
        <w:fldChar w:fldCharType="end"/>
      </w:r>
      <w:r w:rsidRPr="00C83BB2">
        <w:rPr>
          <w:rFonts w:ascii="Times New Roman" w:hAnsi="Times New Roman" w:cs="Times New Roman"/>
        </w:rPr>
        <w:t>Lorraine K. Bannai, Enduring Conviction: Fred Korematsu and His Quest for Justice (2015).</w:t>
      </w:r>
    </w:p>
  </w:footnote>
  <w:footnote w:id="152">
    <w:p w14:paraId="66728A66" w14:textId="2C7BB9CB" w:rsidR="00345880" w:rsidRPr="00C83BB2" w:rsidRDefault="00345880">
      <w:pPr>
        <w:pStyle w:val="FootnoteText"/>
        <w:rPr>
          <w:rFonts w:ascii="Times New Roman" w:hAnsi="Times New Roman" w:cs="Times New Roman"/>
          <w:lang w:val="es-PR"/>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Ronald Turner, The Dangers of Misappropriation: Misusing Martin Luther King Jr.’s Legacy to Prove the Colorblind Thesis, 2 Mich. J. Race and Law 101, 124, 130 (1996) (“Cualquier uso indebido de King como símbolo del </w:t>
      </w:r>
      <w:r w:rsidR="009103D7" w:rsidRPr="00C83BB2">
        <w:rPr>
          <w:rFonts w:ascii="Times New Roman" w:hAnsi="Times New Roman" w:cs="Times New Roman"/>
        </w:rPr>
        <w:t xml:space="preserve">daltonismo racial </w:t>
      </w:r>
      <w:r w:rsidRPr="00C83BB2">
        <w:rPr>
          <w:rFonts w:ascii="Times New Roman" w:hAnsi="Times New Roman" w:cs="Times New Roman"/>
        </w:rPr>
        <w:t xml:space="preserve"> debe reconocerse como lo que es: un engaño (consciente o inconsciente) basado en frases de efecto engañosas, un </w:t>
      </w:r>
      <w:r w:rsidR="00434DE9" w:rsidRPr="00C83BB2">
        <w:rPr>
          <w:rFonts w:ascii="Times New Roman" w:hAnsi="Times New Roman" w:cs="Times New Roman"/>
        </w:rPr>
        <w:t>‘</w:t>
      </w:r>
      <w:r w:rsidRPr="00C83BB2">
        <w:rPr>
          <w:rFonts w:ascii="Times New Roman" w:hAnsi="Times New Roman" w:cs="Times New Roman"/>
        </w:rPr>
        <w:t>análisis</w:t>
      </w:r>
      <w:r w:rsidR="00434DE9" w:rsidRPr="00C83BB2">
        <w:rPr>
          <w:rFonts w:ascii="Times New Roman" w:hAnsi="Times New Roman" w:cs="Times New Roman"/>
        </w:rPr>
        <w:t>’</w:t>
      </w:r>
      <w:r w:rsidRPr="00C83BB2">
        <w:rPr>
          <w:rFonts w:ascii="Times New Roman" w:hAnsi="Times New Roman" w:cs="Times New Roman"/>
        </w:rPr>
        <w:t xml:space="preserve"> ahistórico y fuera de contexto, y otras premisas fundamentalmente erróneas</w:t>
      </w:r>
      <w:r w:rsidR="00434DE9" w:rsidRPr="00C83BB2">
        <w:rPr>
          <w:rFonts w:ascii="Times New Roman" w:hAnsi="Times New Roman" w:cs="Times New Roman"/>
        </w:rPr>
        <w:t>”</w:t>
      </w:r>
      <w:r w:rsidRPr="00C83BB2">
        <w:rPr>
          <w:rFonts w:ascii="Times New Roman" w:hAnsi="Times New Roman" w:cs="Times New Roman"/>
        </w:rPr>
        <w:t>; por el contrario, King era consciente de las diferencias raciales y apoyaba la acción afirmativa y otras medidas de reparación por siglos de injusticia contra los afroamericanos).</w:t>
      </w:r>
    </w:p>
  </w:footnote>
  <w:footnote w:id="153">
    <w:p w14:paraId="7842F84D" w14:textId="33E847DD" w:rsidR="00845227" w:rsidRPr="00C83BB2" w:rsidRDefault="00845227">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hyperlink r:id="rId39" w:tooltip="https://www.westlaw.com/Document/I5a8477ad0b9b11dd86d5f687b7443f19/View/FullText.html?transitionType=Default&amp;contextData=(sc.Default)&amp;VR=3.0&amp;RS=da3.0" w:history="1">
        <w:r w:rsidRPr="00C83BB2">
          <w:rPr>
            <w:rStyle w:val="Hyperlink"/>
            <w:rFonts w:ascii="Times New Roman" w:eastAsiaTheme="minorHAnsi" w:hAnsi="Times New Roman"/>
            <w:sz w:val="20"/>
            <w:szCs w:val="20"/>
          </w:rPr>
          <w:t xml:space="preserve">Margalynne J. Armstrong and Stephanie M. Wildman, </w:t>
        </w:r>
        <w:bookmarkStart w:id="27" w:name="dabmci_261295491b6542e999c6d9d820c0c20f"/>
        <w:r w:rsidRPr="00C83BB2">
          <w:rPr>
            <w:rStyle w:val="Hyperlink"/>
            <w:rFonts w:ascii="Times New Roman" w:eastAsiaTheme="minorHAnsi" w:hAnsi="Times New Roman"/>
            <w:sz w:val="20"/>
            <w:szCs w:val="20"/>
          </w:rPr>
          <w:t>Teaching Race/Teaching Whiteness: Transforming Colorblindness to Color Insight, 86 N.C. L. Rev. 635 (2008)</w:t>
        </w:r>
        <w:bookmarkEnd w:id="27"/>
      </w:hyperlink>
      <w:r w:rsidRPr="00C83BB2">
        <w:rPr>
          <w:rFonts w:ascii="Times New Roman" w:hAnsi="Times New Roman" w:cs="Times New Roman"/>
        </w:rPr>
        <w:t>.</w:t>
      </w:r>
    </w:p>
  </w:footnote>
  <w:footnote w:id="154">
    <w:p w14:paraId="4A01B262" w14:textId="1A476D7D" w:rsidR="00820F71" w:rsidRPr="00C83BB2" w:rsidRDefault="00820F71">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hyperlink r:id="rId40" w:tooltip="https://www.westlaw.com/Document/Ia16d967b8f9c11e28578f7ccc38dcbee/View/FullText.html?transitionType=Default&amp;contextData=(sc.Default)&amp;VR=3.0&amp;RS=da3.0&amp;fragmentIdentifier=co_pp_sp_119645_748%2c+751%2c+755" w:history="1">
        <w:r w:rsidRPr="00C83BB2">
          <w:rPr>
            <w:rStyle w:val="Hyperlink"/>
            <w:rFonts w:ascii="Times New Roman" w:eastAsiaTheme="minorHAnsi" w:hAnsi="Times New Roman"/>
            <w:sz w:val="20"/>
            <w:szCs w:val="20"/>
          </w:rPr>
          <w:t xml:space="preserve">Osagie K. Obasogie, </w:t>
        </w:r>
        <w:bookmarkStart w:id="28" w:name="dabmci_edb30237c0974897959e154132219aca"/>
        <w:r w:rsidRPr="00C83BB2">
          <w:rPr>
            <w:rStyle w:val="Hyperlink"/>
            <w:rFonts w:ascii="Times New Roman" w:eastAsiaTheme="minorHAnsi" w:hAnsi="Times New Roman"/>
            <w:sz w:val="20"/>
            <w:szCs w:val="20"/>
          </w:rPr>
          <w:t>Can the Blind Lead the Blind? Rethinking Equal Protection Jurisprudence through an Empirical Examination of Blind People’s Understanding of Race, 15 U. Pa. J. Const. L. 705, 748, 751, 755 (2013)</w:t>
        </w:r>
        <w:bookmarkEnd w:id="28"/>
      </w:hyperlink>
      <w:r w:rsidRPr="00C83BB2">
        <w:rPr>
          <w:rFonts w:ascii="Times New Roman" w:hAnsi="Times New Roman" w:cs="Times New Roman"/>
        </w:rPr>
        <w:t>.</w:t>
      </w:r>
    </w:p>
  </w:footnote>
  <w:footnote w:id="155">
    <w:p w14:paraId="258B3C3F" w14:textId="0604362C" w:rsidR="005005B2" w:rsidRPr="00C83BB2" w:rsidRDefault="005005B2">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Véase </w:t>
      </w:r>
      <w:r w:rsidRPr="00C83BB2">
        <w:rPr>
          <w:rFonts w:ascii="Times New Roman" w:hAnsi="Times New Roman" w:cs="Times New Roman"/>
        </w:rPr>
        <w:fldChar w:fldCharType="begin"/>
      </w:r>
      <w:r w:rsidRPr="00C83BB2">
        <w:rPr>
          <w:rFonts w:ascii="Times New Roman" w:hAnsi="Times New Roman" w:cs="Times New Roman"/>
        </w:rPr>
        <w:instrText xml:space="preserve"> TA \l "Obasogie, Osagie K., </w:instrText>
      </w:r>
      <w:r w:rsidRPr="00C83BB2">
        <w:rPr>
          <w:rFonts w:ascii="Times New Roman" w:hAnsi="Times New Roman" w:cs="Times New Roman"/>
          <w:color w:val="000000"/>
        </w:rPr>
        <w:instrText>Do Blind People See Race? Social, Legal, and Theoretical Considerations, 44 Law &amp; Soc’y Rev. 585 (2010)</w:instrText>
      </w:r>
      <w:r w:rsidRPr="00C83BB2">
        <w:rPr>
          <w:rFonts w:ascii="Times New Roman" w:hAnsi="Times New Roman" w:cs="Times New Roman"/>
        </w:rPr>
        <w:instrText>" \s "A;O;71;dabmci_3de1791525d54fe6af4cddf6b12487ca_1;I2c9d9c0af29111df9b8c850332338889;;0;S;</w:instrText>
      </w:r>
      <w:r w:rsidRPr="00C83BB2">
        <w:rPr>
          <w:rFonts w:ascii="Times New Roman" w:hAnsi="Times New Roman" w:cs="Times New Roman"/>
          <w:color w:val="000000"/>
        </w:rPr>
        <w:instrText>Do Blind People See Race? Social, Legal, and Theoretical Considerations, 44 Law &amp; Soc’y Rev. 585, 609 (2010)</w:instrText>
      </w:r>
      <w:r w:rsidRPr="00C83BB2">
        <w:rPr>
          <w:rFonts w:ascii="Times New Roman" w:hAnsi="Times New Roman" w:cs="Times New Roman"/>
        </w:rPr>
        <w:instrText xml:space="preserve">" \c 13 </w:instrText>
      </w:r>
      <w:r w:rsidRPr="00C83BB2">
        <w:rPr>
          <w:rFonts w:ascii="Times New Roman" w:hAnsi="Times New Roman" w:cs="Times New Roman"/>
        </w:rPr>
        <w:fldChar w:fldCharType="end"/>
      </w:r>
      <w:hyperlink r:id="rId41" w:tooltip="https://www.westlaw.com/Document/I2c9d9c0af29111df9b8c850332338889/View/FullText.html?transitionType=Default&amp;contextData=(sc.Default)&amp;VR=3.0&amp;RS=da3.0&amp;fragmentIdentifier=co_pp_sp_100947_609" w:history="1">
        <w:r w:rsidRPr="00C83BB2">
          <w:rPr>
            <w:rStyle w:val="Hyperlink"/>
            <w:rFonts w:ascii="Times New Roman" w:eastAsiaTheme="minorHAnsi" w:hAnsi="Times New Roman"/>
            <w:sz w:val="20"/>
            <w:szCs w:val="20"/>
          </w:rPr>
          <w:t>Osagie K. Obasogie, Do Blind People See Race? Social, Legal, and Theoretical Considerations, 44 Law &amp; Soc’y Rev. 585 (2010)</w:t>
        </w:r>
      </w:hyperlink>
      <w:r w:rsidRPr="00C83BB2">
        <w:rPr>
          <w:rFonts w:ascii="Times New Roman" w:hAnsi="Times New Roman" w:cs="Times New Roman"/>
        </w:rPr>
        <w:t>.</w:t>
      </w:r>
    </w:p>
  </w:footnote>
  <w:footnote w:id="156">
    <w:p w14:paraId="3A4E6A4B" w14:textId="7C556842" w:rsidR="00B552C1" w:rsidRPr="00C83BB2" w:rsidRDefault="00B552C1">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Karen Hao, This is How AI Bias Really Happens—And Why It’s So Hard to Fix (Feb. 4, </w:t>
      </w:r>
      <w:r w:rsidRPr="00C83BB2">
        <w:rPr>
          <w:rFonts w:ascii="Times New Roman" w:hAnsi="Times New Roman" w:cs="Times New Roman"/>
        </w:rPr>
        <w:t xml:space="preserve">2019), </w:t>
      </w:r>
      <w:r w:rsidRPr="00C83BB2">
        <w:rPr>
          <w:rFonts w:ascii="Times New Roman" w:hAnsi="Times New Roman" w:cs="Times New Roman"/>
        </w:rPr>
        <w:fldChar w:fldCharType="begin"/>
      </w:r>
      <w:r w:rsidRPr="00C83BB2">
        <w:rPr>
          <w:rFonts w:ascii="Times New Roman" w:hAnsi="Times New Roman" w:cs="Times New Roman"/>
        </w:rPr>
        <w:instrText>HYPERLINK "http://www.technologyreview.com/s/612876/this-is-how-ai-bias-really-happensand-why-its-so-hard-to-fix/"</w:instrText>
      </w:r>
      <w:r w:rsidRPr="00C83BB2">
        <w:rPr>
          <w:rFonts w:ascii="Times New Roman" w:hAnsi="Times New Roman" w:cs="Times New Roman"/>
        </w:rPr>
      </w:r>
      <w:r w:rsidRPr="00C83BB2">
        <w:rPr>
          <w:rFonts w:ascii="Times New Roman" w:hAnsi="Times New Roman" w:cs="Times New Roman"/>
        </w:rPr>
        <w:fldChar w:fldCharType="separate"/>
      </w:r>
      <w:r w:rsidRPr="00C83BB2">
        <w:rPr>
          <w:rStyle w:val="Hyperlink"/>
          <w:rFonts w:ascii="Times New Roman" w:eastAsiaTheme="minorHAnsi" w:hAnsi="Times New Roman"/>
          <w:sz w:val="20"/>
          <w:szCs w:val="20"/>
        </w:rPr>
        <w:t>www.technologyreview.com/s/612876/this-is-how-ai-bias-really-happensand-why-its-so-hard-to-fix/</w:t>
      </w:r>
      <w:r w:rsidRPr="00C83BB2">
        <w:rPr>
          <w:rFonts w:ascii="Times New Roman" w:hAnsi="Times New Roman" w:cs="Times New Roman"/>
        </w:rPr>
        <w:fldChar w:fldCharType="end"/>
      </w:r>
      <w:r w:rsidRPr="00C83BB2">
        <w:rPr>
          <w:rFonts w:ascii="Times New Roman" w:hAnsi="Times New Roman" w:cs="Times New Roman"/>
        </w:rPr>
        <w:t>.</w:t>
      </w:r>
    </w:p>
  </w:footnote>
  <w:footnote w:id="157">
    <w:p w14:paraId="336620C2" w14:textId="2F26FB25" w:rsidR="00775344" w:rsidRPr="00C83BB2" w:rsidRDefault="00775344">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Jeffrey Dastin, Amazon Scraps Secret AI Recruiting Tool That Showed Bias Against Women (Oct. 9, 2018), </w:t>
      </w:r>
      <w:r w:rsidRPr="00C83BB2">
        <w:rPr>
          <w:rFonts w:ascii="Times New Roman" w:hAnsi="Times New Roman" w:cs="Times New Roman"/>
        </w:rPr>
        <w:fldChar w:fldCharType="begin"/>
      </w:r>
      <w:r w:rsidRPr="00C83BB2">
        <w:rPr>
          <w:rFonts w:ascii="Times New Roman" w:hAnsi="Times New Roman" w:cs="Times New Roman"/>
        </w:rPr>
        <w:instrText>HYPERLINK "http://www.reuters.com/article/us-amazon-com-jobs-automation-insight/amazon-scraps-secret-ai-recruiting-tool-that-showed-bias-against-women-idUSKCN1MK08G"</w:instrText>
      </w:r>
      <w:r w:rsidRPr="00C83BB2">
        <w:rPr>
          <w:rFonts w:ascii="Times New Roman" w:hAnsi="Times New Roman" w:cs="Times New Roman"/>
        </w:rPr>
      </w:r>
      <w:r w:rsidRPr="00C83BB2">
        <w:rPr>
          <w:rFonts w:ascii="Times New Roman" w:hAnsi="Times New Roman" w:cs="Times New Roman"/>
        </w:rPr>
        <w:fldChar w:fldCharType="separate"/>
      </w:r>
      <w:r w:rsidRPr="00C83BB2">
        <w:rPr>
          <w:rStyle w:val="Hyperlink"/>
          <w:rFonts w:ascii="Times New Roman" w:eastAsiaTheme="minorHAnsi" w:hAnsi="Times New Roman"/>
          <w:sz w:val="20"/>
          <w:szCs w:val="20"/>
        </w:rPr>
        <w:t>www.reuters.com/article/us-amazon-com-jobs-automation-insight/amazon-scraps-secret-ai-recruiting-tool-that-showed-bias-against-women-idUSKCN1MK08G</w:t>
      </w:r>
      <w:r w:rsidRPr="00C83BB2">
        <w:rPr>
          <w:rFonts w:ascii="Times New Roman" w:hAnsi="Times New Roman" w:cs="Times New Roman"/>
        </w:rPr>
        <w:fldChar w:fldCharType="end"/>
      </w:r>
      <w:r w:rsidRPr="00C83BB2">
        <w:rPr>
          <w:rFonts w:ascii="Times New Roman" w:hAnsi="Times New Roman" w:cs="Times New Roman"/>
        </w:rPr>
        <w:t>.</w:t>
      </w:r>
    </w:p>
  </w:footnote>
  <w:footnote w:id="158">
    <w:p w14:paraId="4461E62E" w14:textId="0E05CB32" w:rsidR="00A83ED1" w:rsidRPr="00C83BB2" w:rsidRDefault="00A83ED1">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hyperlink r:id="rId42" w:tooltip="https://www.westlaw.com/Document/Ic4dc34714a0111db99a18fc28eb0d9ae/View/FullText.html?transitionType=Default&amp;contextData=(sc.Default)&amp;VR=3.0&amp;RS=da3.0&amp;fragmentIdentifier=co_pp_sp_1151_7" w:history="1">
        <w:r w:rsidRPr="00C83BB2">
          <w:rPr>
            <w:rStyle w:val="Hyperlink"/>
            <w:rFonts w:ascii="Times New Roman" w:eastAsiaTheme="minorHAnsi" w:hAnsi="Times New Roman"/>
            <w:sz w:val="20"/>
            <w:szCs w:val="20"/>
          </w:rPr>
          <w:t xml:space="preserve">Ian F. Haney-López, </w:t>
        </w:r>
        <w:bookmarkStart w:id="29" w:name="dabmci_39dc44aa674d47fd84d15f44602cd1e0"/>
        <w:r w:rsidRPr="00C83BB2">
          <w:rPr>
            <w:rStyle w:val="Hyperlink"/>
            <w:rFonts w:ascii="Times New Roman" w:eastAsiaTheme="minorHAnsi" w:hAnsi="Times New Roman"/>
            <w:sz w:val="20"/>
            <w:szCs w:val="20"/>
          </w:rPr>
          <w:t>The Social Construction of Race: Some Observations on Illusion, Fabrication, and Choice, 29 Harv. C.R.-C.L. Rev. 1, 7 (1994)</w:t>
        </w:r>
        <w:bookmarkEnd w:id="29"/>
      </w:hyperlink>
      <w:r w:rsidRPr="00C83BB2">
        <w:rPr>
          <w:rFonts w:ascii="Times New Roman" w:hAnsi="Times New Roman" w:cs="Times New Roman"/>
        </w:rPr>
        <w:t>.</w:t>
      </w:r>
    </w:p>
  </w:footnote>
  <w:footnote w:id="159">
    <w:p w14:paraId="0716F0A5" w14:textId="15968FE5" w:rsidR="005F041B" w:rsidRPr="00C83BB2" w:rsidRDefault="005F041B">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hyperlink r:id="rId43" w:tooltip="https://www.westlaw.com/Document/I5389edb9c40e11e28578f7ccc38dcbee/View/FullText.html?transitionType=Default&amp;contextData=(sc.Default)&amp;VR=3.0&amp;RS=da3.0&amp;fragmentIdentifier=co_pp_sp_212315_786" w:history="1">
        <w:r w:rsidRPr="00C83BB2">
          <w:rPr>
            <w:rStyle w:val="Hyperlink"/>
            <w:rFonts w:ascii="Times New Roman" w:eastAsiaTheme="minorHAnsi" w:hAnsi="Times New Roman"/>
            <w:sz w:val="20"/>
            <w:szCs w:val="20"/>
          </w:rPr>
          <w:t xml:space="preserve">Ann Picard, </w:t>
        </w:r>
        <w:bookmarkStart w:id="30" w:name="dabmci_b0d11014bb7e4b59a0f73c8a33ee4f47"/>
        <w:r w:rsidRPr="00C83BB2">
          <w:rPr>
            <w:rStyle w:val="Hyperlink"/>
            <w:rFonts w:ascii="Times New Roman" w:eastAsiaTheme="minorHAnsi" w:hAnsi="Times New Roman"/>
            <w:sz w:val="20"/>
            <w:szCs w:val="20"/>
          </w:rPr>
          <w:t>Women’s Rights are Human Rights Redux: Ain’t I a Human?, 26 J. Civ. Rts. &amp; Econ. Dev. 753, 786 (2012)</w:t>
        </w:r>
        <w:bookmarkEnd w:id="30"/>
      </w:hyperlink>
      <w:r w:rsidRPr="00C83BB2">
        <w:rPr>
          <w:rFonts w:ascii="Times New Roman" w:hAnsi="Times New Roman" w:cs="Times New Roman"/>
        </w:rPr>
        <w:t>.</w:t>
      </w:r>
    </w:p>
  </w:footnote>
  <w:footnote w:id="160">
    <w:p w14:paraId="1D4DE601" w14:textId="258CEEFF" w:rsidR="00AC5DC3" w:rsidRPr="00C83BB2" w:rsidRDefault="00AC5DC3">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hyperlink r:id="rId44" w:tooltip="https://www.westlaw.com/Document/Ia4db6ab04a6f11db99a18fc28eb0d9ae/View/FullText.html?transitionType=Default&amp;contextData=(sc.Default)&amp;VR=3.0&amp;RS=da3.0" w:history="1">
        <w:r w:rsidRPr="00C83BB2">
          <w:rPr>
            <w:rStyle w:val="Hyperlink"/>
            <w:rFonts w:ascii="Times New Roman" w:eastAsiaTheme="minorHAnsi" w:hAnsi="Times New Roman"/>
            <w:sz w:val="20"/>
            <w:szCs w:val="20"/>
            <w:lang w:val="en-US"/>
          </w:rPr>
          <w:t>Kimberlé Crenshaw, Mapping the Margins: Intersectionality, Identity Politics, and Violence Against Women of Color, 43 Stan. L. Rev. 1241, 1249 (1991)</w:t>
        </w:r>
      </w:hyperlink>
      <w:r w:rsidRPr="00C83BB2">
        <w:rPr>
          <w:rFonts w:ascii="Times New Roman" w:hAnsi="Times New Roman" w:cs="Times New Roman"/>
          <w:lang w:val="en-US"/>
        </w:rPr>
        <w:t>.</w:t>
      </w:r>
    </w:p>
  </w:footnote>
  <w:footnote w:id="161">
    <w:p w14:paraId="57368F8D" w14:textId="5D6D12F9" w:rsidR="001B72B6" w:rsidRPr="00C83BB2" w:rsidRDefault="001B72B6">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bookmarkStart w:id="31" w:name="OLE_LINK81"/>
      <w:r w:rsidR="002770A0" w:rsidRPr="00C83BB2">
        <w:rPr>
          <w:rFonts w:ascii="Times New Roman" w:hAnsi="Times New Roman" w:cs="Times New Roman"/>
        </w:rPr>
        <w:fldChar w:fldCharType="begin"/>
      </w:r>
      <w:r w:rsidR="002770A0" w:rsidRPr="00C83BB2">
        <w:rPr>
          <w:rFonts w:ascii="Times New Roman" w:hAnsi="Times New Roman" w:cs="Times New Roman"/>
        </w:rPr>
        <w:instrText>HYPERLINK "https://www.westlaw.com/Document/I2ec1ee714b0611db99a18fc28eb0d9ae/View/FullText.html?transitionType=Default&amp;contextData=(sc.Default)&amp;VR=3.0&amp;RS=da3.0&amp;fragmentIdentifier=co_pp_sp_1265_228" \o "https://www.westlaw.com/Document/I2ec1ee714b0611db99a18fc28eb0d9ae/View/FullText.html?transitionType=Default&amp;contextData=(sc.Default)&amp;VR=3.0&amp;RS=da3.0&amp;fragmentIdentifier=co_pp_sp_1265_228"</w:instrText>
      </w:r>
      <w:r w:rsidR="002770A0" w:rsidRPr="00C83BB2">
        <w:rPr>
          <w:rFonts w:ascii="Times New Roman" w:hAnsi="Times New Roman" w:cs="Times New Roman"/>
        </w:rPr>
      </w:r>
      <w:r w:rsidR="002770A0" w:rsidRPr="00C83BB2">
        <w:rPr>
          <w:rFonts w:ascii="Times New Roman" w:hAnsi="Times New Roman" w:cs="Times New Roman"/>
        </w:rPr>
        <w:fldChar w:fldCharType="separate"/>
      </w:r>
      <w:r w:rsidR="002770A0" w:rsidRPr="00C83BB2">
        <w:rPr>
          <w:rStyle w:val="Hyperlink"/>
          <w:rFonts w:ascii="Times New Roman" w:eastAsiaTheme="minorHAnsi" w:hAnsi="Times New Roman"/>
          <w:sz w:val="20"/>
          <w:szCs w:val="20"/>
        </w:rPr>
        <w:t xml:space="preserve">Nancy Levit, </w:t>
      </w:r>
      <w:bookmarkStart w:id="32" w:name="dabmci_7831d99cc04b47689a7d905ab1506603"/>
      <w:r w:rsidR="002770A0" w:rsidRPr="00C83BB2">
        <w:rPr>
          <w:rStyle w:val="Hyperlink"/>
          <w:rFonts w:ascii="Times New Roman" w:eastAsiaTheme="minorHAnsi" w:hAnsi="Times New Roman"/>
          <w:sz w:val="20"/>
          <w:szCs w:val="20"/>
        </w:rPr>
        <w:t>Theorizing the Connections Among Systems of Subordination, 71 U. Mo-K.C. L. Rev. 227, 228 (2002)</w:t>
      </w:r>
      <w:bookmarkEnd w:id="32"/>
      <w:r w:rsidR="002770A0" w:rsidRPr="00C83BB2">
        <w:rPr>
          <w:rFonts w:ascii="Times New Roman" w:hAnsi="Times New Roman" w:cs="Times New Roman"/>
        </w:rPr>
        <w:fldChar w:fldCharType="end"/>
      </w:r>
      <w:r w:rsidR="002770A0" w:rsidRPr="00C83BB2">
        <w:rPr>
          <w:rFonts w:ascii="Times New Roman" w:hAnsi="Times New Roman" w:cs="Times New Roman"/>
        </w:rPr>
        <w:t>.</w:t>
      </w:r>
      <w:bookmarkEnd w:id="31"/>
    </w:p>
  </w:footnote>
  <w:footnote w:id="162">
    <w:p w14:paraId="7B50EA47" w14:textId="6506E905" w:rsidR="006000D1" w:rsidRPr="00C83BB2" w:rsidRDefault="006000D1">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Jennifer Jihye Chun, George Lipsitz &amp; Young Shin, Intersectionality as a Social Movement Strategy: Asian Immigrant Women Advocates, 38 Signs: J. of Women in Culture and Soc. 917, 918, 936–38 (2013).</w:t>
      </w:r>
    </w:p>
  </w:footnote>
  <w:footnote w:id="163">
    <w:p w14:paraId="407DF7CC" w14:textId="1869E94D" w:rsidR="00916B69" w:rsidRPr="00C83BB2" w:rsidRDefault="00916B69">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hyperlink r:id="rId45" w:tooltip="https://www.westlaw.com/Document/I9c2c5e114b2811db99a18fc28eb0d9ae/View/FullText.html?transitionType=Default&amp;contextData=(sc.Default)&amp;VR=3.0&amp;RS=da3.0" w:history="1">
        <w:r w:rsidRPr="00C83BB2">
          <w:rPr>
            <w:rStyle w:val="Hyperlink"/>
            <w:rFonts w:ascii="Times New Roman" w:eastAsiaTheme="minorHAnsi" w:hAnsi="Times New Roman"/>
            <w:sz w:val="20"/>
            <w:szCs w:val="20"/>
          </w:rPr>
          <w:t xml:space="preserve">Mary Romero, </w:t>
        </w:r>
        <w:bookmarkStart w:id="33" w:name="dabmci_9b42b6c88d9041279a0279fc62d9472a"/>
        <w:r w:rsidRPr="00C83BB2">
          <w:rPr>
            <w:rStyle w:val="Hyperlink"/>
            <w:rFonts w:ascii="Times New Roman" w:eastAsiaTheme="minorHAnsi" w:hAnsi="Times New Roman"/>
            <w:sz w:val="20"/>
            <w:szCs w:val="20"/>
          </w:rPr>
          <w:t>Historicizing and Symbolizing a Racial Ethnic Identity: Lessons for Coalition Building with a Social Justice Agenda, 33 U.C. Davis L. Rev. 1599 (2000)</w:t>
        </w:r>
        <w:bookmarkEnd w:id="33"/>
      </w:hyperlink>
      <w:r w:rsidRPr="00C83BB2">
        <w:rPr>
          <w:rFonts w:ascii="Times New Roman" w:hAnsi="Times New Roman" w:cs="Times New Roman"/>
        </w:rPr>
        <w:t>.</w:t>
      </w:r>
    </w:p>
  </w:footnote>
  <w:footnote w:id="164">
    <w:p w14:paraId="0851EF16" w14:textId="3B9BB682" w:rsidR="00DF1690" w:rsidRPr="00C83BB2" w:rsidRDefault="00DF1690">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hyperlink r:id="rId46" w:tooltip="https://www.westlaw.com/Document/I5891bb015a0a11dbbe1cf2d29fe2afe6/View/FullText.html?transitionType=Default&amp;contextData=(sc.Default)&amp;VR=3.0&amp;RS=da3.0&amp;fragmentIdentifier=co_pp_sp_1239_2442" w:history="1">
        <w:r w:rsidRPr="00C83BB2">
          <w:rPr>
            <w:rStyle w:val="Hyperlink"/>
            <w:rFonts w:ascii="Times New Roman" w:eastAsiaTheme="minorHAnsi" w:hAnsi="Times New Roman"/>
            <w:sz w:val="20"/>
            <w:szCs w:val="20"/>
          </w:rPr>
          <w:t xml:space="preserve">Jerome M. Culp, Jr., Angela P. Harris &amp; Francisco Valdes, </w:t>
        </w:r>
        <w:bookmarkStart w:id="34" w:name="dabmci_37ac9399d0c0456d863c9ebd3f4b0912"/>
        <w:r w:rsidRPr="00C83BB2">
          <w:rPr>
            <w:rStyle w:val="Hyperlink"/>
            <w:rFonts w:ascii="Times New Roman" w:eastAsiaTheme="minorHAnsi" w:hAnsi="Times New Roman"/>
            <w:sz w:val="20"/>
            <w:szCs w:val="20"/>
          </w:rPr>
          <w:t>Subject Unrest, 55 Stan. L. Rev. 2435, 2442–44 (2003)</w:t>
        </w:r>
        <w:bookmarkEnd w:id="34"/>
      </w:hyperlink>
      <w:r w:rsidRPr="00C83BB2">
        <w:rPr>
          <w:rFonts w:ascii="Times New Roman" w:hAnsi="Times New Roman" w:cs="Times New Roman"/>
        </w:rPr>
        <w:t>.</w:t>
      </w:r>
    </w:p>
  </w:footnote>
  <w:footnote w:id="165">
    <w:p w14:paraId="60EBF253" w14:textId="31729E50" w:rsidR="005A5781" w:rsidRPr="00C83BB2" w:rsidRDefault="005A5781">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Ala Sirriyeh, “Felons Are Also Our Family”: Citizenship and Solidarity in the Undocumented Youth Movement in the United States, 45 J. of Ethnic and Migration Studies 133 (2018).</w:t>
      </w:r>
    </w:p>
  </w:footnote>
  <w:footnote w:id="166">
    <w:p w14:paraId="77C00090" w14:textId="01E7A99E" w:rsidR="00ED4F4D" w:rsidRPr="00C83BB2" w:rsidRDefault="00ED4F4D">
      <w:pPr>
        <w:pStyle w:val="FootnoteText"/>
        <w:rPr>
          <w:rFonts w:ascii="Times New Roman" w:hAnsi="Times New Roman" w:cs="Times New Roman"/>
          <w:i/>
          <w:iCs/>
          <w:lang w:val="es-PR"/>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i/>
          <w:iCs/>
          <w:lang w:val="es-PR"/>
        </w:rPr>
        <w:t xml:space="preserve">Id. </w:t>
      </w:r>
    </w:p>
  </w:footnote>
  <w:footnote w:id="167">
    <w:p w14:paraId="66DB2AC5" w14:textId="6603D45C" w:rsidR="00F12F09" w:rsidRPr="00C83BB2" w:rsidRDefault="00F12F09">
      <w:pPr>
        <w:pStyle w:val="FootnoteText"/>
        <w:rPr>
          <w:rFonts w:ascii="Times New Roman" w:hAnsi="Times New Roman" w:cs="Times New Roman"/>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Véase Kairos Center, Who We Are, www.kairoscenter.org/who-we-are/</w:t>
      </w:r>
      <w:r w:rsidR="00C06C71" w:rsidRPr="00C83BB2">
        <w:rPr>
          <w:rFonts w:ascii="Times New Roman" w:hAnsi="Times New Roman" w:cs="Times New Roman"/>
        </w:rPr>
        <w:t xml:space="preserve"> (donde se define la labor del Centro como “aprovechar el poder de las religiones y los derechos humanos” para construir un movimiento de personas pobres que trabajen en solidaridad dentro de un “amplio movimiento transformador para acabar con la pobreza”).</w:t>
      </w:r>
    </w:p>
  </w:footnote>
  <w:footnote w:id="168">
    <w:p w14:paraId="2366C373" w14:textId="5AEFF47E" w:rsidR="00840B54" w:rsidRPr="00C83BB2" w:rsidRDefault="00840B54">
      <w:pPr>
        <w:pStyle w:val="FootnoteText"/>
        <w:rPr>
          <w:rFonts w:ascii="Times New Roman" w:hAnsi="Times New Roman" w:cs="Times New Roman"/>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Véase Poor People’s Campaign (que afirma que la organización y la defensa «para transformar las estructuras políticas, económicas y morales de nuestra sociedad» provienen «no de arriba, sino de abajo»), www.poorpeoplescampaign.org.</w:t>
      </w:r>
    </w:p>
  </w:footnote>
  <w:footnote w:id="169">
    <w:p w14:paraId="6902EFB4" w14:textId="129FA78F" w:rsidR="00FB748E" w:rsidRPr="00C83BB2" w:rsidRDefault="00FB748E">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Véase Principios fundamentales, Poor People’s Campaign, www.poorpeoplescampaign.org/‌about/our-principles/.</w:t>
      </w:r>
    </w:p>
  </w:footnote>
  <w:footnote w:id="170">
    <w:p w14:paraId="723DE843" w14:textId="795F668F" w:rsidR="00157DB2" w:rsidRPr="00C83BB2" w:rsidRDefault="00157DB2">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Rev. Dr. William J. Barber II, Research is Vital to the Moral Integrity of Social Movements, Economic Policy Institute, Working Economics Blog (Apr. 4, 2019), </w:t>
      </w:r>
      <w:r w:rsidRPr="00C83BB2">
        <w:rPr>
          <w:rFonts w:ascii="Times New Roman" w:hAnsi="Times New Roman" w:cs="Times New Roman"/>
        </w:rPr>
        <w:fldChar w:fldCharType="begin"/>
      </w:r>
      <w:r w:rsidRPr="00C83BB2">
        <w:rPr>
          <w:rFonts w:ascii="Times New Roman" w:hAnsi="Times New Roman" w:cs="Times New Roman"/>
        </w:rPr>
        <w:instrText>HYPERLINK "http://www.epi.org/blog/research-is-vital-to-the-moral-integrity-of-social-movements/"</w:instrText>
      </w:r>
      <w:r w:rsidRPr="00C83BB2">
        <w:rPr>
          <w:rFonts w:ascii="Times New Roman" w:hAnsi="Times New Roman" w:cs="Times New Roman"/>
        </w:rPr>
      </w:r>
      <w:r w:rsidRPr="00C83BB2">
        <w:rPr>
          <w:rFonts w:ascii="Times New Roman" w:hAnsi="Times New Roman" w:cs="Times New Roman"/>
        </w:rPr>
        <w:fldChar w:fldCharType="separate"/>
      </w:r>
      <w:r w:rsidRPr="00C83BB2">
        <w:rPr>
          <w:rStyle w:val="Hyperlink"/>
          <w:rFonts w:ascii="Times New Roman" w:eastAsiaTheme="minorHAnsi" w:hAnsi="Times New Roman"/>
          <w:sz w:val="20"/>
          <w:szCs w:val="20"/>
        </w:rPr>
        <w:t>www.epi.org/blog/research-is-vital-to-the-moral-integrity-of-social-movements/</w:t>
      </w:r>
      <w:r w:rsidRPr="00C83BB2">
        <w:rPr>
          <w:rFonts w:ascii="Times New Roman" w:hAnsi="Times New Roman" w:cs="Times New Roman"/>
        </w:rPr>
        <w:fldChar w:fldCharType="end"/>
      </w:r>
      <w:r w:rsidRPr="00C83BB2">
        <w:rPr>
          <w:rFonts w:ascii="Times New Roman" w:hAnsi="Times New Roman" w:cs="Times New Roman"/>
        </w:rPr>
        <w:t>.</w:t>
      </w:r>
    </w:p>
  </w:footnote>
  <w:footnote w:id="171">
    <w:p w14:paraId="39B1E504" w14:textId="3351ABCA" w:rsidR="00E61C25" w:rsidRPr="00C83BB2" w:rsidRDefault="00E61C25">
      <w:pPr>
        <w:pStyle w:val="FootnoteText"/>
        <w:rPr>
          <w:rFonts w:ascii="Times New Roman" w:hAnsi="Times New Roman" w:cs="Times New Roman"/>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Véase Derrick A. Bell, Jr., </w:t>
      </w:r>
      <w:r w:rsidRPr="00C83BB2">
        <w:rPr>
          <w:rFonts w:ascii="Times New Roman" w:hAnsi="Times New Roman" w:cs="Times New Roman"/>
          <w:i/>
          <w:iCs/>
        </w:rPr>
        <w:t>Brown v. Board of Education</w:t>
      </w:r>
      <w:r w:rsidRPr="00C83BB2">
        <w:rPr>
          <w:rFonts w:ascii="Times New Roman" w:hAnsi="Times New Roman" w:cs="Times New Roman"/>
        </w:rPr>
        <w:t xml:space="preserve"> and the Interest-Convergence Dilemma, 93 Harv. L. Rev. 518 (1980) (donde se explica cómo una breve convergencia de intereses entre las comunidades negras y las élites blancas condujo al resultado de la desegregación en el caso Brown, aunque dicha convergencia se desvaneció rápidamente antes de que la decisión pudiera aplicarse).</w:t>
      </w:r>
    </w:p>
  </w:footnote>
  <w:footnote w:id="172">
    <w:p w14:paraId="0F197A4F" w14:textId="0A8F9031" w:rsidR="00E56E55" w:rsidRPr="00C83BB2" w:rsidRDefault="00E56E55">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Fatima Bhutto, Caste by Isabel Wilkerson Review—A Dark Study of Violence and Power, The Guardian (July 30, 2020), </w:t>
      </w:r>
      <w:r w:rsidRPr="00C83BB2">
        <w:rPr>
          <w:rFonts w:ascii="Times New Roman" w:hAnsi="Times New Roman" w:cs="Times New Roman"/>
        </w:rPr>
        <w:fldChar w:fldCharType="begin"/>
      </w:r>
      <w:r w:rsidRPr="00C83BB2">
        <w:rPr>
          <w:rFonts w:ascii="Times New Roman" w:hAnsi="Times New Roman" w:cs="Times New Roman"/>
        </w:rPr>
        <w:instrText>HYPERLINK "http://www.theguardian.com/books/2020/jul/30/caste-the-lies-that-divide-us-by-isabel-wilkerson-review"</w:instrText>
      </w:r>
      <w:r w:rsidRPr="00C83BB2">
        <w:rPr>
          <w:rFonts w:ascii="Times New Roman" w:hAnsi="Times New Roman" w:cs="Times New Roman"/>
        </w:rPr>
      </w:r>
      <w:r w:rsidRPr="00C83BB2">
        <w:rPr>
          <w:rFonts w:ascii="Times New Roman" w:hAnsi="Times New Roman" w:cs="Times New Roman"/>
        </w:rPr>
        <w:fldChar w:fldCharType="separate"/>
      </w:r>
      <w:r w:rsidRPr="00C83BB2">
        <w:rPr>
          <w:rStyle w:val="Hyperlink"/>
          <w:rFonts w:ascii="Times New Roman" w:eastAsiaTheme="minorHAnsi" w:hAnsi="Times New Roman"/>
          <w:sz w:val="20"/>
          <w:szCs w:val="20"/>
        </w:rPr>
        <w:t>www.theguardian.com/books/2020/jul/30/caste-the-lies-that-divide-us-by-isabel-wilkerson-review</w:t>
      </w:r>
      <w:r w:rsidRPr="00C83BB2">
        <w:rPr>
          <w:rFonts w:ascii="Times New Roman" w:hAnsi="Times New Roman" w:cs="Times New Roman"/>
        </w:rPr>
        <w:fldChar w:fldCharType="end"/>
      </w:r>
      <w:r w:rsidRPr="00C83BB2">
        <w:rPr>
          <w:rFonts w:ascii="Times New Roman" w:hAnsi="Times New Roman" w:cs="Times New Roman"/>
        </w:rPr>
        <w:t>.</w:t>
      </w:r>
    </w:p>
  </w:footnote>
  <w:footnote w:id="173">
    <w:p w14:paraId="13335382" w14:textId="1FF29348" w:rsidR="00937F04" w:rsidRPr="00C83BB2" w:rsidRDefault="00937F04">
      <w:pPr>
        <w:pStyle w:val="FootnoteText"/>
        <w:rPr>
          <w:rFonts w:ascii="Times New Roman" w:hAnsi="Times New Roman" w:cs="Times New Roman"/>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Isabel Wilkerson, Caste: The Origin of Our Discontents ch. 4 (2020).</w:t>
      </w:r>
      <w:r w:rsidR="000A3C63" w:rsidRPr="00C83BB2">
        <w:rPr>
          <w:rFonts w:ascii="Times New Roman" w:hAnsi="Times New Roman" w:cs="Times New Roman"/>
        </w:rPr>
        <w:t xml:space="preserve"> A lo largo de este libro hacemos hincapié en que la lucha de abajo hacia arriba, basada en el conocimiento y el liderazgo de base, es el pilar de la resistencia contra los sistemas de castas, incluidas las castas identitarias de Estados Unidos y otras colonias. Para una crítica del marco conceptual de Wilkerson sobre la casta y su enfoque de arriba hacia abajo para su desmantelamiento, véase Charisse Burden-Stelly, «Caste Does Not Explain Race», Bost. Rev. (15 de diciembre de 2020), http://boston‌review.net/race/charisse-burden-stelly-caste-does-not-explain-race (cuestionando la opinión de Wilkerson de que la percepción y las actitudes entre las élites sostienen la desigualdad estructural y basándose en Oliver Cromwell Cox, Caste, Class, and Race: A Study in Social Dynamics (1948), quien documentó cómo el orden racial de EE. UU. tiene sus raíces, en cambio, en la economía política y, como explotación material de arriba hacia abajo, solo puede desmantelarse desde abajo).</w:t>
      </w:r>
    </w:p>
  </w:footnote>
  <w:footnote w:id="174">
    <w:p w14:paraId="2047F4E9" w14:textId="5FE5212B" w:rsidR="00E740D0" w:rsidRPr="00C83BB2" w:rsidRDefault="00E740D0">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hyperlink r:id="rId47" w:tooltip="https://www.westlaw.com/Document/Ibdea92559c2511d9bc61beebb95be672/View/FullText.html?transitionType=Default&amp;contextData=(sc.Default)&amp;VR=3.0&amp;RS=da3.0&amp;fragmentIdentifier=co_pp_sp_780_527" w:history="1">
        <w:r w:rsidRPr="00C83BB2">
          <w:rPr>
            <w:rStyle w:val="Hyperlink"/>
            <w:rFonts w:ascii="Times New Roman" w:eastAsiaTheme="minorHAnsi" w:hAnsi="Times New Roman"/>
            <w:i/>
            <w:sz w:val="20"/>
            <w:szCs w:val="20"/>
          </w:rPr>
          <w:t>Rice v. Cayetano</w:t>
        </w:r>
        <w:r w:rsidRPr="00C83BB2">
          <w:rPr>
            <w:rStyle w:val="Hyperlink"/>
            <w:rFonts w:ascii="Times New Roman" w:eastAsiaTheme="minorHAnsi" w:hAnsi="Times New Roman"/>
            <w:sz w:val="20"/>
            <w:szCs w:val="20"/>
          </w:rPr>
          <w:t>, 528 U.S. 495, 527 (2000)</w:t>
        </w:r>
      </w:hyperlink>
      <w:r w:rsidRPr="00C83BB2">
        <w:rPr>
          <w:rFonts w:ascii="Times New Roman" w:hAnsi="Times New Roman" w:cs="Times New Roman"/>
        </w:rPr>
        <w:t xml:space="preserve"> (J. Stevens dissent).</w:t>
      </w:r>
    </w:p>
  </w:footnote>
  <w:footnote w:id="175">
    <w:p w14:paraId="33A2BBB1" w14:textId="497E2B43" w:rsidR="00633E9C" w:rsidRPr="00C83BB2" w:rsidRDefault="00633E9C">
      <w:pPr>
        <w:pStyle w:val="FootnoteText"/>
        <w:rPr>
          <w:rFonts w:ascii="Times New Roman" w:hAnsi="Times New Roman" w:cs="Times New Roman"/>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Los experimentos actuales en materia de construcción del poder generan tensiones que ponen en tela de juicio las formas tradicionales de entender el poder. Los defensores de estas causas pueden abordar mejor estas tensiones si comienzan por imaginar el poder como una fuerza creativa, cambiante y limitante que opera a través de prácticas discursivas tanto a nivel interpersonal como social. El poder construye, canaliza y limita, y lo hace a través de prácticas continuas.</w:t>
      </w:r>
    </w:p>
  </w:footnote>
  <w:footnote w:id="176">
    <w:p w14:paraId="280DE5C3" w14:textId="2CC6CF3A" w:rsidR="000575D3" w:rsidRPr="00C83BB2" w:rsidRDefault="000575D3">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hyperlink r:id="rId48" w:tooltip="https://www.westlaw.com/Document/Idd1af0a049ff11dba16d88fb847e95e5/View/FullText.html?transitionType=Default&amp;contextData=(sc.Default)&amp;VR=3.0&amp;RS=da3.0&amp;fragmentIdentifier=co_pp_sp_1151_300" w:history="1">
        <w:r w:rsidRPr="00C83BB2">
          <w:rPr>
            <w:rStyle w:val="Hyperlink"/>
            <w:rFonts w:ascii="Times New Roman" w:eastAsiaTheme="minorHAnsi" w:hAnsi="Times New Roman"/>
            <w:sz w:val="20"/>
            <w:szCs w:val="20"/>
          </w:rPr>
          <w:t xml:space="preserve">Gary Bellow, </w:t>
        </w:r>
        <w:bookmarkStart w:id="35" w:name="dabmci_ee9edcfc7dfc4efe8b863623226b49a6"/>
        <w:r w:rsidRPr="00C83BB2">
          <w:rPr>
            <w:rStyle w:val="Hyperlink"/>
            <w:rFonts w:ascii="Times New Roman" w:eastAsiaTheme="minorHAnsi" w:hAnsi="Times New Roman"/>
            <w:sz w:val="20"/>
            <w:szCs w:val="20"/>
          </w:rPr>
          <w:t>Steady Work: A Practitioner’s Reflections on Political Lawyering, 31 Harv. C.R.-C.L. L. Rev. 297, 300 (1996)</w:t>
        </w:r>
        <w:bookmarkEnd w:id="35"/>
      </w:hyperlink>
      <w:r w:rsidRPr="00C83BB2">
        <w:rPr>
          <w:rFonts w:ascii="Times New Roman" w:hAnsi="Times New Roman" w:cs="Times New Roman"/>
        </w:rPr>
        <w:t>.</w:t>
      </w:r>
    </w:p>
  </w:footnote>
  <w:footnote w:id="177">
    <w:p w14:paraId="48995EAB" w14:textId="3E4F93B0" w:rsidR="00583CA9" w:rsidRPr="00C83BB2" w:rsidRDefault="00583CA9" w:rsidP="00583CA9">
      <w:pPr>
        <w:pStyle w:val="FootnoteText"/>
        <w:rPr>
          <w:rFonts w:ascii="Times New Roman" w:hAnsi="Times New Roman" w:cs="Times New Roman"/>
        </w:rPr>
      </w:pPr>
      <w:r w:rsidRPr="00C83BB2">
        <w:rPr>
          <w:rStyle w:val="FootnoteReference"/>
          <w:rFonts w:ascii="Times New Roman" w:hAnsi="Times New Roman" w:cs="Times New Roman"/>
        </w:rPr>
        <w:footnoteRef/>
      </w:r>
      <w:r w:rsidRPr="00C83BB2">
        <w:rPr>
          <w:rFonts w:ascii="Times New Roman" w:hAnsi="Times New Roman" w:cs="Times New Roman"/>
        </w:rPr>
        <w:t>Susan D. Carle, Re-Valuing Lawyering for Middle-Income Clients, 70 Fordham L. Rev. 719 (2001).</w:t>
      </w:r>
    </w:p>
  </w:footnote>
  <w:footnote w:id="178">
    <w:p w14:paraId="69D5C91F" w14:textId="03E353B5" w:rsidR="00301467" w:rsidRPr="00C83BB2" w:rsidRDefault="00301467">
      <w:pPr>
        <w:pStyle w:val="FootnoteText"/>
        <w:rPr>
          <w:rFonts w:ascii="Times New Roman" w:hAnsi="Times New Roman" w:cs="Times New Roman"/>
          <w:i/>
          <w:iCs/>
          <w:lang w:val="es-PR"/>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i/>
          <w:iCs/>
          <w:lang w:val="es-PR"/>
        </w:rPr>
        <w:t xml:space="preserve">Id. </w:t>
      </w:r>
    </w:p>
  </w:footnote>
  <w:footnote w:id="179">
    <w:p w14:paraId="66A77EF0" w14:textId="4D47492C" w:rsidR="009C5D3F" w:rsidRPr="00C83BB2" w:rsidRDefault="009C5D3F">
      <w:pPr>
        <w:pStyle w:val="FootnoteText"/>
        <w:rPr>
          <w:rFonts w:ascii="Times New Roman" w:hAnsi="Times New Roman" w:cs="Times New Roman"/>
          <w:i/>
          <w:iCs/>
          <w:lang w:val="es-PR"/>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i/>
          <w:iCs/>
          <w:lang w:val="es-PR"/>
        </w:rPr>
        <w:t xml:space="preserve">Id. </w:t>
      </w:r>
    </w:p>
  </w:footnote>
  <w:footnote w:id="180">
    <w:p w14:paraId="3906F548" w14:textId="53D8886C" w:rsidR="0015336C" w:rsidRPr="00C83BB2" w:rsidRDefault="0015336C">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Barbara L. Bezdek, Alinsky’s Prescription: Democracy Alongside Law, 42 John Marshall L. Rev. 723, 728 (2009) (en el que se describe y cita la obra de Saul Alinsky, uno de los principales impulsores de la organización comunitaria a mediados del siglo XX). Véase Saul D. Alinsky, Reveille for Radicals 12–14 (1945).</w:t>
      </w:r>
    </w:p>
  </w:footnote>
  <w:footnote w:id="181">
    <w:p w14:paraId="6D53C34B" w14:textId="12F3EB6F" w:rsidR="00B71044" w:rsidRPr="00C83BB2" w:rsidRDefault="00B71044">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hyperlink r:id="rId49" w:tooltip="https://www.westlaw.com/Document/I0bd73a330b4b11dd86d5f687b7443f19/View/FullText.html?transitionType=Default&amp;contextData=(sc.Default)&amp;VR=3.0&amp;RS=da3.0&amp;fragmentIdentifier=co_pp_sp_106706_402" w:history="1">
        <w:r w:rsidRPr="00C83BB2">
          <w:rPr>
            <w:rStyle w:val="Hyperlink"/>
            <w:rFonts w:ascii="Times New Roman" w:eastAsiaTheme="minorHAnsi" w:hAnsi="Times New Roman"/>
            <w:sz w:val="20"/>
            <w:szCs w:val="20"/>
          </w:rPr>
          <w:t xml:space="preserve">Sameer M. Ashar, </w:t>
        </w:r>
        <w:bookmarkStart w:id="36" w:name="dabmci_629a081e60e0457d870bdd2629a99ff0"/>
        <w:r w:rsidRPr="00C83BB2">
          <w:rPr>
            <w:rStyle w:val="Hyperlink"/>
            <w:rFonts w:ascii="Times New Roman" w:eastAsiaTheme="minorHAnsi" w:hAnsi="Times New Roman"/>
            <w:sz w:val="20"/>
            <w:szCs w:val="20"/>
          </w:rPr>
          <w:t>Law Clinics and Collective Mobilization, 14 Clinical L. Rev. 355, 402 (2008)</w:t>
        </w:r>
        <w:bookmarkEnd w:id="36"/>
      </w:hyperlink>
      <w:r w:rsidRPr="00C83BB2">
        <w:rPr>
          <w:rFonts w:ascii="Times New Roman" w:hAnsi="Times New Roman" w:cs="Times New Roman"/>
        </w:rPr>
        <w:t>.</w:t>
      </w:r>
    </w:p>
  </w:footnote>
  <w:footnote w:id="182">
    <w:p w14:paraId="37E081CF" w14:textId="3140DD10" w:rsidR="007D09BC" w:rsidRPr="00C83BB2" w:rsidRDefault="007D09BC">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proofErr w:type="spellStart"/>
      <w:r w:rsidRPr="00C83BB2">
        <w:rPr>
          <w:rFonts w:ascii="Times New Roman" w:hAnsi="Times New Roman" w:cs="Times New Roman"/>
          <w:lang w:val="en-US"/>
        </w:rPr>
        <w:t>Véase</w:t>
      </w:r>
      <w:proofErr w:type="spellEnd"/>
      <w:r w:rsidRPr="00C83BB2">
        <w:rPr>
          <w:rFonts w:ascii="Times New Roman" w:hAnsi="Times New Roman" w:cs="Times New Roman"/>
          <w:lang w:val="en-US"/>
        </w:rPr>
        <w:t xml:space="preserve"> </w:t>
      </w:r>
      <w:hyperlink r:id="rId50" w:tooltip="https://www.westlaw.com/Document/I79b69c5dcf7b11dcb846e04bd075d680/View/FullText.html?transitionType=Default&amp;contextData=(sc.Default)&amp;VR=3.0&amp;RS=da3.0&amp;fragmentIdentifier=co_pp_sp_1107_2135" w:history="1">
        <w:r w:rsidRPr="00C83BB2">
          <w:rPr>
            <w:rStyle w:val="Hyperlink"/>
            <w:rFonts w:ascii="Times New Roman" w:eastAsiaTheme="minorHAnsi" w:hAnsi="Times New Roman"/>
            <w:sz w:val="20"/>
            <w:szCs w:val="20"/>
          </w:rPr>
          <w:t xml:space="preserve">Jennifer Gordon, </w:t>
        </w:r>
        <w:bookmarkStart w:id="37" w:name="dabmci_5da99ab2f45a4ccfb0493ec44120a736"/>
        <w:r w:rsidRPr="00C83BB2">
          <w:rPr>
            <w:rStyle w:val="Hyperlink"/>
            <w:rFonts w:ascii="Times New Roman" w:eastAsiaTheme="minorHAnsi" w:hAnsi="Times New Roman"/>
            <w:sz w:val="20"/>
            <w:szCs w:val="20"/>
          </w:rPr>
          <w:t>The Lawyer is not the Protagonist, 95 Cal. L. Rev. 2133, 2135 (2007)</w:t>
        </w:r>
        <w:bookmarkEnd w:id="37"/>
      </w:hyperlink>
      <w:r w:rsidRPr="00C83BB2">
        <w:rPr>
          <w:rFonts w:ascii="Times New Roman" w:hAnsi="Times New Roman" w:cs="Times New Roman"/>
        </w:rPr>
        <w:t>.</w:t>
      </w:r>
    </w:p>
  </w:footnote>
  <w:footnote w:id="183">
    <w:p w14:paraId="73695887" w14:textId="23482D00" w:rsidR="00966C34" w:rsidRPr="00C83BB2" w:rsidRDefault="00966C34">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hyperlink r:id="rId51" w:tooltip="https://www.westlaw.com/Document/Icc1e77015a2511dbbe1cf2d29fe2afe6/View/FullText.html?transitionType=Default&amp;contextData=(sc.Default)&amp;VR=3.0&amp;RS=da3.0&amp;fragmentIdentifier=co_pp_sp_1215_456" w:history="1">
        <w:r w:rsidRPr="00C83BB2">
          <w:rPr>
            <w:rStyle w:val="Hyperlink"/>
            <w:rFonts w:ascii="Times New Roman" w:eastAsiaTheme="minorHAnsi" w:hAnsi="Times New Roman"/>
            <w:sz w:val="20"/>
            <w:szCs w:val="20"/>
          </w:rPr>
          <w:t xml:space="preserve">William P. Quigley, </w:t>
        </w:r>
        <w:bookmarkStart w:id="38" w:name="dabmci_82b13f148d504447a10082ba5d70a769"/>
        <w:r w:rsidRPr="00C83BB2">
          <w:rPr>
            <w:rStyle w:val="Hyperlink"/>
            <w:rFonts w:ascii="Times New Roman" w:eastAsiaTheme="minorHAnsi" w:hAnsi="Times New Roman"/>
            <w:sz w:val="20"/>
            <w:szCs w:val="20"/>
          </w:rPr>
          <w:t>Reflections of Community Organizers: Lawyering for Empowerment of Community Organizations, 21 Ohio N.U. L. Rev. 455, 456 (1994)</w:t>
        </w:r>
        <w:bookmarkEnd w:id="38"/>
      </w:hyperlink>
      <w:r w:rsidRPr="00C83BB2">
        <w:rPr>
          <w:rFonts w:ascii="Times New Roman" w:hAnsi="Times New Roman" w:cs="Times New Roman"/>
        </w:rPr>
        <w:t>.</w:t>
      </w:r>
    </w:p>
  </w:footnote>
  <w:footnote w:id="184">
    <w:p w14:paraId="6B6932B2" w14:textId="3818FECB" w:rsidR="00E72F9D" w:rsidRPr="00C83BB2" w:rsidRDefault="00E72F9D">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Marshall Ganz, Organizing: People, Power, Change, Week 1: What is Organizing? (Sept. 2006), www.tryingtothrivenotjustsurvive.files.wordpress.com/2014/07/x-organizing-people-power-change-2006.pdf.</w:t>
      </w:r>
    </w:p>
  </w:footnote>
  <w:footnote w:id="185">
    <w:p w14:paraId="75B83BAB" w14:textId="2EDAB805" w:rsidR="00D66A95" w:rsidRPr="00C83BB2" w:rsidRDefault="00D66A95">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hyperlink r:id="rId52" w:tooltip="https://www.westlaw.com/Document/I82df25e136e311db8382aef8d8e33c97/View/FullText.html?transitionType=Default&amp;contextData=(sc.Default)&amp;VR=3.0&amp;RS=da3.0&amp;fragmentIdentifier=co_pp_sp_1111_1055" w:history="1">
        <w:r w:rsidRPr="00C83BB2">
          <w:rPr>
            <w:rStyle w:val="Hyperlink"/>
            <w:rFonts w:ascii="Times New Roman" w:eastAsiaTheme="minorHAnsi" w:hAnsi="Times New Roman"/>
            <w:sz w:val="20"/>
            <w:szCs w:val="20"/>
          </w:rPr>
          <w:t xml:space="preserve">Emily M.S. Houh, </w:t>
        </w:r>
        <w:bookmarkStart w:id="39" w:name="dabmci_52171569e97e406a9f5ab0d72578ed64"/>
        <w:r w:rsidRPr="00C83BB2">
          <w:rPr>
            <w:rStyle w:val="Hyperlink"/>
            <w:rFonts w:ascii="Times New Roman" w:eastAsiaTheme="minorHAnsi" w:hAnsi="Times New Roman"/>
            <w:sz w:val="20"/>
            <w:szCs w:val="20"/>
          </w:rPr>
          <w:t>Critical Interventions: Toward an Expansive Equality Approach to the Doctrine of Good Faith in Contract Law, 88 Cornell L. Rev. 1025, 1055–56 (2003)</w:t>
        </w:r>
        <w:bookmarkEnd w:id="39"/>
      </w:hyperlink>
      <w:r w:rsidRPr="00C83BB2">
        <w:rPr>
          <w:rFonts w:ascii="Times New Roman" w:hAnsi="Times New Roman" w:cs="Times New Roman"/>
        </w:rPr>
        <w:t>.</w:t>
      </w:r>
    </w:p>
  </w:footnote>
  <w:footnote w:id="186">
    <w:p w14:paraId="2C1C5F18" w14:textId="1DA44914" w:rsidR="003F62CA" w:rsidRPr="00C83BB2" w:rsidRDefault="003F62CA">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proofErr w:type="spellStart"/>
      <w:r w:rsidRPr="00C83BB2">
        <w:rPr>
          <w:rFonts w:ascii="Times New Roman" w:hAnsi="Times New Roman" w:cs="Times New Roman"/>
          <w:lang w:val="en-US"/>
        </w:rPr>
        <w:t>Véase</w:t>
      </w:r>
      <w:proofErr w:type="spellEnd"/>
      <w:r w:rsidRPr="00C83BB2">
        <w:rPr>
          <w:rFonts w:ascii="Times New Roman" w:hAnsi="Times New Roman" w:cs="Times New Roman"/>
          <w:lang w:val="en-US"/>
        </w:rPr>
        <w:t xml:space="preserve"> </w:t>
      </w:r>
      <w:r w:rsidRPr="00C83BB2">
        <w:rPr>
          <w:rFonts w:ascii="Times New Roman" w:hAnsi="Times New Roman" w:cs="Times New Roman"/>
        </w:rPr>
        <w:t xml:space="preserve">Benjamin Cardozo, The Nature of the Judicial Process (1921); </w:t>
      </w:r>
      <w:r w:rsidRPr="00C83BB2">
        <w:rPr>
          <w:rFonts w:ascii="Times New Roman" w:hAnsi="Times New Roman" w:cs="Times New Roman"/>
        </w:rPr>
        <w:fldChar w:fldCharType="begin"/>
      </w:r>
      <w:r w:rsidRPr="00C83BB2">
        <w:rPr>
          <w:rFonts w:ascii="Times New Roman" w:hAnsi="Times New Roman" w:cs="Times New Roman"/>
        </w:rPr>
        <w:instrText xml:space="preserve"> TA \l "Frank, Jerome, What Courts Do In Fact, 26 Ill. L. Rev. 645 (1932)" \s "Jerome Frank, What Courts Do In Fact, 26 Ill. L. Rev. 645 (1932)" \c 13 </w:instrText>
      </w:r>
      <w:r w:rsidRPr="00C83BB2">
        <w:rPr>
          <w:rFonts w:ascii="Times New Roman" w:hAnsi="Times New Roman" w:cs="Times New Roman"/>
        </w:rPr>
        <w:fldChar w:fldCharType="end"/>
      </w:r>
      <w:r w:rsidRPr="00C83BB2">
        <w:rPr>
          <w:rFonts w:ascii="Times New Roman" w:hAnsi="Times New Roman" w:cs="Times New Roman"/>
        </w:rPr>
        <w:t xml:space="preserve">Jerome Frank, What Courts Do In Fact, 26 Ill. L. Rev. 645 (1932); </w:t>
      </w:r>
      <w:r w:rsidRPr="00C83BB2">
        <w:rPr>
          <w:rFonts w:ascii="Times New Roman" w:hAnsi="Times New Roman" w:cs="Times New Roman"/>
        </w:rPr>
        <w:fldChar w:fldCharType="begin"/>
      </w:r>
      <w:r w:rsidRPr="00C83BB2">
        <w:rPr>
          <w:rFonts w:ascii="Times New Roman" w:hAnsi="Times New Roman" w:cs="Times New Roman"/>
        </w:rPr>
        <w:instrText xml:space="preserve"> TA \l "Llewellyn, Karl, The Common Law Tradition: Deciding Appeals (1960)" \s "Karl Llewellyn, The Common Law Tradition: Deciding Appeals (1960)" \c 13 </w:instrText>
      </w:r>
      <w:r w:rsidRPr="00C83BB2">
        <w:rPr>
          <w:rFonts w:ascii="Times New Roman" w:hAnsi="Times New Roman" w:cs="Times New Roman"/>
        </w:rPr>
        <w:fldChar w:fldCharType="end"/>
      </w:r>
      <w:r w:rsidRPr="00C83BB2">
        <w:rPr>
          <w:rFonts w:ascii="Times New Roman" w:hAnsi="Times New Roman" w:cs="Times New Roman"/>
        </w:rPr>
        <w:t>Karl Llewellyn, The Common Law Tradition: Deciding Appeals (1960).</w:t>
      </w:r>
    </w:p>
  </w:footnote>
  <w:footnote w:id="187">
    <w:p w14:paraId="528F9C01" w14:textId="19E5A482" w:rsidR="00E8190A" w:rsidRPr="00C83BB2" w:rsidRDefault="00E8190A">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hyperlink r:id="rId53" w:tooltip="https://www.westlaw.com/Document/Ia4aa08ea69ef11de9b8c850332338889/View/FullText.html?transitionType=Default&amp;contextData=(sc.Default)&amp;VR=3.0&amp;RS=da3.0" w:history="1">
        <w:r w:rsidRPr="00C83BB2">
          <w:rPr>
            <w:rStyle w:val="Hyperlink"/>
            <w:rFonts w:ascii="Times New Roman" w:eastAsiaTheme="minorHAnsi" w:hAnsi="Times New Roman"/>
            <w:sz w:val="20"/>
            <w:szCs w:val="20"/>
          </w:rPr>
          <w:t xml:space="preserve">Oliver Wendell Holmes, Jr., </w:t>
        </w:r>
        <w:bookmarkStart w:id="40" w:name="dabmci_1a919aedbb054718909dcfead167b918"/>
        <w:r w:rsidRPr="00C83BB2">
          <w:rPr>
            <w:rStyle w:val="Hyperlink"/>
            <w:rFonts w:ascii="Times New Roman" w:eastAsiaTheme="minorHAnsi" w:hAnsi="Times New Roman"/>
            <w:sz w:val="20"/>
            <w:szCs w:val="20"/>
          </w:rPr>
          <w:t>The Path of the Law, 10 Harv. L. Rev. 457 (1897)</w:t>
        </w:r>
        <w:bookmarkEnd w:id="40"/>
      </w:hyperlink>
      <w:r w:rsidRPr="00C83BB2">
        <w:rPr>
          <w:rFonts w:ascii="Times New Roman" w:hAnsi="Times New Roman" w:cs="Times New Roman"/>
        </w:rPr>
        <w:t>.</w:t>
      </w:r>
    </w:p>
  </w:footnote>
  <w:footnote w:id="188">
    <w:p w14:paraId="71E5650B" w14:textId="407E7EF8" w:rsidR="00E57FC5" w:rsidRPr="00C83BB2" w:rsidRDefault="00E57FC5">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Roscoe Pound, The Scope and Purpose of Sociological Jurisprudence, 23 Harv. L. Rev. 591, 596 (1911).</w:t>
      </w:r>
    </w:p>
  </w:footnote>
  <w:footnote w:id="189">
    <w:p w14:paraId="3FAF0346" w14:textId="045D132C" w:rsidR="00F64C02" w:rsidRPr="00C83BB2" w:rsidRDefault="00F64C02">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hyperlink r:id="rId54" w:tooltip="https://www.westlaw.com/Document/I7a38d4449ca211d9bdd1cfdd544ca3a4/View/FullText.html?transitionType=Default&amp;contextData=(sc.Default)&amp;VR=3.0&amp;RS=da3.0" w:history="1">
        <w:r w:rsidRPr="00C83BB2">
          <w:rPr>
            <w:rStyle w:val="Hyperlink"/>
            <w:rFonts w:ascii="Times New Roman" w:eastAsiaTheme="minorHAnsi" w:hAnsi="Times New Roman"/>
            <w:i/>
            <w:sz w:val="20"/>
            <w:szCs w:val="20"/>
          </w:rPr>
          <w:t>Muller v. Oregon</w:t>
        </w:r>
        <w:r w:rsidRPr="00C83BB2">
          <w:rPr>
            <w:rStyle w:val="Hyperlink"/>
            <w:rFonts w:ascii="Times New Roman" w:eastAsiaTheme="minorHAnsi" w:hAnsi="Times New Roman"/>
            <w:sz w:val="20"/>
            <w:szCs w:val="20"/>
          </w:rPr>
          <w:t>, 208 U.S. 412 (1908)</w:t>
        </w:r>
      </w:hyperlink>
      <w:r w:rsidRPr="00C83BB2">
        <w:rPr>
          <w:rFonts w:ascii="Times New Roman" w:hAnsi="Times New Roman" w:cs="Times New Roman"/>
        </w:rPr>
        <w:t>.</w:t>
      </w:r>
    </w:p>
  </w:footnote>
  <w:footnote w:id="190">
    <w:p w14:paraId="7AD4A82F" w14:textId="4AD559E6" w:rsidR="003C50F5" w:rsidRPr="00C83BB2" w:rsidRDefault="003C50F5">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hyperlink r:id="rId55" w:history="1">
        <w:r w:rsidRPr="00C83BB2">
          <w:rPr>
            <w:rStyle w:val="Hyperlink"/>
            <w:rFonts w:ascii="Times New Roman" w:eastAsiaTheme="minorHAnsi" w:hAnsi="Times New Roman"/>
            <w:sz w:val="20"/>
            <w:szCs w:val="20"/>
          </w:rPr>
          <w:t>www.taxprof.typepad.com/taxprof_blog/2020/09/deans-of-all-five-university-of-california-law-schools-defend-critical-race-theory-against-trumps-at.html</w:t>
        </w:r>
      </w:hyperlink>
      <w:r w:rsidRPr="00C83BB2">
        <w:rPr>
          <w:rFonts w:ascii="Times New Roman" w:hAnsi="Times New Roman" w:cs="Times New Roman"/>
        </w:rPr>
        <w:t>.</w:t>
      </w:r>
    </w:p>
  </w:footnote>
  <w:footnote w:id="191">
    <w:p w14:paraId="5524C8D6" w14:textId="1027CAFC" w:rsidR="009513DA" w:rsidRPr="00C83BB2" w:rsidRDefault="009513DA">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Angela Y. Davis, Women, Culture, and Politics 14 (1989).</w:t>
      </w:r>
    </w:p>
  </w:footnote>
  <w:footnote w:id="192">
    <w:p w14:paraId="01B17887" w14:textId="6D962676" w:rsidR="00B51B95" w:rsidRPr="00C83BB2" w:rsidRDefault="00B51B95">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hyperlink r:id="rId56" w:tooltip="https://www.westlaw.com/Document/I5c931925121311e498db8b09b4f043e0/View/FullText.html?transitionType=Default&amp;contextData=(sc.Default)&amp;VR=3.0&amp;RS=da3.0" w:history="1">
        <w:r w:rsidRPr="00C83BB2">
          <w:rPr>
            <w:rStyle w:val="Hyperlink"/>
            <w:rFonts w:ascii="Times New Roman" w:eastAsiaTheme="minorHAnsi" w:hAnsi="Times New Roman"/>
            <w:sz w:val="20"/>
            <w:szCs w:val="20"/>
          </w:rPr>
          <w:t xml:space="preserve">Marc-Tizoc González, </w:t>
        </w:r>
        <w:bookmarkStart w:id="42" w:name="dabmci_ba4c0adaecf544f39b1576b31b2b554e"/>
        <w:r w:rsidRPr="00C83BB2">
          <w:rPr>
            <w:rStyle w:val="Hyperlink"/>
            <w:rFonts w:ascii="Times New Roman" w:eastAsiaTheme="minorHAnsi" w:hAnsi="Times New Roman"/>
            <w:sz w:val="20"/>
            <w:szCs w:val="20"/>
          </w:rPr>
          <w:t>Critical Ethnic Legal Histories: Unearthing the Interracial Justice of Filipino American Agricultural Labor Organizing, 3 U.C. Irvine L. Rev. 991 (2013)</w:t>
        </w:r>
        <w:bookmarkEnd w:id="42"/>
      </w:hyperlink>
      <w:r w:rsidRPr="00C83BB2">
        <w:rPr>
          <w:rFonts w:ascii="Times New Roman" w:hAnsi="Times New Roman" w:cs="Times New Roman"/>
        </w:rPr>
        <w:t>.</w:t>
      </w:r>
    </w:p>
  </w:footnote>
  <w:footnote w:id="193">
    <w:p w14:paraId="514EB55C" w14:textId="426BC5BD" w:rsidR="00B908AB" w:rsidRPr="00C83BB2" w:rsidRDefault="00B908AB">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Robert W. Gordon, The Struggle Over the Past, 44 Cleve. St. L. Rev. 123 (1996).</w:t>
      </w:r>
    </w:p>
  </w:footnote>
  <w:footnote w:id="194">
    <w:p w14:paraId="338BA199" w14:textId="45407A60" w:rsidR="00754801" w:rsidRPr="00C83BB2" w:rsidRDefault="00754801">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Randy Albelda, Robert W. Drago &amp; Steven Shulman, Unlevel Playing Fields: Understanding Wage Inequality and Discrimination 121 (2d ed. 2004).</w:t>
      </w:r>
    </w:p>
  </w:footnote>
  <w:footnote w:id="195">
    <w:p w14:paraId="53E23539" w14:textId="277DBC43" w:rsidR="00AE3777" w:rsidRPr="00C83BB2" w:rsidRDefault="00AE3777">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proofErr w:type="spellStart"/>
      <w:r w:rsidRPr="00C83BB2">
        <w:rPr>
          <w:rFonts w:ascii="Times New Roman" w:hAnsi="Times New Roman" w:cs="Times New Roman"/>
          <w:lang w:val="en-US"/>
        </w:rPr>
        <w:t>Véase</w:t>
      </w:r>
      <w:proofErr w:type="spellEnd"/>
      <w:r w:rsidRPr="00C83BB2">
        <w:rPr>
          <w:rFonts w:ascii="Times New Roman" w:hAnsi="Times New Roman" w:cs="Times New Roman"/>
          <w:lang w:val="en-US"/>
        </w:rPr>
        <w:t xml:space="preserve"> </w:t>
      </w:r>
      <w:r w:rsidRPr="00C83BB2">
        <w:rPr>
          <w:rFonts w:ascii="Times New Roman" w:hAnsi="Times New Roman" w:cs="Times New Roman"/>
        </w:rPr>
        <w:t>William Roseberry, Anthropologies and Histories, 49 (1990).</w:t>
      </w:r>
    </w:p>
  </w:footnote>
  <w:footnote w:id="196">
    <w:p w14:paraId="50E3486C" w14:textId="481BD285" w:rsidR="006717F3" w:rsidRPr="00C83BB2" w:rsidRDefault="006717F3">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hyperlink r:id="rId57" w:tooltip="https://www.westlaw.com/Document/Ib4f15c715a2811dbbd2dfa5ce1d08a25/View/FullText.html?transitionType=Default&amp;contextData=(sc.Default)&amp;VR=3.0&amp;RS=da3.0" w:history="1">
        <w:r w:rsidRPr="00C83BB2">
          <w:rPr>
            <w:rStyle w:val="Hyperlink"/>
            <w:rFonts w:ascii="Times New Roman" w:eastAsiaTheme="minorHAnsi" w:hAnsi="Times New Roman"/>
            <w:sz w:val="20"/>
            <w:szCs w:val="20"/>
          </w:rPr>
          <w:t xml:space="preserve">Charles R.P. Pouncy, </w:t>
        </w:r>
        <w:bookmarkStart w:id="43" w:name="dabmci_d7d0c68d96bc49b7b6750705f1245dc5"/>
        <w:r w:rsidRPr="00C83BB2">
          <w:rPr>
            <w:rStyle w:val="Hyperlink"/>
            <w:rFonts w:ascii="Times New Roman" w:eastAsiaTheme="minorHAnsi" w:hAnsi="Times New Roman"/>
            <w:sz w:val="20"/>
            <w:szCs w:val="20"/>
          </w:rPr>
          <w:t>Institutional Economics and Critical Race/LatCrit Theory: The Need for a Critical “Raced” Economics, 54 Rutgers L. Rev. 841 (2002)</w:t>
        </w:r>
        <w:bookmarkEnd w:id="43"/>
      </w:hyperlink>
      <w:r w:rsidRPr="00C83BB2">
        <w:rPr>
          <w:rFonts w:ascii="Times New Roman" w:hAnsi="Times New Roman" w:cs="Times New Roman"/>
        </w:rPr>
        <w:t xml:space="preserve">; </w:t>
      </w:r>
      <w:r w:rsidRPr="00C83BB2">
        <w:rPr>
          <w:rFonts w:ascii="Times New Roman" w:hAnsi="Times New Roman" w:cs="Times New Roman"/>
        </w:rPr>
        <w:fldChar w:fldCharType="begin"/>
      </w:r>
      <w:r w:rsidRPr="00C83BB2">
        <w:rPr>
          <w:rFonts w:ascii="Times New Roman" w:hAnsi="Times New Roman" w:cs="Times New Roman"/>
        </w:rPr>
        <w:instrText xml:space="preserve"> TA \l "Browning, Gary and Andrew Kilmister, Critical and Post-Critical Political Economy (2006)" \s "Gary Browning and Andrew Kilmister, Critical and Post-Critical Political Economy (2006)" \c 13 </w:instrText>
      </w:r>
      <w:r w:rsidRPr="00C83BB2">
        <w:rPr>
          <w:rFonts w:ascii="Times New Roman" w:hAnsi="Times New Roman" w:cs="Times New Roman"/>
        </w:rPr>
        <w:fldChar w:fldCharType="end"/>
      </w:r>
      <w:r w:rsidRPr="00C83BB2">
        <w:rPr>
          <w:rFonts w:ascii="Times New Roman" w:hAnsi="Times New Roman" w:cs="Times New Roman"/>
        </w:rPr>
        <w:t xml:space="preserve">Gary Browning and Andrew Kilmister, Critical and Post-Critical Political Economy (2006); </w:t>
      </w:r>
      <w:r w:rsidRPr="00C83BB2">
        <w:rPr>
          <w:rFonts w:ascii="Times New Roman" w:hAnsi="Times New Roman" w:cs="Times New Roman"/>
        </w:rPr>
        <w:fldChar w:fldCharType="begin"/>
      </w:r>
      <w:r w:rsidRPr="00C83BB2">
        <w:rPr>
          <w:rFonts w:ascii="Times New Roman" w:hAnsi="Times New Roman" w:cs="Times New Roman"/>
        </w:rPr>
        <w:instrText xml:space="preserve"> TA \l "Torres, Edén E., </w:instrText>
      </w:r>
      <w:r w:rsidRPr="00C83BB2">
        <w:rPr>
          <w:rFonts w:ascii="Times New Roman" w:hAnsi="Times New Roman" w:cs="Times New Roman"/>
          <w:color w:val="000000"/>
        </w:rPr>
        <w:instrText>Power, Politics, and Pleasure: Class Differences and the Law, 54 Rutgers L. Rev. 853 (2002)</w:instrText>
      </w:r>
      <w:r w:rsidRPr="00C83BB2">
        <w:rPr>
          <w:rFonts w:ascii="Times New Roman" w:hAnsi="Times New Roman" w:cs="Times New Roman"/>
        </w:rPr>
        <w:instrText>" \s "A;O;60;dabmci_8de03f0c649742c0bf62924b451efa97_1;Ie870b0e15a2911dbbd2dfa5ce1d08a25;;0;S;</w:instrText>
      </w:r>
      <w:r w:rsidRPr="00C83BB2">
        <w:rPr>
          <w:rFonts w:ascii="Times New Roman" w:hAnsi="Times New Roman" w:cs="Times New Roman"/>
          <w:color w:val="000000"/>
        </w:rPr>
        <w:instrText>Power, Politics, and Pleasure: Class Differences and the Law, 54 Rutgers L. Rev. 853 (2002)</w:instrText>
      </w:r>
      <w:r w:rsidRPr="00C83BB2">
        <w:rPr>
          <w:rFonts w:ascii="Times New Roman" w:hAnsi="Times New Roman" w:cs="Times New Roman"/>
        </w:rPr>
        <w:instrText xml:space="preserve">" \c 13 </w:instrText>
      </w:r>
      <w:r w:rsidRPr="00C83BB2">
        <w:rPr>
          <w:rFonts w:ascii="Times New Roman" w:hAnsi="Times New Roman" w:cs="Times New Roman"/>
        </w:rPr>
        <w:fldChar w:fldCharType="end"/>
      </w:r>
      <w:hyperlink r:id="rId58" w:tooltip="https://www.westlaw.com/Document/Ie870b0e15a2911dbbd2dfa5ce1d08a25/View/FullText.html?transitionType=Default&amp;contextData=(sc.Default)&amp;VR=3.0&amp;RS=da3.0" w:history="1">
        <w:r w:rsidRPr="00C83BB2">
          <w:rPr>
            <w:rStyle w:val="Hyperlink"/>
            <w:rFonts w:ascii="Times New Roman" w:eastAsiaTheme="minorHAnsi" w:hAnsi="Times New Roman"/>
            <w:sz w:val="20"/>
            <w:szCs w:val="20"/>
          </w:rPr>
          <w:t xml:space="preserve">Edén E. Torres, </w:t>
        </w:r>
        <w:bookmarkStart w:id="44" w:name="dabmci_31b829fb57694d43999f7f928aacab4b"/>
        <w:r w:rsidRPr="00C83BB2">
          <w:rPr>
            <w:rStyle w:val="Hyperlink"/>
            <w:rFonts w:ascii="Times New Roman" w:eastAsiaTheme="minorHAnsi" w:hAnsi="Times New Roman"/>
            <w:sz w:val="20"/>
            <w:szCs w:val="20"/>
          </w:rPr>
          <w:t>Power, Politics, and Pleasure: Class Differences and the Law, 54 Rutgers L. Rev. 853 (2002)</w:t>
        </w:r>
        <w:bookmarkEnd w:id="44"/>
      </w:hyperlink>
      <w:r w:rsidRPr="00C83BB2">
        <w:rPr>
          <w:rFonts w:ascii="Times New Roman" w:hAnsi="Times New Roman" w:cs="Times New Roman"/>
        </w:rPr>
        <w:t>.</w:t>
      </w:r>
    </w:p>
  </w:footnote>
  <w:footnote w:id="197">
    <w:p w14:paraId="377A46F6" w14:textId="034B43E6" w:rsidR="0066538D" w:rsidRPr="00C83BB2" w:rsidRDefault="0066538D">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Grassroots Policy Project, Race, Power and Policy: Dismantling Structural Racism (2010).</w:t>
      </w:r>
    </w:p>
  </w:footnote>
  <w:footnote w:id="198">
    <w:p w14:paraId="791CF923" w14:textId="0313CDBE" w:rsidR="00581C58" w:rsidRPr="00C83BB2" w:rsidRDefault="00581C58">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Chae Chan Ping v. United States, 130 U.S. 581 (1889).</w:t>
      </w:r>
    </w:p>
  </w:footnote>
  <w:footnote w:id="199">
    <w:p w14:paraId="75C5391C" w14:textId="189DE588" w:rsidR="003A53C9" w:rsidRPr="00C83BB2" w:rsidRDefault="003A53C9">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hyperlink r:id="rId59" w:history="1">
        <w:r w:rsidRPr="00C83BB2">
          <w:rPr>
            <w:rStyle w:val="Hyperlink"/>
            <w:rFonts w:ascii="Times New Roman" w:eastAsiaTheme="minorHAnsi" w:hAnsi="Times New Roman"/>
            <w:i/>
            <w:iCs/>
            <w:sz w:val="20"/>
            <w:szCs w:val="20"/>
          </w:rPr>
          <w:t>Plessy v. Ferguson</w:t>
        </w:r>
        <w:r w:rsidRPr="00C83BB2">
          <w:rPr>
            <w:rStyle w:val="Hyperlink"/>
            <w:rFonts w:ascii="Times New Roman" w:eastAsiaTheme="minorHAnsi" w:hAnsi="Times New Roman"/>
            <w:sz w:val="20"/>
            <w:szCs w:val="20"/>
          </w:rPr>
          <w:t>, 163 U.S. 537, 561 (1896)</w:t>
        </w:r>
      </w:hyperlink>
      <w:r w:rsidRPr="00C83BB2">
        <w:rPr>
          <w:rFonts w:ascii="Times New Roman" w:hAnsi="Times New Roman" w:cs="Times New Roman"/>
        </w:rPr>
        <w:t xml:space="preserve"> (opinión disidente).</w:t>
      </w:r>
    </w:p>
  </w:footnote>
  <w:footnote w:id="200">
    <w:p w14:paraId="71FFA3B4" w14:textId="1C3EE36B" w:rsidR="00A029BC" w:rsidRPr="00C83BB2" w:rsidRDefault="00A029BC">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Leti Volpp, “Obnoxious to Their Very Nature:” Asian Americans and Constitutional Citizenship, 5 Citizenship Studies 57 (2001).</w:t>
      </w:r>
    </w:p>
  </w:footnote>
  <w:footnote w:id="201">
    <w:p w14:paraId="0327F2E4" w14:textId="7AB436A5" w:rsidR="00C57814" w:rsidRPr="00C83BB2" w:rsidRDefault="00C57814">
      <w:pPr>
        <w:pStyle w:val="FootnoteText"/>
        <w:rPr>
          <w:rFonts w:ascii="Times New Roman" w:hAnsi="Times New Roman" w:cs="Times New Roman"/>
          <w:i/>
          <w:iCs/>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i/>
          <w:iCs/>
          <w:lang w:val="en-US"/>
        </w:rPr>
        <w:t xml:space="preserve">Id. </w:t>
      </w:r>
    </w:p>
  </w:footnote>
  <w:footnote w:id="202">
    <w:p w14:paraId="123A56A2" w14:textId="78096D07" w:rsidR="0065756E" w:rsidRPr="00C83BB2" w:rsidRDefault="0065756E">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proofErr w:type="spellStart"/>
      <w:r w:rsidRPr="00C83BB2">
        <w:rPr>
          <w:rFonts w:ascii="Times New Roman" w:hAnsi="Times New Roman" w:cs="Times New Roman"/>
          <w:lang w:val="en-US"/>
        </w:rPr>
        <w:t>Véase</w:t>
      </w:r>
      <w:proofErr w:type="spellEnd"/>
      <w:r w:rsidRPr="00C83BB2">
        <w:rPr>
          <w:rFonts w:ascii="Times New Roman" w:hAnsi="Times New Roman" w:cs="Times New Roman"/>
          <w:lang w:val="en-US"/>
        </w:rPr>
        <w:t xml:space="preserve"> </w:t>
      </w:r>
      <w:r w:rsidRPr="00C83BB2">
        <w:rPr>
          <w:rFonts w:ascii="Times New Roman" w:hAnsi="Times New Roman" w:cs="Times New Roman"/>
        </w:rPr>
        <w:t xml:space="preserve">Tim Carmody, How the Flint River Got So Toxic (Feb. 26, 2016), </w:t>
      </w:r>
      <w:r w:rsidRPr="00C83BB2">
        <w:rPr>
          <w:rFonts w:ascii="Times New Roman" w:hAnsi="Times New Roman" w:cs="Times New Roman"/>
        </w:rPr>
        <w:fldChar w:fldCharType="begin"/>
      </w:r>
      <w:r w:rsidRPr="00C83BB2">
        <w:rPr>
          <w:rFonts w:ascii="Times New Roman" w:hAnsi="Times New Roman" w:cs="Times New Roman"/>
        </w:rPr>
        <w:instrText>HYPERLINK "http://www.theverge.com/2016/2/26/11117022/flint-michigan-water-crisis-lead-pollution-history"</w:instrText>
      </w:r>
      <w:r w:rsidRPr="00C83BB2">
        <w:rPr>
          <w:rFonts w:ascii="Times New Roman" w:hAnsi="Times New Roman" w:cs="Times New Roman"/>
        </w:rPr>
      </w:r>
      <w:r w:rsidRPr="00C83BB2">
        <w:rPr>
          <w:rFonts w:ascii="Times New Roman" w:hAnsi="Times New Roman" w:cs="Times New Roman"/>
        </w:rPr>
        <w:fldChar w:fldCharType="separate"/>
      </w:r>
      <w:r w:rsidRPr="00C83BB2">
        <w:rPr>
          <w:rStyle w:val="Hyperlink"/>
          <w:rFonts w:ascii="Times New Roman" w:eastAsiaTheme="minorHAnsi" w:hAnsi="Times New Roman"/>
          <w:sz w:val="20"/>
          <w:szCs w:val="20"/>
        </w:rPr>
        <w:t>www.‌theverge.com/2016/2/26/11117022/flint-michigan-water-crisis-lead-pollution-history</w:t>
      </w:r>
      <w:r w:rsidRPr="00C83BB2">
        <w:rPr>
          <w:rFonts w:ascii="Times New Roman" w:hAnsi="Times New Roman" w:cs="Times New Roman"/>
        </w:rPr>
        <w:fldChar w:fldCharType="end"/>
      </w:r>
      <w:r w:rsidRPr="00C83BB2">
        <w:rPr>
          <w:rFonts w:ascii="Times New Roman" w:hAnsi="Times New Roman" w:cs="Times New Roman"/>
        </w:rPr>
        <w:t xml:space="preserve"> (discussing the structural problems behind the crisis that are replicated across the U.S.).</w:t>
      </w:r>
    </w:p>
  </w:footnote>
  <w:footnote w:id="203">
    <w:p w14:paraId="39BA4F9D" w14:textId="5E956D81" w:rsidR="00B87B32" w:rsidRPr="00C83BB2" w:rsidRDefault="00B87B32">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proofErr w:type="spellStart"/>
      <w:r w:rsidRPr="00C83BB2">
        <w:rPr>
          <w:rFonts w:ascii="Times New Roman" w:hAnsi="Times New Roman" w:cs="Times New Roman"/>
          <w:lang w:val="en-US"/>
        </w:rPr>
        <w:t>Véase</w:t>
      </w:r>
      <w:proofErr w:type="spellEnd"/>
      <w:r w:rsidRPr="00C83BB2">
        <w:rPr>
          <w:rFonts w:ascii="Times New Roman" w:hAnsi="Times New Roman" w:cs="Times New Roman"/>
          <w:lang w:val="en-US"/>
        </w:rPr>
        <w:t xml:space="preserve"> </w:t>
      </w:r>
      <w:r w:rsidRPr="00C83BB2">
        <w:rPr>
          <w:rFonts w:ascii="Times New Roman" w:hAnsi="Times New Roman" w:cs="Times New Roman"/>
        </w:rPr>
        <w:t xml:space="preserve">How Much Water has Nestlé Donated to the Flint Michigan Relief Efforts?, </w:t>
      </w:r>
      <w:r w:rsidRPr="00C83BB2">
        <w:rPr>
          <w:rFonts w:ascii="Times New Roman" w:hAnsi="Times New Roman" w:cs="Times New Roman"/>
        </w:rPr>
        <w:fldChar w:fldCharType="begin"/>
      </w:r>
      <w:r w:rsidRPr="00C83BB2">
        <w:rPr>
          <w:rFonts w:ascii="Times New Roman" w:hAnsi="Times New Roman" w:cs="Times New Roman"/>
        </w:rPr>
        <w:instrText>HYPERLINK "http://www.nestle-watersna.com/en/who-we-are/frequently-asked-questions/how-much-water-has-nestle-donated-to-the-flint-michigan-relief-efforts"</w:instrText>
      </w:r>
      <w:r w:rsidRPr="00C83BB2">
        <w:rPr>
          <w:rFonts w:ascii="Times New Roman" w:hAnsi="Times New Roman" w:cs="Times New Roman"/>
        </w:rPr>
      </w:r>
      <w:r w:rsidRPr="00C83BB2">
        <w:rPr>
          <w:rFonts w:ascii="Times New Roman" w:hAnsi="Times New Roman" w:cs="Times New Roman"/>
        </w:rPr>
        <w:fldChar w:fldCharType="separate"/>
      </w:r>
      <w:r w:rsidRPr="00C83BB2">
        <w:rPr>
          <w:rStyle w:val="Hyperlink"/>
          <w:rFonts w:ascii="Times New Roman" w:eastAsiaTheme="minorHAnsi" w:hAnsi="Times New Roman"/>
          <w:sz w:val="20"/>
          <w:szCs w:val="20"/>
        </w:rPr>
        <w:t>www.‌nestle-watersna.com/en/who-we-are/frequently-asked-questions/how-much-water-has-nestle-donated-to-the-flint-michigan-relief-efforts</w:t>
      </w:r>
      <w:r w:rsidRPr="00C83BB2">
        <w:rPr>
          <w:rFonts w:ascii="Times New Roman" w:hAnsi="Times New Roman" w:cs="Times New Roman"/>
        </w:rPr>
        <w:fldChar w:fldCharType="end"/>
      </w:r>
      <w:r w:rsidRPr="00C83BB2">
        <w:rPr>
          <w:rFonts w:ascii="Times New Roman" w:hAnsi="Times New Roman" w:cs="Times New Roman"/>
        </w:rPr>
        <w:t>.</w:t>
      </w:r>
    </w:p>
  </w:footnote>
  <w:footnote w:id="204">
    <w:p w14:paraId="3250C5F9" w14:textId="431D14B8" w:rsidR="002156F2" w:rsidRPr="00C83BB2" w:rsidRDefault="002156F2">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hyperlink r:id="rId60" w:history="1">
        <w:r w:rsidRPr="00C83BB2">
          <w:rPr>
            <w:rStyle w:val="Hyperlink"/>
            <w:rFonts w:ascii="Times New Roman" w:eastAsiaTheme="minorHAnsi" w:hAnsi="Times New Roman"/>
            <w:sz w:val="20"/>
            <w:szCs w:val="20"/>
          </w:rPr>
          <w:t>www.huffingtonpost.com/entry/how-to-help-flint-water-crisis_us_569e8e78e4b0cd99679‌b9541</w:t>
        </w:r>
      </w:hyperlink>
      <w:r w:rsidRPr="00C83BB2">
        <w:rPr>
          <w:rFonts w:ascii="Times New Roman" w:hAnsi="Times New Roman" w:cs="Times New Roman"/>
        </w:rPr>
        <w:t>.</w:t>
      </w:r>
    </w:p>
  </w:footnote>
  <w:footnote w:id="205">
    <w:p w14:paraId="777EF82C" w14:textId="7BE402D7" w:rsidR="00725E81" w:rsidRPr="00C83BB2" w:rsidRDefault="00725E81">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proofErr w:type="spellStart"/>
      <w:r w:rsidRPr="00C83BB2">
        <w:rPr>
          <w:rFonts w:ascii="Times New Roman" w:hAnsi="Times New Roman" w:cs="Times New Roman"/>
          <w:lang w:val="en-US"/>
        </w:rPr>
        <w:t>Véase</w:t>
      </w:r>
      <w:proofErr w:type="spellEnd"/>
      <w:r w:rsidRPr="00C83BB2">
        <w:rPr>
          <w:rFonts w:ascii="Times New Roman" w:hAnsi="Times New Roman" w:cs="Times New Roman"/>
          <w:lang w:val="en-US"/>
        </w:rPr>
        <w:t xml:space="preserve"> </w:t>
      </w:r>
      <w:r w:rsidRPr="00C83BB2">
        <w:rPr>
          <w:rFonts w:ascii="Times New Roman" w:hAnsi="Times New Roman" w:cs="Times New Roman"/>
        </w:rPr>
        <w:t xml:space="preserve">Eleanor Cummins, Michigan is Practically Giving Away Clean Water—But Not To Flint (Apr. 13, 2018), </w:t>
      </w:r>
      <w:r w:rsidRPr="00C83BB2">
        <w:rPr>
          <w:rFonts w:ascii="Times New Roman" w:hAnsi="Times New Roman" w:cs="Times New Roman"/>
        </w:rPr>
        <w:fldChar w:fldCharType="begin"/>
      </w:r>
      <w:r w:rsidRPr="00C83BB2">
        <w:rPr>
          <w:rFonts w:ascii="Times New Roman" w:hAnsi="Times New Roman" w:cs="Times New Roman"/>
        </w:rPr>
        <w:instrText>HYPERLINK "http://www.popsci.com/flint-michigan-nestle-bottled-water"</w:instrText>
      </w:r>
      <w:r w:rsidRPr="00C83BB2">
        <w:rPr>
          <w:rFonts w:ascii="Times New Roman" w:hAnsi="Times New Roman" w:cs="Times New Roman"/>
        </w:rPr>
      </w:r>
      <w:r w:rsidRPr="00C83BB2">
        <w:rPr>
          <w:rFonts w:ascii="Times New Roman" w:hAnsi="Times New Roman" w:cs="Times New Roman"/>
        </w:rPr>
        <w:fldChar w:fldCharType="separate"/>
      </w:r>
      <w:r w:rsidRPr="00C83BB2">
        <w:rPr>
          <w:rStyle w:val="Hyperlink"/>
          <w:rFonts w:ascii="Times New Roman" w:eastAsiaTheme="minorHAnsi" w:hAnsi="Times New Roman"/>
          <w:sz w:val="20"/>
          <w:szCs w:val="20"/>
        </w:rPr>
        <w:t>www.popsci.com/flint-michigan-nestle-bottled-water</w:t>
      </w:r>
      <w:r w:rsidRPr="00C83BB2">
        <w:rPr>
          <w:rFonts w:ascii="Times New Roman" w:hAnsi="Times New Roman" w:cs="Times New Roman"/>
        </w:rPr>
        <w:fldChar w:fldCharType="end"/>
      </w:r>
      <w:r w:rsidRPr="00C83BB2">
        <w:rPr>
          <w:rFonts w:ascii="Times New Roman" w:hAnsi="Times New Roman" w:cs="Times New Roman"/>
        </w:rPr>
        <w:t xml:space="preserve"> (discussing the privatization of the public resource of clean water).</w:t>
      </w:r>
    </w:p>
  </w:footnote>
  <w:footnote w:id="206">
    <w:p w14:paraId="1DE4F0AA" w14:textId="7C4277EF" w:rsidR="009F73EF" w:rsidRPr="00C83BB2" w:rsidRDefault="009F73EF">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Caroline Winter, Nestlé Makes Billions Bottling Water It Pays Nearly Nothing For, Bloomberg Businessweek (Sept. 21, 2017), </w:t>
      </w:r>
      <w:r w:rsidRPr="00C83BB2">
        <w:rPr>
          <w:rFonts w:ascii="Times New Roman" w:hAnsi="Times New Roman" w:cs="Times New Roman"/>
        </w:rPr>
        <w:fldChar w:fldCharType="begin"/>
      </w:r>
      <w:r w:rsidRPr="00C83BB2">
        <w:rPr>
          <w:rFonts w:ascii="Times New Roman" w:hAnsi="Times New Roman" w:cs="Times New Roman"/>
        </w:rPr>
        <w:instrText>HYPERLINK "http://www.bloomberg.com/news/features/2017-09-21/nestl-makes-billions-bottling-water-it-pays-nearly-nothing-for"</w:instrText>
      </w:r>
      <w:r w:rsidRPr="00C83BB2">
        <w:rPr>
          <w:rFonts w:ascii="Times New Roman" w:hAnsi="Times New Roman" w:cs="Times New Roman"/>
        </w:rPr>
      </w:r>
      <w:r w:rsidRPr="00C83BB2">
        <w:rPr>
          <w:rFonts w:ascii="Times New Roman" w:hAnsi="Times New Roman" w:cs="Times New Roman"/>
        </w:rPr>
        <w:fldChar w:fldCharType="separate"/>
      </w:r>
      <w:r w:rsidRPr="00C83BB2">
        <w:rPr>
          <w:rStyle w:val="Hyperlink"/>
          <w:rFonts w:ascii="Times New Roman" w:eastAsiaTheme="minorHAnsi" w:hAnsi="Times New Roman"/>
          <w:sz w:val="20"/>
          <w:szCs w:val="20"/>
        </w:rPr>
        <w:t>www.bloomberg.com/news/features/2017-09-21/nestl-makes-billions-bottling-water-it-pays-nearly-nothing-for</w:t>
      </w:r>
      <w:r w:rsidRPr="00C83BB2">
        <w:rPr>
          <w:rFonts w:ascii="Times New Roman" w:hAnsi="Times New Roman" w:cs="Times New Roman"/>
        </w:rPr>
        <w:fldChar w:fldCharType="end"/>
      </w:r>
      <w:r w:rsidRPr="00C83BB2">
        <w:rPr>
          <w:rFonts w:ascii="Times New Roman" w:hAnsi="Times New Roman" w:cs="Times New Roman"/>
        </w:rPr>
        <w:t>.</w:t>
      </w:r>
    </w:p>
  </w:footnote>
  <w:footnote w:id="207">
    <w:p w14:paraId="20E3DB23" w14:textId="69E3E068" w:rsidR="006403A3" w:rsidRPr="00C83BB2" w:rsidRDefault="006403A3">
      <w:pPr>
        <w:pStyle w:val="FootnoteText"/>
        <w:rPr>
          <w:rFonts w:ascii="Times New Roman" w:hAnsi="Times New Roman" w:cs="Times New Roman"/>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Por ejemplo, el agua contaminada de Flint se vincula con un historial de intoxicación por plomo a través de otras vías de exposición —como la pintura con plomo en viviendas antiguas y en mal estado— que afecta de manera desproporcionada a los niños y a las comunidades en función de su clase económica y su color de piel. Véase Emily A. Benfer, «Contaminated Childhood: The Chronic Lead Poisoning of Low-Income Children and Communities of Color in the United States» (8 de agosto de 2017), www.healthaffairs.org/do/10.1377/‌hblog20170808.061398/full/.</w:t>
      </w:r>
    </w:p>
  </w:footnote>
  <w:footnote w:id="208">
    <w:p w14:paraId="5165FF9E" w14:textId="029CD954" w:rsidR="00141789" w:rsidRPr="00C83BB2" w:rsidRDefault="00141789">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The Flint Water Crisis: Systemic Racism Through the Lens of Flint, A Report of the Michigan Civil Rights Commission (Feb. 17, 2017), www.michigan.gov/documents/mdcr/VFlint‌CrisisRep-F-Edited3-13-17_554317_7.pdf.</w:t>
      </w:r>
    </w:p>
  </w:footnote>
  <w:footnote w:id="209">
    <w:p w14:paraId="7397C7B7" w14:textId="68796ABE" w:rsidR="004C4615" w:rsidRPr="00C83BB2" w:rsidRDefault="004C4615">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Mari J. Matsuda, Beside My Sister, Facing the Enemy: Legal Theory Out of Coalition, 43 Stan. L. Rev. 1183 (1991).</w:t>
      </w:r>
    </w:p>
  </w:footnote>
  <w:footnote w:id="210">
    <w:p w14:paraId="736591AA" w14:textId="3092E5EC" w:rsidR="000744A1" w:rsidRPr="00C83BB2" w:rsidRDefault="000744A1">
      <w:pPr>
        <w:pStyle w:val="FootnoteText"/>
        <w:rPr>
          <w:rFonts w:ascii="Times New Roman" w:hAnsi="Times New Roman" w:cs="Times New Roman"/>
          <w:i/>
          <w:iCs/>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i/>
          <w:iCs/>
          <w:lang w:val="en-US"/>
        </w:rPr>
        <w:t xml:space="preserve">Id. </w:t>
      </w:r>
    </w:p>
  </w:footnote>
  <w:footnote w:id="211">
    <w:p w14:paraId="6120646F" w14:textId="2A624B69" w:rsidR="00036432" w:rsidRPr="00C83BB2" w:rsidRDefault="00036432">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Style w:val="Hyperlink"/>
          <w:rFonts w:ascii="Times New Roman" w:eastAsiaTheme="minorEastAsia" w:hAnsi="Times New Roman"/>
          <w:sz w:val="20"/>
          <w:szCs w:val="20"/>
        </w:rPr>
        <w:t>Margaret E. Montoya, Mascaras, Trenzas, y Grenas: Un/Masking the Self While Un/Braiding Latina Stories and Legal Discourse, 17 Harv. Women’s L.J. 185 (1994) and 15 Chicano-Latino L. Rev. 1 (1994).</w:t>
      </w:r>
    </w:p>
  </w:footnote>
  <w:footnote w:id="212">
    <w:p w14:paraId="1F5AB2C6" w14:textId="5DBF6C56" w:rsidR="00BA6866" w:rsidRPr="00C83BB2" w:rsidRDefault="00BA6866">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Dawn Watkins and Laura Guihen, Using Narrative and Metaphor in Formative Feedback: Exploring Students’ Responses, 68 J. Legal Ed. 154, 156 (2018).</w:t>
      </w:r>
    </w:p>
  </w:footnote>
  <w:footnote w:id="213">
    <w:p w14:paraId="08351450" w14:textId="73D8EBD0" w:rsidR="00A26A14" w:rsidRPr="00C83BB2" w:rsidRDefault="00A26A14">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hyperlink r:id="rId61" w:tooltip="https://www.westlaw.com/Document/Ib40a32614b2211dba16d88fb847e95e5/View/FullText.html?transitionType=Default&amp;contextData=(sc.Default)&amp;VR=3.0&amp;RS=da3.0&amp;fragmentIdentifier=co_pp_sp_1277_1802" w:history="1">
        <w:r w:rsidRPr="00C83BB2">
          <w:rPr>
            <w:rStyle w:val="Hyperlink"/>
            <w:rFonts w:ascii="Times New Roman" w:eastAsiaTheme="minorHAnsi" w:hAnsi="Times New Roman"/>
            <w:sz w:val="20"/>
            <w:szCs w:val="20"/>
          </w:rPr>
          <w:t xml:space="preserve">Cornel West, </w:t>
        </w:r>
        <w:bookmarkStart w:id="45" w:name="dabmci_7c9bd999e8af41e18c95f7417a23330b"/>
        <w:r w:rsidRPr="00C83BB2">
          <w:rPr>
            <w:rStyle w:val="Hyperlink"/>
            <w:rFonts w:ascii="Times New Roman" w:eastAsiaTheme="minorHAnsi" w:hAnsi="Times New Roman"/>
            <w:sz w:val="20"/>
            <w:szCs w:val="20"/>
          </w:rPr>
          <w:t>The Role of Law in Progressive Politics, 43 Vand. L. Rev. 1797, 1802 (1990)</w:t>
        </w:r>
        <w:bookmarkEnd w:id="45"/>
      </w:hyperlink>
      <w:r w:rsidRPr="00C83BB2">
        <w:rPr>
          <w:rFonts w:ascii="Times New Roman" w:hAnsi="Times New Roman" w:cs="Times New Roman"/>
        </w:rPr>
        <w:t>.</w:t>
      </w:r>
    </w:p>
  </w:footnote>
  <w:footnote w:id="214">
    <w:p w14:paraId="4B4B0E0F" w14:textId="003AAC6C" w:rsidR="00A02B51" w:rsidRPr="00C83BB2" w:rsidRDefault="00A02B51">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00616418" w:rsidRPr="00C83BB2">
        <w:rPr>
          <w:rFonts w:ascii="Times New Roman" w:hAnsi="Times New Roman" w:cs="Times New Roman"/>
        </w:rPr>
        <w:t>Susan K. Serrano, Dual Consciousness About Law and Justice: Puerto Ricans’ Battle for U.S. Citizenship in Hawai‘i, 29 Centro J. 164 (2017),</w:t>
      </w:r>
    </w:p>
  </w:footnote>
  <w:footnote w:id="215">
    <w:p w14:paraId="1C6CDA9D" w14:textId="0A32BD9C" w:rsidR="00747F74" w:rsidRPr="00C83BB2" w:rsidRDefault="00747F74">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Bill Ong Hing, Coolies,  James Yen, and Rebellious </w:t>
      </w:r>
      <w:r w:rsidRPr="00C83BB2">
        <w:rPr>
          <w:rFonts w:ascii="Times New Roman" w:hAnsi="Times New Roman" w:cs="Times New Roman"/>
        </w:rPr>
        <w:t xml:space="preserve">Advocacy, </w:t>
      </w:r>
      <w:r w:rsidRPr="00C83BB2">
        <w:rPr>
          <w:rFonts w:ascii="Times New Roman" w:hAnsi="Times New Roman" w:cs="Times New Roman"/>
        </w:rPr>
        <w:fldChar w:fldCharType="begin"/>
      </w:r>
      <w:r w:rsidRPr="00C83BB2">
        <w:rPr>
          <w:rFonts w:ascii="Times New Roman" w:hAnsi="Times New Roman" w:cs="Times New Roman"/>
        </w:rPr>
        <w:instrText>HYPERLINK "https://www.westlaw.com/Document/Ia5ecf9f9c53211dc814a8c7818c06073/View/FullText.html?transitionType=Default&amp;contextData=(sc.Default)&amp;VR=3.0&amp;RS=da3.0"</w:instrText>
      </w:r>
      <w:r w:rsidRPr="00C83BB2">
        <w:rPr>
          <w:rFonts w:ascii="Times New Roman" w:hAnsi="Times New Roman" w:cs="Times New Roman"/>
        </w:rPr>
      </w:r>
      <w:r w:rsidRPr="00C83BB2">
        <w:rPr>
          <w:rFonts w:ascii="Times New Roman" w:hAnsi="Times New Roman" w:cs="Times New Roman"/>
        </w:rPr>
        <w:fldChar w:fldCharType="separate"/>
      </w:r>
      <w:r w:rsidRPr="00C83BB2">
        <w:rPr>
          <w:rStyle w:val="Hyperlink"/>
          <w:rFonts w:ascii="Times New Roman" w:eastAsiaTheme="minorEastAsia" w:hAnsi="Times New Roman"/>
          <w:sz w:val="20"/>
          <w:szCs w:val="20"/>
        </w:rPr>
        <w:t>14 Asian Am. L.J. 1 (2007)</w:t>
      </w:r>
      <w:r w:rsidRPr="00C83BB2">
        <w:rPr>
          <w:rFonts w:ascii="Times New Roman" w:hAnsi="Times New Roman" w:cs="Times New Roman"/>
        </w:rPr>
        <w:fldChar w:fldCharType="end"/>
      </w:r>
      <w:r w:rsidRPr="00C83BB2">
        <w:rPr>
          <w:rFonts w:ascii="Times New Roman" w:hAnsi="Times New Roman" w:cs="Times New Roman"/>
        </w:rPr>
        <w:t>.</w:t>
      </w:r>
    </w:p>
  </w:footnote>
  <w:footnote w:id="216">
    <w:p w14:paraId="3334F254" w14:textId="6107D2A0" w:rsidR="00B32566" w:rsidRPr="00C83BB2" w:rsidRDefault="00B32566">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eastAsia="Times New Roman" w:hAnsi="Times New Roman" w:cs="Times New Roman"/>
          <w:kern w:val="0"/>
          <w14:ligatures w14:val="none"/>
        </w:rPr>
        <w:t xml:space="preserve">Sarah London, </w:t>
      </w:r>
      <w:r w:rsidRPr="00C83BB2">
        <w:rPr>
          <w:rFonts w:ascii="Times New Roman" w:eastAsia="Times New Roman" w:hAnsi="Times New Roman" w:cs="Times New Roman"/>
          <w:i/>
          <w:iCs/>
          <w:kern w:val="0"/>
          <w14:ligatures w14:val="none"/>
        </w:rPr>
        <w:t>Reproductive Justice: Developing a Lawyering Model</w:t>
      </w:r>
      <w:r w:rsidRPr="00C83BB2">
        <w:rPr>
          <w:rFonts w:ascii="Times New Roman" w:eastAsia="Times New Roman" w:hAnsi="Times New Roman" w:cs="Times New Roman"/>
          <w:kern w:val="0"/>
          <w14:ligatures w14:val="none"/>
        </w:rPr>
        <w:t>, 13 Berkeley J. Afr.-Am. L. &amp; Pol’y 71, 71 (2011).</w:t>
      </w:r>
    </w:p>
  </w:footnote>
  <w:footnote w:id="217">
    <w:p w14:paraId="1F5DDADD" w14:textId="02777EE6" w:rsidR="00B32566" w:rsidRPr="00C83BB2" w:rsidRDefault="00B32566">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eastAsia="Times New Roman" w:hAnsi="Times New Roman" w:cs="Times New Roman"/>
          <w:kern w:val="0"/>
          <w14:ligatures w14:val="none"/>
        </w:rPr>
        <w:t xml:space="preserve">Loretta Ross, SisterSong Women of Color Reproductive Health Collective, </w:t>
      </w:r>
      <w:r w:rsidRPr="00C83BB2">
        <w:rPr>
          <w:rFonts w:ascii="Times New Roman" w:eastAsia="Times New Roman" w:hAnsi="Times New Roman" w:cs="Times New Roman"/>
          <w:i/>
          <w:iCs/>
          <w:kern w:val="0"/>
          <w14:ligatures w14:val="none"/>
        </w:rPr>
        <w:t>What is Reproductive Justice</w:t>
      </w:r>
      <w:r w:rsidRPr="00C83BB2">
        <w:rPr>
          <w:rFonts w:ascii="Times New Roman" w:eastAsia="Times New Roman" w:hAnsi="Times New Roman" w:cs="Times New Roman"/>
          <w:kern w:val="0"/>
          <w14:ligatures w14:val="none"/>
        </w:rPr>
        <w:t xml:space="preserve">, en </w:t>
      </w:r>
      <w:r w:rsidRPr="00C83BB2">
        <w:rPr>
          <w:rFonts w:ascii="Times New Roman" w:eastAsia="Times New Roman" w:hAnsi="Times New Roman" w:cs="Times New Roman"/>
          <w:i/>
          <w:iCs/>
          <w:kern w:val="0"/>
          <w14:ligatures w14:val="none"/>
        </w:rPr>
        <w:t>Berkeley Law Reproductive Justice Briefing Book: A Primer on Reproductive Justice and Social Change</w:t>
      </w:r>
      <w:r w:rsidRPr="00C83BB2">
        <w:rPr>
          <w:rFonts w:ascii="Times New Roman" w:eastAsia="Times New Roman" w:hAnsi="Times New Roman" w:cs="Times New Roman"/>
          <w:kern w:val="0"/>
          <w14:ligatures w14:val="none"/>
        </w:rPr>
        <w:t xml:space="preserve"> (atribuyendo la definición a Asian Communities for Reproductive Organization).</w:t>
      </w:r>
    </w:p>
  </w:footnote>
  <w:footnote w:id="218">
    <w:p w14:paraId="17CEC25B" w14:textId="19A90E09" w:rsidR="00B32566" w:rsidRPr="00C83BB2" w:rsidRDefault="00B32566">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eastAsia="Times New Roman" w:hAnsi="Times New Roman" w:cs="Times New Roman"/>
          <w:kern w:val="0"/>
          <w14:ligatures w14:val="none"/>
        </w:rPr>
        <w:t xml:space="preserve">London, </w:t>
      </w:r>
      <w:r w:rsidRPr="00C83BB2">
        <w:rPr>
          <w:rFonts w:ascii="Times New Roman" w:eastAsia="Times New Roman" w:hAnsi="Times New Roman" w:cs="Times New Roman"/>
          <w:i/>
          <w:iCs/>
          <w:kern w:val="0"/>
          <w14:ligatures w14:val="none"/>
        </w:rPr>
        <w:t>Reproductive Justice</w:t>
      </w:r>
      <w:r w:rsidRPr="00C83BB2">
        <w:rPr>
          <w:rFonts w:ascii="Times New Roman" w:eastAsia="Times New Roman" w:hAnsi="Times New Roman" w:cs="Times New Roman"/>
          <w:kern w:val="0"/>
          <w14:ligatures w14:val="none"/>
        </w:rPr>
        <w:t>, págs. 72–73.</w:t>
      </w:r>
    </w:p>
  </w:footnote>
  <w:footnote w:id="219">
    <w:p w14:paraId="7CD4714F" w14:textId="2EBC4D05" w:rsidR="00690BAF" w:rsidRPr="00C83BB2" w:rsidRDefault="00690BAF">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eastAsia="Times New Roman" w:hAnsi="Times New Roman" w:cs="Times New Roman"/>
          <w:kern w:val="0"/>
          <w14:ligatures w14:val="none"/>
        </w:rPr>
        <w:t xml:space="preserve">John O. Calmore, </w:t>
      </w:r>
      <w:r w:rsidRPr="00C83BB2">
        <w:rPr>
          <w:rFonts w:ascii="Times New Roman" w:eastAsia="Times New Roman" w:hAnsi="Times New Roman" w:cs="Times New Roman"/>
          <w:i/>
          <w:iCs/>
          <w:kern w:val="0"/>
          <w14:ligatures w14:val="none"/>
        </w:rPr>
        <w:t>A Call to Context: The Professional Challenges of Cause Lawyering at the Intersection of Race, Space, and Poverty</w:t>
      </w:r>
      <w:r w:rsidRPr="00C83BB2">
        <w:rPr>
          <w:rFonts w:ascii="Times New Roman" w:eastAsia="Times New Roman" w:hAnsi="Times New Roman" w:cs="Times New Roman"/>
          <w:kern w:val="0"/>
          <w14:ligatures w14:val="none"/>
        </w:rPr>
        <w:t>, 67 Fordham L. Rev. 1927, 1937 (1999).</w:t>
      </w:r>
    </w:p>
  </w:footnote>
  <w:footnote w:id="220">
    <w:p w14:paraId="5B97F214" w14:textId="5E44BB01" w:rsidR="00690BAF" w:rsidRPr="00C83BB2" w:rsidRDefault="00690BAF">
      <w:pPr>
        <w:pStyle w:val="FootnoteText"/>
        <w:rPr>
          <w:rFonts w:ascii="Times New Roman" w:hAnsi="Times New Roman" w:cs="Times New Roman"/>
          <w:i/>
          <w:iCs/>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i/>
          <w:iCs/>
          <w:lang w:val="en-US"/>
        </w:rPr>
        <w:t>Id.</w:t>
      </w:r>
    </w:p>
  </w:footnote>
  <w:footnote w:id="221">
    <w:p w14:paraId="7690D886" w14:textId="4EB8AC5F" w:rsidR="002F02D7" w:rsidRPr="00C83BB2" w:rsidRDefault="002F02D7">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eastAsia="Times New Roman" w:hAnsi="Times New Roman" w:cs="Times New Roman"/>
          <w:kern w:val="0"/>
          <w14:ligatures w14:val="none"/>
        </w:rPr>
        <w:t>Global Gender Based Violence in the Walmart Garment Supply Chain, Workers Voices from the Global Supply Chain: A Report to the ILO 2018, Asia Floor Wage Alliance, CENTRAL Cambodia, &amp; Global Labor Justice (mayo de 2018).</w:t>
      </w:r>
    </w:p>
  </w:footnote>
  <w:footnote w:id="222">
    <w:p w14:paraId="7F8BB9D5" w14:textId="3C429C5B" w:rsidR="002F02D7" w:rsidRPr="00C83BB2" w:rsidRDefault="002F02D7">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eastAsia="Times New Roman" w:hAnsi="Times New Roman" w:cs="Times New Roman"/>
          <w:kern w:val="0"/>
          <w:lang w:val="en-US"/>
          <w14:ligatures w14:val="none"/>
        </w:rPr>
        <w:t xml:space="preserve">Lucie E. White, </w:t>
      </w:r>
      <w:r w:rsidRPr="00C83BB2">
        <w:rPr>
          <w:rFonts w:ascii="Times New Roman" w:eastAsia="Times New Roman" w:hAnsi="Times New Roman" w:cs="Times New Roman"/>
          <w:i/>
          <w:iCs/>
          <w:kern w:val="0"/>
          <w:lang w:val="en-US"/>
          <w14:ligatures w14:val="none"/>
        </w:rPr>
        <w:t>To Learn and Teach: Lessons From Driefontein on Lawyering and Power</w:t>
      </w:r>
      <w:r w:rsidRPr="00C83BB2">
        <w:rPr>
          <w:rFonts w:ascii="Times New Roman" w:eastAsia="Times New Roman" w:hAnsi="Times New Roman" w:cs="Times New Roman"/>
          <w:kern w:val="0"/>
          <w:lang w:val="en-US"/>
          <w14:ligatures w14:val="none"/>
        </w:rPr>
        <w:t>, 1988 Wis. L. Rev. 699 (1988).</w:t>
      </w:r>
    </w:p>
  </w:footnote>
  <w:footnote w:id="223">
    <w:p w14:paraId="56F5C99B" w14:textId="08E3D63A" w:rsidR="00CE31D9" w:rsidRPr="00C83BB2" w:rsidRDefault="00CE31D9">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eastAsia="Times New Roman" w:hAnsi="Times New Roman" w:cs="Times New Roman"/>
          <w:i/>
          <w:iCs/>
          <w:kern w:val="0"/>
          <w14:ligatures w14:val="none"/>
        </w:rPr>
        <w:t>Id.</w:t>
      </w:r>
    </w:p>
  </w:footnote>
  <w:footnote w:id="224">
    <w:p w14:paraId="210D9CB1" w14:textId="4ADE3BCA" w:rsidR="00912FA9" w:rsidRPr="00C83BB2" w:rsidRDefault="00912FA9" w:rsidP="00912FA9">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eastAsia="Times New Roman" w:hAnsi="Times New Roman" w:cs="Times New Roman"/>
          <w:kern w:val="0"/>
          <w14:ligatures w14:val="none"/>
        </w:rPr>
        <w:t xml:space="preserve">Peter S. Goodman, </w:t>
      </w:r>
      <w:r w:rsidRPr="00C83BB2">
        <w:rPr>
          <w:rFonts w:ascii="Times New Roman" w:eastAsia="Times New Roman" w:hAnsi="Times New Roman" w:cs="Times New Roman"/>
          <w:i/>
          <w:iCs/>
          <w:kern w:val="0"/>
          <w14:ligatures w14:val="none"/>
        </w:rPr>
        <w:t>End of Apartheid in South Africa? Not in Economic Terms</w:t>
      </w:r>
      <w:r w:rsidRPr="00C83BB2">
        <w:rPr>
          <w:rFonts w:ascii="Times New Roman" w:eastAsia="Times New Roman" w:hAnsi="Times New Roman" w:cs="Times New Roman"/>
          <w:kern w:val="0"/>
          <w14:ligatures w14:val="none"/>
        </w:rPr>
        <w:t>, N.Y. Times (24 de octubre de 2017).</w:t>
      </w:r>
    </w:p>
  </w:footnote>
  <w:footnote w:id="225">
    <w:p w14:paraId="56BF3FD1" w14:textId="2C8E8D21" w:rsidR="00912FA9" w:rsidRPr="00C83BB2" w:rsidRDefault="00912FA9" w:rsidP="00912FA9">
      <w:pPr>
        <w:spacing w:after="0" w:line="240" w:lineRule="auto"/>
        <w:rPr>
          <w:rFonts w:ascii="Times New Roman" w:eastAsia="Times New Roman" w:hAnsi="Times New Roman" w:cs="Times New Roman"/>
          <w:kern w:val="0"/>
          <w:sz w:val="20"/>
          <w:szCs w:val="20"/>
          <w:lang w:val="en-US"/>
          <w14:ligatures w14:val="none"/>
        </w:rPr>
      </w:pPr>
      <w:r w:rsidRPr="00C83BB2">
        <w:rPr>
          <w:rStyle w:val="FootnoteReference"/>
          <w:rFonts w:ascii="Times New Roman" w:hAnsi="Times New Roman" w:cs="Times New Roman"/>
          <w:sz w:val="20"/>
          <w:szCs w:val="20"/>
        </w:rPr>
        <w:footnoteRef/>
      </w:r>
      <w:r w:rsidRPr="00C83BB2">
        <w:rPr>
          <w:rFonts w:ascii="Times New Roman" w:hAnsi="Times New Roman" w:cs="Times New Roman"/>
          <w:sz w:val="20"/>
          <w:szCs w:val="20"/>
        </w:rPr>
        <w:t xml:space="preserve"> </w:t>
      </w:r>
      <w:r w:rsidRPr="00C83BB2">
        <w:rPr>
          <w:rFonts w:ascii="Times New Roman" w:eastAsia="Times New Roman" w:hAnsi="Times New Roman" w:cs="Times New Roman"/>
          <w:kern w:val="0"/>
          <w:sz w:val="20"/>
          <w:szCs w:val="20"/>
          <w:lang w:val="en-US"/>
          <w14:ligatures w14:val="none"/>
        </w:rPr>
        <w:t xml:space="preserve">Sara M. Allinder y Janet Fleischman, </w:t>
      </w:r>
      <w:r w:rsidRPr="00C83BB2">
        <w:rPr>
          <w:rFonts w:ascii="Times New Roman" w:eastAsia="Times New Roman" w:hAnsi="Times New Roman" w:cs="Times New Roman"/>
          <w:i/>
          <w:iCs/>
          <w:kern w:val="0"/>
          <w:sz w:val="20"/>
          <w:szCs w:val="20"/>
          <w:lang w:val="en-US"/>
          <w14:ligatures w14:val="none"/>
        </w:rPr>
        <w:t>The World’s Largest HIV Epidemic in Crisis: HIV in South Africa</w:t>
      </w:r>
      <w:r w:rsidRPr="00C83BB2">
        <w:rPr>
          <w:rFonts w:ascii="Times New Roman" w:eastAsia="Times New Roman" w:hAnsi="Times New Roman" w:cs="Times New Roman"/>
          <w:kern w:val="0"/>
          <w:sz w:val="20"/>
          <w:szCs w:val="20"/>
          <w:lang w:val="en-US"/>
          <w14:ligatures w14:val="none"/>
        </w:rPr>
        <w:t xml:space="preserve">, Center for Strategic and International Studies: Commentary (2 de </w:t>
      </w:r>
      <w:proofErr w:type="spellStart"/>
      <w:r w:rsidRPr="00C83BB2">
        <w:rPr>
          <w:rFonts w:ascii="Times New Roman" w:eastAsia="Times New Roman" w:hAnsi="Times New Roman" w:cs="Times New Roman"/>
          <w:kern w:val="0"/>
          <w:sz w:val="20"/>
          <w:szCs w:val="20"/>
          <w:lang w:val="en-US"/>
          <w14:ligatures w14:val="none"/>
        </w:rPr>
        <w:t>abril</w:t>
      </w:r>
      <w:proofErr w:type="spellEnd"/>
      <w:r w:rsidRPr="00C83BB2">
        <w:rPr>
          <w:rFonts w:ascii="Times New Roman" w:eastAsia="Times New Roman" w:hAnsi="Times New Roman" w:cs="Times New Roman"/>
          <w:kern w:val="0"/>
          <w:sz w:val="20"/>
          <w:szCs w:val="20"/>
          <w:lang w:val="en-US"/>
          <w14:ligatures w14:val="none"/>
        </w:rPr>
        <w:t xml:space="preserve"> de 2019).</w:t>
      </w:r>
    </w:p>
  </w:footnote>
  <w:footnote w:id="226">
    <w:p w14:paraId="4A789DB4" w14:textId="02D2863B" w:rsidR="00912FA9" w:rsidRPr="00C83BB2" w:rsidRDefault="00912FA9">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eastAsia="Times New Roman" w:hAnsi="Times New Roman" w:cs="Times New Roman"/>
          <w:kern w:val="0"/>
          <w:lang w:val="en-US"/>
          <w14:ligatures w14:val="none"/>
        </w:rPr>
        <w:t xml:space="preserve">Victoria Scrubb, </w:t>
      </w:r>
      <w:r w:rsidRPr="00C83BB2">
        <w:rPr>
          <w:rFonts w:ascii="Times New Roman" w:eastAsia="Times New Roman" w:hAnsi="Times New Roman" w:cs="Times New Roman"/>
          <w:i/>
          <w:iCs/>
          <w:kern w:val="0"/>
          <w:lang w:val="en-US"/>
          <w14:ligatures w14:val="none"/>
        </w:rPr>
        <w:t>Political Systems and Health Inequity: Connecting the Apartheid Policies to the HIV/AIDS Epidemic in South Africa</w:t>
      </w:r>
      <w:r w:rsidRPr="00C83BB2">
        <w:rPr>
          <w:rFonts w:ascii="Times New Roman" w:eastAsia="Times New Roman" w:hAnsi="Times New Roman" w:cs="Times New Roman"/>
          <w:kern w:val="0"/>
          <w:lang w:val="en-US"/>
          <w14:ligatures w14:val="none"/>
        </w:rPr>
        <w:t xml:space="preserve">, J. of Global Health (1 de </w:t>
      </w:r>
      <w:proofErr w:type="spellStart"/>
      <w:r w:rsidRPr="00C83BB2">
        <w:rPr>
          <w:rFonts w:ascii="Times New Roman" w:eastAsia="Times New Roman" w:hAnsi="Times New Roman" w:cs="Times New Roman"/>
          <w:kern w:val="0"/>
          <w:lang w:val="en-US"/>
          <w14:ligatures w14:val="none"/>
        </w:rPr>
        <w:t>abril</w:t>
      </w:r>
      <w:proofErr w:type="spellEnd"/>
      <w:r w:rsidRPr="00C83BB2">
        <w:rPr>
          <w:rFonts w:ascii="Times New Roman" w:eastAsia="Times New Roman" w:hAnsi="Times New Roman" w:cs="Times New Roman"/>
          <w:kern w:val="0"/>
          <w:lang w:val="en-US"/>
          <w14:ligatures w14:val="none"/>
        </w:rPr>
        <w:t xml:space="preserve"> de 2011).</w:t>
      </w:r>
    </w:p>
  </w:footnote>
  <w:footnote w:id="227">
    <w:p w14:paraId="15B3A5C0" w14:textId="6D4EE825" w:rsidR="009511B4" w:rsidRPr="00C83BB2" w:rsidRDefault="009511B4">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eastAsia="Times New Roman" w:hAnsi="Times New Roman" w:cs="Times New Roman"/>
          <w:kern w:val="0"/>
          <w:lang w:val="en-US"/>
          <w14:ligatures w14:val="none"/>
        </w:rPr>
        <w:t xml:space="preserve">Treatment Action Campaign, </w:t>
      </w:r>
      <w:proofErr w:type="spellStart"/>
      <w:r w:rsidRPr="00C83BB2">
        <w:rPr>
          <w:rFonts w:ascii="Times New Roman" w:eastAsia="Times New Roman" w:hAnsi="Times New Roman" w:cs="Times New Roman"/>
          <w:i/>
          <w:iCs/>
          <w:kern w:val="0"/>
          <w:lang w:val="en-US"/>
          <w14:ligatures w14:val="none"/>
        </w:rPr>
        <w:t>Ritshidze</w:t>
      </w:r>
      <w:proofErr w:type="spellEnd"/>
      <w:r w:rsidRPr="00C83BB2">
        <w:rPr>
          <w:rFonts w:ascii="Times New Roman" w:eastAsia="Times New Roman" w:hAnsi="Times New Roman" w:cs="Times New Roman"/>
          <w:kern w:val="0"/>
          <w:lang w:val="en-US"/>
          <w14:ligatures w14:val="none"/>
        </w:rPr>
        <w:t>.</w:t>
      </w:r>
    </w:p>
  </w:footnote>
  <w:footnote w:id="228">
    <w:p w14:paraId="01775572" w14:textId="2F770C19" w:rsidR="00A91AA6" w:rsidRPr="00C83BB2" w:rsidRDefault="00A91AA6">
      <w:pPr>
        <w:pStyle w:val="FootnoteText"/>
        <w:rPr>
          <w:rFonts w:ascii="Times New Roman" w:hAnsi="Times New Roman" w:cs="Times New Roman"/>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Steve Jenkins, </w:t>
      </w:r>
      <w:r w:rsidRPr="00C83BB2">
        <w:rPr>
          <w:rFonts w:ascii="Times New Roman" w:hAnsi="Times New Roman" w:cs="Times New Roman"/>
          <w:i/>
          <w:iCs/>
        </w:rPr>
        <w:t>Organizing, Advocacy, and Member Power: A Critical Reflection</w:t>
      </w:r>
      <w:r w:rsidRPr="00C83BB2">
        <w:rPr>
          <w:rFonts w:ascii="Times New Roman" w:hAnsi="Times New Roman" w:cs="Times New Roman"/>
        </w:rPr>
        <w:t>, 6 WorkingUSA 56 (2002).</w:t>
      </w:r>
    </w:p>
  </w:footnote>
  <w:footnote w:id="229">
    <w:p w14:paraId="40EEB8D0" w14:textId="771957FB" w:rsidR="00AC1ADA" w:rsidRPr="00C83BB2" w:rsidRDefault="00AC1ADA">
      <w:pPr>
        <w:pStyle w:val="FootnoteText"/>
        <w:rPr>
          <w:rFonts w:ascii="Times New Roman" w:hAnsi="Times New Roman" w:cs="Times New Roman"/>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i/>
          <w:iCs/>
        </w:rPr>
        <w:t>Union Members—2018</w:t>
      </w:r>
      <w:r w:rsidRPr="00C83BB2">
        <w:rPr>
          <w:rFonts w:ascii="Times New Roman" w:hAnsi="Times New Roman" w:cs="Times New Roman"/>
        </w:rPr>
        <w:t>, Bureau of Labor Statistics (18 de enero de 2019).</w:t>
      </w:r>
    </w:p>
  </w:footnote>
  <w:footnote w:id="230">
    <w:p w14:paraId="60E9D6FA" w14:textId="714D1C9C" w:rsidR="00AC1ADA" w:rsidRPr="00C83BB2" w:rsidRDefault="00AC1ADA">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Lane Windham, </w:t>
      </w:r>
      <w:r w:rsidRPr="00C83BB2">
        <w:rPr>
          <w:rFonts w:ascii="Times New Roman" w:hAnsi="Times New Roman" w:cs="Times New Roman"/>
          <w:i/>
          <w:iCs/>
        </w:rPr>
        <w:t>Knocking on Labor’s Door: Union Organizing in the 1970s and the Roots of a New Economic Divide</w:t>
      </w:r>
      <w:r w:rsidRPr="00C83BB2">
        <w:rPr>
          <w:rFonts w:ascii="Times New Roman" w:hAnsi="Times New Roman" w:cs="Times New Roman"/>
        </w:rPr>
        <w:t>, 190–91 (2017).</w:t>
      </w:r>
    </w:p>
  </w:footnote>
  <w:footnote w:id="231">
    <w:p w14:paraId="0D50AF5C" w14:textId="77777777" w:rsidR="00AC1ADA" w:rsidRPr="00C83BB2" w:rsidRDefault="00AC1ADA" w:rsidP="00AC1ADA">
      <w:pPr>
        <w:pStyle w:val="FootnoteText"/>
        <w:rPr>
          <w:rFonts w:ascii="Times New Roman" w:hAnsi="Times New Roman" w:cs="Times New Roman"/>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Stephen Lerner, </w:t>
      </w:r>
      <w:r w:rsidRPr="00C83BB2">
        <w:rPr>
          <w:rFonts w:ascii="Times New Roman" w:hAnsi="Times New Roman" w:cs="Times New Roman"/>
          <w:i/>
          <w:iCs/>
        </w:rPr>
        <w:t>Breaking Laws to Change Laws</w:t>
      </w:r>
      <w:r w:rsidRPr="00C83BB2">
        <w:rPr>
          <w:rFonts w:ascii="Times New Roman" w:hAnsi="Times New Roman" w:cs="Times New Roman"/>
        </w:rPr>
        <w:t>, 25 New Labor Forum 17, 17–18 (2015).</w:t>
      </w:r>
    </w:p>
    <w:p w14:paraId="5E273FD6" w14:textId="6B64081A" w:rsidR="00AC1ADA" w:rsidRPr="00C83BB2" w:rsidRDefault="00AC1ADA">
      <w:pPr>
        <w:pStyle w:val="FootnoteText"/>
        <w:rPr>
          <w:rFonts w:ascii="Times New Roman" w:hAnsi="Times New Roman" w:cs="Times New Roman"/>
        </w:rPr>
      </w:pPr>
    </w:p>
  </w:footnote>
  <w:footnote w:id="232">
    <w:p w14:paraId="310A7D8A" w14:textId="1BC4B15F" w:rsidR="00065B81" w:rsidRPr="00C83BB2" w:rsidRDefault="00065B81">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Otro desafío de los movimientos ha sido enfrentar la discriminación por razón de género y el acoso sexual. Ana Avendaño, exasesora jurídica general adjunta de la AFL-CIO y actualmente directora de Minga Strategies, señaló que “muchas mujeres han intentado utilizar el proceso de negociación colectiva en industrias dominadas por hombres y han descubierto que, cuando intentaban presentar una reclamación por la conducta de otro integrante del sindicato, eran calificadas de traidoras, de traicionar al sindicato o la solidaridad”. Michael Cooper, </w:t>
      </w:r>
      <w:r w:rsidRPr="00C83BB2">
        <w:rPr>
          <w:rFonts w:ascii="Times New Roman" w:hAnsi="Times New Roman" w:cs="Times New Roman"/>
          <w:i/>
          <w:iCs/>
        </w:rPr>
        <w:t>Caught in the Middle of #MeToo: Unions that Represent Accusers and Accused</w:t>
      </w:r>
      <w:r w:rsidRPr="00C83BB2">
        <w:rPr>
          <w:rFonts w:ascii="Times New Roman" w:hAnsi="Times New Roman" w:cs="Times New Roman"/>
        </w:rPr>
        <w:t>, N.Y. Times (17 de mayo de 2019).</w:t>
      </w:r>
    </w:p>
  </w:footnote>
  <w:footnote w:id="233">
    <w:p w14:paraId="60BA8E57" w14:textId="4DEF6066" w:rsidR="00065B81" w:rsidRPr="00C83BB2" w:rsidRDefault="00065B81">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Bill Fletcher Jr., </w:t>
      </w:r>
      <w:r w:rsidRPr="00C83BB2">
        <w:rPr>
          <w:rFonts w:ascii="Times New Roman" w:hAnsi="Times New Roman" w:cs="Times New Roman"/>
          <w:i/>
          <w:iCs/>
        </w:rPr>
        <w:t>Race Is About More Than Discrimination: Racial Capitalism, the Settler State, and the Challenges Facing Organized Labor in the United States</w:t>
      </w:r>
      <w:r w:rsidRPr="00C83BB2">
        <w:rPr>
          <w:rFonts w:ascii="Times New Roman" w:hAnsi="Times New Roman" w:cs="Times New Roman"/>
        </w:rPr>
        <w:t>, Monthly Review (1 de julio de 2020).</w:t>
      </w:r>
    </w:p>
  </w:footnote>
  <w:footnote w:id="234">
    <w:p w14:paraId="58A643A8" w14:textId="1DACB31E" w:rsidR="00065B81" w:rsidRPr="00C83BB2" w:rsidRDefault="00065B81">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Jon D. Hanson y Kathleen Hanson, </w:t>
      </w:r>
      <w:r w:rsidRPr="00C83BB2">
        <w:rPr>
          <w:rFonts w:ascii="Times New Roman" w:hAnsi="Times New Roman" w:cs="Times New Roman"/>
          <w:i/>
          <w:iCs/>
        </w:rPr>
        <w:t>The Blame Frame: Justifying (Racial) Injustice</w:t>
      </w:r>
      <w:r w:rsidRPr="00C83BB2">
        <w:rPr>
          <w:rFonts w:ascii="Times New Roman" w:hAnsi="Times New Roman" w:cs="Times New Roman"/>
        </w:rPr>
        <w:t>, 41 Harv. C.R.-C.L. L. Rev. 413 (2006).</w:t>
      </w:r>
    </w:p>
  </w:footnote>
  <w:footnote w:id="235">
    <w:p w14:paraId="3023A2EA" w14:textId="4EF94F15" w:rsidR="00FC1779" w:rsidRPr="00C83BB2" w:rsidRDefault="00FC1779">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Robert S. Chang y Keith Aoki, </w:t>
      </w:r>
      <w:r w:rsidRPr="00C83BB2">
        <w:rPr>
          <w:rFonts w:ascii="Times New Roman" w:hAnsi="Times New Roman" w:cs="Times New Roman"/>
          <w:i/>
          <w:iCs/>
        </w:rPr>
        <w:t>Centering the Immigrant in the Inter/National Imagination</w:t>
      </w:r>
      <w:r w:rsidRPr="00C83BB2">
        <w:rPr>
          <w:rFonts w:ascii="Times New Roman" w:hAnsi="Times New Roman" w:cs="Times New Roman"/>
        </w:rPr>
        <w:t>, 85 Cal. L. Rev. 1395, 1446–47; 10 La Raza L.J. 309 (1997).</w:t>
      </w:r>
    </w:p>
  </w:footnote>
  <w:footnote w:id="236">
    <w:p w14:paraId="089AD1C0" w14:textId="31B1F2B6" w:rsidR="00FB6A3A" w:rsidRPr="00C83BB2" w:rsidRDefault="00FB6A3A">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Cheryl Bratt, </w:t>
      </w:r>
      <w:r w:rsidRPr="00C83BB2">
        <w:rPr>
          <w:rFonts w:ascii="Times New Roman" w:hAnsi="Times New Roman" w:cs="Times New Roman"/>
          <w:i/>
          <w:iCs/>
        </w:rPr>
        <w:t>Top-Down or from the Ground?: A Practical Perspective on Reforming the Field of Children and the Law</w:t>
      </w:r>
      <w:r w:rsidRPr="00C83BB2">
        <w:rPr>
          <w:rFonts w:ascii="Times New Roman" w:hAnsi="Times New Roman" w:cs="Times New Roman"/>
        </w:rPr>
        <w:t>, 127 Yale L.J. Forum 917 (2018).</w:t>
      </w:r>
    </w:p>
  </w:footnote>
  <w:footnote w:id="237">
    <w:p w14:paraId="1F7079ED" w14:textId="308CC9F8" w:rsidR="00600508" w:rsidRPr="00C83BB2" w:rsidRDefault="00600508">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Eric K. Yamamoto, </w:t>
      </w:r>
      <w:r w:rsidRPr="00C83BB2">
        <w:rPr>
          <w:rFonts w:ascii="Times New Roman" w:hAnsi="Times New Roman" w:cs="Times New Roman"/>
          <w:i/>
          <w:iCs/>
        </w:rPr>
        <w:t>Rethinking Alliances: Agency, Responsibility, and Interracial Justice</w:t>
      </w:r>
      <w:r w:rsidRPr="00C83BB2">
        <w:rPr>
          <w:rFonts w:ascii="Times New Roman" w:hAnsi="Times New Roman" w:cs="Times New Roman"/>
        </w:rPr>
        <w:t>, 3 Asian Pac. Am. L.J. 33 (1995).</w:t>
      </w:r>
    </w:p>
  </w:footnote>
  <w:footnote w:id="238">
    <w:p w14:paraId="4472F320" w14:textId="6983AAED" w:rsidR="00DA264E" w:rsidRPr="00C83BB2" w:rsidRDefault="00DA264E">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i/>
          <w:iCs/>
        </w:rPr>
        <w:t>Id.</w:t>
      </w:r>
      <w:r w:rsidRPr="00C83BB2">
        <w:rPr>
          <w:rFonts w:ascii="Times New Roman" w:hAnsi="Times New Roman" w:cs="Times New Roman"/>
        </w:rPr>
        <w:t xml:space="preserve"> en 73–74.</w:t>
      </w:r>
    </w:p>
  </w:footnote>
  <w:footnote w:id="239">
    <w:p w14:paraId="693E403D" w14:textId="51DC3AC4" w:rsidR="001213D6" w:rsidRPr="00C83BB2" w:rsidRDefault="001213D6">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eastAsia="Times New Roman" w:hAnsi="Times New Roman" w:cs="Times New Roman"/>
          <w:kern w:val="0"/>
          <w14:ligatures w14:val="none"/>
        </w:rPr>
        <w:t xml:space="preserve">Eric Yamamoto, </w:t>
      </w:r>
      <w:r w:rsidRPr="00C83BB2">
        <w:rPr>
          <w:rFonts w:ascii="Times New Roman" w:eastAsia="Times New Roman" w:hAnsi="Times New Roman" w:cs="Times New Roman"/>
          <w:i/>
          <w:iCs/>
          <w:kern w:val="0"/>
          <w14:ligatures w14:val="none"/>
        </w:rPr>
        <w:t>Critical Race Praxis: Race Theory and Political Lawyering Practice in Post-Civil Rights America</w:t>
      </w:r>
      <w:r w:rsidRPr="00C83BB2">
        <w:rPr>
          <w:rFonts w:ascii="Times New Roman" w:eastAsia="Times New Roman" w:hAnsi="Times New Roman" w:cs="Times New Roman"/>
          <w:kern w:val="0"/>
          <w14:ligatures w14:val="none"/>
        </w:rPr>
        <w:t>, 95 Mich. L. Rev. 821, 878 (1997).</w:t>
      </w:r>
    </w:p>
  </w:footnote>
  <w:footnote w:id="240">
    <w:p w14:paraId="02FBCA4A" w14:textId="52CDB1F9" w:rsidR="001213D6" w:rsidRPr="00C83BB2" w:rsidRDefault="001213D6">
      <w:pPr>
        <w:pStyle w:val="FootnoteText"/>
        <w:rPr>
          <w:rFonts w:ascii="Times New Roman" w:hAnsi="Times New Roman" w:cs="Times New Roman"/>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Jon R. Katzenbach y Douglas K. Smith, </w:t>
      </w:r>
      <w:r w:rsidRPr="00C83BB2">
        <w:rPr>
          <w:rFonts w:ascii="Times New Roman" w:hAnsi="Times New Roman" w:cs="Times New Roman"/>
          <w:i/>
          <w:iCs/>
        </w:rPr>
        <w:t>The Discipline of Teams</w:t>
      </w:r>
      <w:r w:rsidRPr="00C83BB2">
        <w:rPr>
          <w:rFonts w:ascii="Times New Roman" w:hAnsi="Times New Roman" w:cs="Times New Roman"/>
        </w:rPr>
        <w:t>, 71 Harvard Bus. Rev. 111, 112 (1993).</w:t>
      </w:r>
    </w:p>
  </w:footnote>
  <w:footnote w:id="241">
    <w:p w14:paraId="768B5EA9" w14:textId="2C2D579B" w:rsidR="001213D6" w:rsidRPr="00C83BB2" w:rsidRDefault="001213D6">
      <w:pPr>
        <w:pStyle w:val="FootnoteText"/>
        <w:rPr>
          <w:rFonts w:ascii="Times New Roman" w:hAnsi="Times New Roman" w:cs="Times New Roman"/>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Véase Beth Gilbertsen y Vijit Ramchandani, </w:t>
      </w:r>
      <w:r w:rsidRPr="00C83BB2">
        <w:rPr>
          <w:rFonts w:ascii="Times New Roman" w:hAnsi="Times New Roman" w:cs="Times New Roman"/>
          <w:i/>
          <w:iCs/>
        </w:rPr>
        <w:t>Developing Effective Teams: Proven Methods for Smoother and More Productive Teamwork</w:t>
      </w:r>
      <w:r w:rsidRPr="00C83BB2">
        <w:rPr>
          <w:rFonts w:ascii="Times New Roman" w:hAnsi="Times New Roman" w:cs="Times New Roman"/>
        </w:rPr>
        <w:t xml:space="preserve"> 1–2 (Wilder Foundation, sept. 2003).</w:t>
      </w:r>
    </w:p>
  </w:footnote>
  <w:footnote w:id="242">
    <w:p w14:paraId="325E6FB4" w14:textId="27A94963" w:rsidR="001213D6" w:rsidRPr="00C83BB2" w:rsidRDefault="001213D6">
      <w:pPr>
        <w:pStyle w:val="FootnoteText"/>
        <w:rPr>
          <w:rFonts w:ascii="Times New Roman" w:hAnsi="Times New Roman" w:cs="Times New Roman"/>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Janet Weinstein et al., </w:t>
      </w:r>
      <w:r w:rsidRPr="00C83BB2">
        <w:rPr>
          <w:rFonts w:ascii="Times New Roman" w:hAnsi="Times New Roman" w:cs="Times New Roman"/>
          <w:i/>
          <w:iCs/>
        </w:rPr>
        <w:t>Teaching Teamwork to Law Students</w:t>
      </w:r>
      <w:r w:rsidRPr="00C83BB2">
        <w:rPr>
          <w:rFonts w:ascii="Times New Roman" w:hAnsi="Times New Roman" w:cs="Times New Roman"/>
        </w:rPr>
        <w:t>, 63 J. Legal Educ. 36, 49 (2013).</w:t>
      </w:r>
    </w:p>
  </w:footnote>
  <w:footnote w:id="243">
    <w:p w14:paraId="596B16AB" w14:textId="6750CAA8" w:rsidR="001213D6" w:rsidRPr="00C83BB2" w:rsidRDefault="001213D6">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Roberta K. Thyfault y Kathryn Fehrman, </w:t>
      </w:r>
      <w:r w:rsidRPr="00C83BB2">
        <w:rPr>
          <w:rFonts w:ascii="Times New Roman" w:hAnsi="Times New Roman" w:cs="Times New Roman"/>
          <w:i/>
          <w:iCs/>
        </w:rPr>
        <w:t>Interactive Group Learning in the Legal Writing Classroom: An International Primer on Student Collaboration and Cooperation in Large Classrooms</w:t>
      </w:r>
      <w:r w:rsidRPr="00C83BB2">
        <w:rPr>
          <w:rFonts w:ascii="Times New Roman" w:hAnsi="Times New Roman" w:cs="Times New Roman"/>
        </w:rPr>
        <w:t>, 3 J. Marshall L.J. 135, 149 (2009).</w:t>
      </w:r>
    </w:p>
  </w:footnote>
  <w:footnote w:id="244">
    <w:p w14:paraId="6DEA6EDB" w14:textId="22C9045B" w:rsidR="001213D6" w:rsidRPr="00C83BB2" w:rsidRDefault="001213D6">
      <w:pPr>
        <w:pStyle w:val="FootnoteText"/>
        <w:rPr>
          <w:rFonts w:ascii="Times New Roman" w:hAnsi="Times New Roman" w:cs="Times New Roman"/>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David Luban, </w:t>
      </w:r>
      <w:r w:rsidRPr="00C83BB2">
        <w:rPr>
          <w:rFonts w:ascii="Times New Roman" w:hAnsi="Times New Roman" w:cs="Times New Roman"/>
          <w:i/>
          <w:iCs/>
        </w:rPr>
        <w:t>Lawyers and Justice: An Ethical Study</w:t>
      </w:r>
      <w:r w:rsidRPr="00C83BB2">
        <w:rPr>
          <w:rFonts w:ascii="Times New Roman" w:hAnsi="Times New Roman" w:cs="Times New Roman"/>
        </w:rPr>
        <w:t xml:space="preserve"> 319 (1988).</w:t>
      </w:r>
    </w:p>
  </w:footnote>
  <w:footnote w:id="245">
    <w:p w14:paraId="687422D6" w14:textId="39E85525" w:rsidR="001213D6" w:rsidRPr="00C83BB2" w:rsidRDefault="001213D6">
      <w:pPr>
        <w:pStyle w:val="FootnoteText"/>
        <w:rPr>
          <w:rFonts w:ascii="Times New Roman" w:hAnsi="Times New Roman" w:cs="Times New Roman"/>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Scott I. Cummings, </w:t>
      </w:r>
      <w:r w:rsidRPr="00C83BB2">
        <w:rPr>
          <w:rFonts w:ascii="Times New Roman" w:hAnsi="Times New Roman" w:cs="Times New Roman"/>
          <w:i/>
          <w:iCs/>
        </w:rPr>
        <w:t>How Lawyers Manage Intragroup Dissent</w:t>
      </w:r>
      <w:r w:rsidRPr="00C83BB2">
        <w:rPr>
          <w:rFonts w:ascii="Times New Roman" w:hAnsi="Times New Roman" w:cs="Times New Roman"/>
        </w:rPr>
        <w:t>, 89 Chi.-Kent L. Rev. 547, 567 (2014).</w:t>
      </w:r>
    </w:p>
  </w:footnote>
  <w:footnote w:id="246">
    <w:p w14:paraId="20890557" w14:textId="7C5A47DD" w:rsidR="009A1A63" w:rsidRPr="00C83BB2" w:rsidRDefault="009A1A63">
      <w:pPr>
        <w:pStyle w:val="FootnoteText"/>
        <w:rPr>
          <w:rFonts w:ascii="Times New Roman" w:hAnsi="Times New Roman" w:cs="Times New Roman"/>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Lawrence S. Krieger con Kennon M. Sheldon, </w:t>
      </w:r>
      <w:r w:rsidRPr="00C83BB2">
        <w:rPr>
          <w:rFonts w:ascii="Times New Roman" w:hAnsi="Times New Roman" w:cs="Times New Roman"/>
          <w:i/>
          <w:iCs/>
        </w:rPr>
        <w:t>What Makes Lawyers Happy?: A Data-Driven Prescription to Redefining Professional Success</w:t>
      </w:r>
      <w:r w:rsidRPr="00C83BB2">
        <w:rPr>
          <w:rFonts w:ascii="Times New Roman" w:hAnsi="Times New Roman" w:cs="Times New Roman"/>
        </w:rPr>
        <w:t>, 83 Geo. Wash. L. Rev. 554, 623–24 (2015).</w:t>
      </w:r>
    </w:p>
  </w:footnote>
  <w:footnote w:id="247">
    <w:p w14:paraId="7DD770CA" w14:textId="351711A9" w:rsidR="009A1A63" w:rsidRPr="00C83BB2" w:rsidRDefault="009A1A63">
      <w:pPr>
        <w:pStyle w:val="FootnoteText"/>
        <w:rPr>
          <w:rFonts w:ascii="Times New Roman" w:hAnsi="Times New Roman" w:cs="Times New Roman"/>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Janet Weinstein et al., </w:t>
      </w:r>
      <w:r w:rsidRPr="00C83BB2">
        <w:rPr>
          <w:rFonts w:ascii="Times New Roman" w:hAnsi="Times New Roman" w:cs="Times New Roman"/>
          <w:i/>
          <w:iCs/>
        </w:rPr>
        <w:t>Teaching Teamwork to Law Students</w:t>
      </w:r>
      <w:r w:rsidRPr="00C83BB2">
        <w:rPr>
          <w:rFonts w:ascii="Times New Roman" w:hAnsi="Times New Roman" w:cs="Times New Roman"/>
        </w:rPr>
        <w:t>, 63 J. Legal Educ. 36, 49 (2013).</w:t>
      </w:r>
    </w:p>
  </w:footnote>
  <w:footnote w:id="248">
    <w:p w14:paraId="2F43A452" w14:textId="3980C6D0" w:rsidR="009A1A63" w:rsidRPr="00C83BB2" w:rsidRDefault="009A1A63">
      <w:pPr>
        <w:pStyle w:val="FootnoteText"/>
        <w:rPr>
          <w:rFonts w:ascii="Times New Roman" w:hAnsi="Times New Roman" w:cs="Times New Roman"/>
          <w:i/>
          <w:iCs/>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i/>
          <w:iCs/>
          <w:lang w:val="en-US"/>
        </w:rPr>
        <w:t>Id.</w:t>
      </w:r>
    </w:p>
  </w:footnote>
  <w:footnote w:id="249">
    <w:p w14:paraId="66406F93" w14:textId="682AF5B2" w:rsidR="009A1A63" w:rsidRPr="00C83BB2" w:rsidRDefault="009A1A63">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Benjamin Hoffman y Marissa Vahlsing, </w:t>
      </w:r>
      <w:r w:rsidRPr="00C83BB2">
        <w:rPr>
          <w:rFonts w:ascii="Times New Roman" w:hAnsi="Times New Roman" w:cs="Times New Roman"/>
          <w:i/>
          <w:iCs/>
        </w:rPr>
        <w:t>Collaborative Lawyering in Transnational Human Rights Advocacy</w:t>
      </w:r>
      <w:r w:rsidRPr="00C83BB2">
        <w:rPr>
          <w:rFonts w:ascii="Times New Roman" w:hAnsi="Times New Roman" w:cs="Times New Roman"/>
        </w:rPr>
        <w:t>, 21 Clinical L. Rev. 255 (2014).</w:t>
      </w:r>
    </w:p>
  </w:footnote>
  <w:footnote w:id="250">
    <w:p w14:paraId="5DCA11A3" w14:textId="2BA57181" w:rsidR="00A50585" w:rsidRPr="00C83BB2" w:rsidRDefault="00A50585">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Jesse Newmark, </w:t>
      </w:r>
      <w:r w:rsidRPr="00C83BB2">
        <w:rPr>
          <w:rFonts w:ascii="Times New Roman" w:hAnsi="Times New Roman" w:cs="Times New Roman"/>
          <w:i/>
          <w:iCs/>
        </w:rPr>
        <w:t>Legal Aid Affairs: Collaborating with Local Governments on the Side</w:t>
      </w:r>
      <w:r w:rsidRPr="00C83BB2">
        <w:rPr>
          <w:rFonts w:ascii="Times New Roman" w:hAnsi="Times New Roman" w:cs="Times New Roman"/>
        </w:rPr>
        <w:t>, 21 B.U. Pub. Int. L.J. 195, 310–11 (2012).</w:t>
      </w:r>
    </w:p>
  </w:footnote>
  <w:footnote w:id="251">
    <w:p w14:paraId="4C4D75A1" w14:textId="54F33758" w:rsidR="00A50585" w:rsidRPr="00C83BB2" w:rsidRDefault="00A50585">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Julie A. Su, </w:t>
      </w:r>
      <w:r w:rsidRPr="00C83BB2">
        <w:rPr>
          <w:rFonts w:ascii="Times New Roman" w:hAnsi="Times New Roman" w:cs="Times New Roman"/>
          <w:i/>
          <w:iCs/>
        </w:rPr>
        <w:t>Making The Invisible Visible: The Garment Industry’s Dirty Laundry</w:t>
      </w:r>
      <w:r w:rsidRPr="00C83BB2">
        <w:rPr>
          <w:rFonts w:ascii="Times New Roman" w:hAnsi="Times New Roman" w:cs="Times New Roman"/>
        </w:rPr>
        <w:t>, 1 J. Gender, Race and Just. 405 (1998).</w:t>
      </w:r>
      <w:r w:rsidRPr="00C83BB2">
        <w:rPr>
          <w:rFonts w:ascii="Times New Roman" w:eastAsia="Times New Roman" w:hAnsi="Times New Roman" w:cs="Times New Roman"/>
          <w:kern w:val="0"/>
          <w14:ligatures w14:val="none"/>
        </w:rPr>
        <w:t xml:space="preserve"> Julie A. Su, </w:t>
      </w:r>
      <w:r w:rsidRPr="00C83BB2">
        <w:rPr>
          <w:rFonts w:ascii="Times New Roman" w:eastAsia="Times New Roman" w:hAnsi="Times New Roman" w:cs="Times New Roman"/>
          <w:i/>
          <w:iCs/>
          <w:kern w:val="0"/>
          <w14:ligatures w14:val="none"/>
        </w:rPr>
        <w:t>Making The Invisible Visible: The Garment Industry’s Dirty Laundry</w:t>
      </w:r>
      <w:r w:rsidRPr="00C83BB2">
        <w:rPr>
          <w:rFonts w:ascii="Times New Roman" w:eastAsia="Times New Roman" w:hAnsi="Times New Roman" w:cs="Times New Roman"/>
          <w:kern w:val="0"/>
          <w14:ligatures w14:val="none"/>
        </w:rPr>
        <w:t>, 1 J. Gender, Race and Just. 405 (1998).</w:t>
      </w:r>
    </w:p>
  </w:footnote>
  <w:footnote w:id="252">
    <w:p w14:paraId="6C04BD72" w14:textId="67497161" w:rsidR="0042458C" w:rsidRPr="00C83BB2" w:rsidRDefault="0042458C">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eastAsia="Times New Roman" w:hAnsi="Times New Roman" w:cs="Times New Roman"/>
          <w:kern w:val="0"/>
          <w14:ligatures w14:val="none"/>
        </w:rPr>
        <w:t xml:space="preserve">Penda D. Hair, </w:t>
      </w:r>
      <w:r w:rsidRPr="00C83BB2">
        <w:rPr>
          <w:rFonts w:ascii="Times New Roman" w:eastAsia="Times New Roman" w:hAnsi="Times New Roman" w:cs="Times New Roman"/>
          <w:i/>
          <w:iCs/>
          <w:kern w:val="0"/>
          <w14:ligatures w14:val="none"/>
        </w:rPr>
        <w:t>Louder than Words: Lawyers, Communities and the Struggle for Justice</w:t>
      </w:r>
      <w:r w:rsidRPr="00C83BB2">
        <w:rPr>
          <w:rFonts w:ascii="Times New Roman" w:eastAsia="Times New Roman" w:hAnsi="Times New Roman" w:cs="Times New Roman"/>
          <w:kern w:val="0"/>
          <w14:ligatures w14:val="none"/>
        </w:rPr>
        <w:t xml:space="preserve"> (2001).</w:t>
      </w:r>
    </w:p>
  </w:footnote>
  <w:footnote w:id="253">
    <w:p w14:paraId="76D8DF92" w14:textId="6A6549F4" w:rsidR="004C3478" w:rsidRPr="00C83BB2" w:rsidRDefault="004C3478">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Kaaryn Gustafson, </w:t>
      </w:r>
      <w:r w:rsidRPr="00C83BB2">
        <w:rPr>
          <w:rFonts w:ascii="Times New Roman" w:hAnsi="Times New Roman" w:cs="Times New Roman"/>
          <w:i/>
          <w:iCs/>
        </w:rPr>
        <w:t>More Work Needs to be Done to Prevent Exclusion of the Disabled</w:t>
      </w:r>
      <w:r w:rsidRPr="00C83BB2">
        <w:rPr>
          <w:rFonts w:ascii="Times New Roman" w:hAnsi="Times New Roman" w:cs="Times New Roman"/>
        </w:rPr>
        <w:t>, N.Y. Times (26 de julio de 2015).</w:t>
      </w:r>
    </w:p>
  </w:footnote>
  <w:footnote w:id="254">
    <w:p w14:paraId="0D87D740" w14:textId="1503C3C5" w:rsidR="004C3478" w:rsidRPr="00C83BB2" w:rsidRDefault="004C3478">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Simon Chess, Alison Kafer, Jessi Quizar y Mattie Udora Richardson, </w:t>
      </w:r>
      <w:r w:rsidRPr="00C83BB2">
        <w:rPr>
          <w:rFonts w:ascii="Times New Roman" w:hAnsi="Times New Roman" w:cs="Times New Roman"/>
          <w:i/>
          <w:iCs/>
        </w:rPr>
        <w:t>Calling All Restroom Revolutionaries</w:t>
      </w:r>
      <w:r w:rsidRPr="00C83BB2">
        <w:rPr>
          <w:rFonts w:ascii="Times New Roman" w:hAnsi="Times New Roman" w:cs="Times New Roman"/>
        </w:rPr>
        <w:t xml:space="preserve"> 217, en </w:t>
      </w:r>
      <w:r w:rsidRPr="00C83BB2">
        <w:rPr>
          <w:rFonts w:ascii="Times New Roman" w:hAnsi="Times New Roman" w:cs="Times New Roman"/>
          <w:i/>
          <w:iCs/>
        </w:rPr>
        <w:t>That’s Revolting!: Queer Strategies for Resisting Assimilation</w:t>
      </w:r>
      <w:r w:rsidRPr="00C83BB2">
        <w:rPr>
          <w:rFonts w:ascii="Times New Roman" w:hAnsi="Times New Roman" w:cs="Times New Roman"/>
        </w:rPr>
        <w:t xml:space="preserve"> (Mattilda Sycamore, ed., 2008).</w:t>
      </w:r>
    </w:p>
  </w:footnote>
  <w:footnote w:id="255">
    <w:p w14:paraId="3171ACF0" w14:textId="0E2DA22C" w:rsidR="004C3478" w:rsidRPr="00C83BB2" w:rsidRDefault="004C3478">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Julianne Hill, </w:t>
      </w:r>
      <w:r w:rsidRPr="00C83BB2">
        <w:rPr>
          <w:rFonts w:ascii="Times New Roman" w:hAnsi="Times New Roman" w:cs="Times New Roman"/>
          <w:i/>
          <w:iCs/>
        </w:rPr>
        <w:t>For More Good: Law Firms Find Other Ways to Provide Service to Society</w:t>
      </w:r>
      <w:r w:rsidRPr="00C83BB2">
        <w:rPr>
          <w:rFonts w:ascii="Times New Roman" w:hAnsi="Times New Roman" w:cs="Times New Roman"/>
        </w:rPr>
        <w:t>, ABA J. (feb. 2017) (comentarios de Mia Sussman, directora del programa de becas de Equal Justice Works).</w:t>
      </w:r>
    </w:p>
  </w:footnote>
  <w:footnote w:id="256">
    <w:p w14:paraId="478DC55F" w14:textId="5278F281" w:rsidR="004C3478" w:rsidRPr="00C83BB2" w:rsidRDefault="004C3478">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Susan Butler Plum, </w:t>
      </w:r>
      <w:r w:rsidRPr="00C83BB2">
        <w:rPr>
          <w:rFonts w:ascii="Times New Roman" w:hAnsi="Times New Roman" w:cs="Times New Roman"/>
          <w:i/>
          <w:iCs/>
        </w:rPr>
        <w:t>Skadden Fellows Share the Impact of the Program After 30 Years</w:t>
      </w:r>
      <w:r w:rsidRPr="00C83BB2">
        <w:rPr>
          <w:rFonts w:ascii="Times New Roman" w:hAnsi="Times New Roman" w:cs="Times New Roman"/>
        </w:rPr>
        <w:t xml:space="preserve"> (archivo de audio).</w:t>
      </w:r>
    </w:p>
  </w:footnote>
  <w:footnote w:id="257">
    <w:p w14:paraId="2DDC1C03" w14:textId="13F8A6A7" w:rsidR="006A14FD" w:rsidRPr="00C83BB2" w:rsidRDefault="006A14FD">
      <w:pPr>
        <w:pStyle w:val="FootnoteText"/>
        <w:rPr>
          <w:rFonts w:ascii="Times New Roman" w:hAnsi="Times New Roman" w:cs="Times New Roman"/>
          <w:i/>
          <w:iCs/>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i/>
          <w:iCs/>
          <w:lang w:val="en-US"/>
        </w:rPr>
        <w:t xml:space="preserve">Id. </w:t>
      </w:r>
    </w:p>
  </w:footnote>
  <w:footnote w:id="258">
    <w:p w14:paraId="635AA9DD" w14:textId="40FFDFE2" w:rsidR="003B3129" w:rsidRPr="00C83BB2" w:rsidRDefault="003B3129">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Patricia J. Williams, </w:t>
      </w:r>
      <w:r w:rsidRPr="00C83BB2">
        <w:rPr>
          <w:rFonts w:ascii="Times New Roman" w:hAnsi="Times New Roman" w:cs="Times New Roman"/>
          <w:i/>
          <w:iCs/>
        </w:rPr>
        <w:t>Alchemical Notes: Reconstructing Ideals from Deconstructed Rights</w:t>
      </w:r>
      <w:r w:rsidRPr="00C83BB2">
        <w:rPr>
          <w:rFonts w:ascii="Times New Roman" w:hAnsi="Times New Roman" w:cs="Times New Roman"/>
        </w:rPr>
        <w:t>, 22 Harv. C.R.-C.L. L. Rev. 401 (1987).</w:t>
      </w:r>
    </w:p>
  </w:footnote>
  <w:footnote w:id="259">
    <w:p w14:paraId="61A922FE" w14:textId="2368F9ED" w:rsidR="000859AB" w:rsidRPr="00C83BB2" w:rsidRDefault="000859AB">
      <w:pPr>
        <w:pStyle w:val="FootnoteText"/>
        <w:rPr>
          <w:rFonts w:ascii="Times New Roman" w:hAnsi="Times New Roman" w:cs="Times New Roman"/>
          <w:lang w:val="es-PR"/>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Para consultar el texto de la Declaración Universal, véase </w:t>
      </w:r>
      <w:r w:rsidRPr="00C83BB2">
        <w:rPr>
          <w:rFonts w:ascii="Times New Roman" w:hAnsi="Times New Roman" w:cs="Times New Roman"/>
          <w:i/>
          <w:iCs/>
        </w:rPr>
        <w:t>Universal Declaration of Human Rights</w:t>
      </w:r>
      <w:r w:rsidRPr="00C83BB2">
        <w:rPr>
          <w:rFonts w:ascii="Times New Roman" w:hAnsi="Times New Roman" w:cs="Times New Roman"/>
        </w:rPr>
        <w:t xml:space="preserve">. Para antecedentes sobre su adopción y contenido, véase Mary Ann Glendon, </w:t>
      </w:r>
      <w:r w:rsidRPr="00C83BB2">
        <w:rPr>
          <w:rFonts w:ascii="Times New Roman" w:hAnsi="Times New Roman" w:cs="Times New Roman"/>
          <w:i/>
          <w:iCs/>
        </w:rPr>
        <w:t>A World Made New</w:t>
      </w:r>
      <w:r w:rsidRPr="00C83BB2">
        <w:rPr>
          <w:rFonts w:ascii="Times New Roman" w:hAnsi="Times New Roman" w:cs="Times New Roman"/>
        </w:rPr>
        <w:t xml:space="preserve"> (2001).</w:t>
      </w:r>
    </w:p>
  </w:footnote>
  <w:footnote w:id="260">
    <w:p w14:paraId="144FC442" w14:textId="17A865AB" w:rsidR="00E7507A" w:rsidRPr="00C83BB2" w:rsidRDefault="00E7507A">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Raquel Aldana, </w:t>
      </w:r>
      <w:r w:rsidRPr="00C83BB2">
        <w:rPr>
          <w:rFonts w:ascii="Times New Roman" w:hAnsi="Times New Roman" w:cs="Times New Roman"/>
          <w:i/>
          <w:iCs/>
        </w:rPr>
        <w:t>The Challenge and Potential for a Universal Human Rights Regime to Manage Migration in the Americas</w:t>
      </w:r>
      <w:r w:rsidRPr="00C83BB2">
        <w:rPr>
          <w:rFonts w:ascii="Times New Roman" w:hAnsi="Times New Roman" w:cs="Times New Roman"/>
        </w:rPr>
        <w:t xml:space="preserve">, en </w:t>
      </w:r>
      <w:r w:rsidRPr="00C83BB2">
        <w:rPr>
          <w:rFonts w:ascii="Times New Roman" w:hAnsi="Times New Roman" w:cs="Times New Roman"/>
          <w:i/>
          <w:iCs/>
        </w:rPr>
        <w:t>Compassionate Migration and Regional Policy in the Americas</w:t>
      </w:r>
      <w:r w:rsidRPr="00C83BB2">
        <w:rPr>
          <w:rFonts w:ascii="Times New Roman" w:hAnsi="Times New Roman" w:cs="Times New Roman"/>
        </w:rPr>
        <w:t xml:space="preserve"> 113, 115–16 (Steven W. Bender y William F. Arrocha, eds., 2017).</w:t>
      </w:r>
    </w:p>
  </w:footnote>
  <w:footnote w:id="261">
    <w:p w14:paraId="6ADB105C" w14:textId="1F6E4F24" w:rsidR="003B1F9A" w:rsidRPr="00C83BB2" w:rsidRDefault="003B1F9A">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Sarah Moreno y Enrique Flor, </w:t>
      </w:r>
      <w:r w:rsidRPr="00C83BB2">
        <w:rPr>
          <w:rFonts w:ascii="Times New Roman" w:hAnsi="Times New Roman" w:cs="Times New Roman"/>
          <w:i/>
          <w:iCs/>
        </w:rPr>
        <w:t>They Have Fixed Up Their Homes and Paid Them Off. Now, They May Wind Up on the Street</w:t>
      </w:r>
      <w:r w:rsidRPr="00C83BB2">
        <w:rPr>
          <w:rFonts w:ascii="Times New Roman" w:hAnsi="Times New Roman" w:cs="Times New Roman"/>
        </w:rPr>
        <w:t>, Miami Herald (19 de abril de 2018).</w:t>
      </w:r>
    </w:p>
  </w:footnote>
  <w:footnote w:id="262">
    <w:p w14:paraId="25387974" w14:textId="47F9F6C4" w:rsidR="00FE64AA" w:rsidRPr="00C83BB2" w:rsidRDefault="00FE64AA">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Roy Strom, </w:t>
      </w:r>
      <w:r w:rsidRPr="00C83BB2">
        <w:rPr>
          <w:rFonts w:ascii="Times New Roman" w:hAnsi="Times New Roman" w:cs="Times New Roman"/>
          <w:i/>
          <w:iCs/>
        </w:rPr>
        <w:t>Skadden Foundation Chief Quits in Wake of Firm’s Trump Deal</w:t>
      </w:r>
      <w:r w:rsidRPr="00C83BB2">
        <w:rPr>
          <w:rFonts w:ascii="Times New Roman" w:hAnsi="Times New Roman" w:cs="Times New Roman"/>
        </w:rPr>
        <w:t xml:space="preserve">, Bloomberg Law (June 5, 2025), </w:t>
      </w:r>
      <w:hyperlink r:id="rId62" w:history="1">
        <w:r w:rsidRPr="00C83BB2">
          <w:rPr>
            <w:rStyle w:val="Hyperlink"/>
            <w:rFonts w:ascii="Times New Roman" w:eastAsiaTheme="minorHAnsi" w:hAnsi="Times New Roman"/>
            <w:sz w:val="20"/>
            <w:szCs w:val="20"/>
          </w:rPr>
          <w:t>https://news.bloomberglaw.com/business-and-practice/skadden-foundation-chief-resigns-in-wake-of-firms-trump-deal</w:t>
        </w:r>
      </w:hyperlink>
      <w:r w:rsidRPr="00C83BB2">
        <w:rPr>
          <w:rFonts w:ascii="Times New Roman" w:hAnsi="Times New Roman" w:cs="Times New Roman"/>
        </w:rPr>
        <w:t>.</w:t>
      </w:r>
    </w:p>
  </w:footnote>
  <w:footnote w:id="263">
    <w:p w14:paraId="0CE8027A" w14:textId="4E8AD409" w:rsidR="00FE64AA" w:rsidRPr="00C83BB2" w:rsidRDefault="00FE64AA">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i/>
          <w:iCs/>
        </w:rPr>
        <w:t xml:space="preserve">Women of Color Pursue Change Strategies with Limited Resources, Candid: Philanthropy News Digest (2 de julio de 2020) (citando a Ms. Foundation for Women y Strength in Numbers Consulting Group, que determinaron que la proporción total era aún menor, de 0,5 %), </w:t>
      </w:r>
      <w:hyperlink r:id="rId63" w:history="1">
        <w:r w:rsidRPr="00C83BB2">
          <w:rPr>
            <w:rStyle w:val="Hyperlink"/>
            <w:rFonts w:ascii="Times New Roman" w:eastAsiaTheme="minorHAnsi" w:hAnsi="Times New Roman"/>
            <w:i/>
            <w:iCs/>
            <w:sz w:val="20"/>
            <w:szCs w:val="20"/>
          </w:rPr>
          <w:t>www.philanthropynewsdigest.org/news/women-of-color-pursue-change-strategies-with-limited-resources</w:t>
        </w:r>
      </w:hyperlink>
      <w:r w:rsidRPr="00C83BB2">
        <w:rPr>
          <w:rFonts w:ascii="Times New Roman" w:hAnsi="Times New Roman" w:cs="Times New Roman"/>
          <w:i/>
          <w:iCs/>
        </w:rPr>
        <w:t>.</w:t>
      </w:r>
    </w:p>
  </w:footnote>
  <w:footnote w:id="264">
    <w:p w14:paraId="622769A2" w14:textId="04C8CD91" w:rsidR="00FE64AA" w:rsidRPr="00C83BB2" w:rsidRDefault="00FE64AA">
      <w:pPr>
        <w:pStyle w:val="FootnoteText"/>
        <w:rPr>
          <w:rFonts w:ascii="Times New Roman" w:hAnsi="Times New Roman" w:cs="Times New Roman"/>
          <w:lang w:val="es-PR"/>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John Brothers, </w:t>
      </w:r>
      <w:r w:rsidRPr="00C83BB2">
        <w:rPr>
          <w:rFonts w:ascii="Times New Roman" w:hAnsi="Times New Roman" w:cs="Times New Roman"/>
          <w:i/>
          <w:iCs/>
        </w:rPr>
        <w:t>Report: LGBT Nonprofits See Increase in Philanthropic Funding</w:t>
      </w:r>
      <w:r w:rsidRPr="00C83BB2">
        <w:rPr>
          <w:rFonts w:ascii="Times New Roman" w:hAnsi="Times New Roman" w:cs="Times New Roman"/>
        </w:rPr>
        <w:t xml:space="preserve">, Nonprofit Quarterly (6 de enero de 2015) (destaca un informe de Funders for LGBTQ Issues que muestra que las causas LGBTQ reciben una proporción mínima del financiamiento total, a pesar de un aumento considerable en años recientes), </w:t>
      </w:r>
      <w:hyperlink r:id="rId64" w:history="1">
        <w:r w:rsidRPr="00C83BB2">
          <w:rPr>
            <w:rStyle w:val="Hyperlink"/>
            <w:rFonts w:ascii="Times New Roman" w:eastAsiaTheme="minorHAnsi" w:hAnsi="Times New Roman"/>
            <w:sz w:val="20"/>
            <w:szCs w:val="20"/>
          </w:rPr>
          <w:t>www.nonprofitquarterly.org/report-lgbt-organizations-see-increase-in-funding/</w:t>
        </w:r>
      </w:hyperlink>
      <w:r w:rsidRPr="00C83BB2">
        <w:rPr>
          <w:rFonts w:ascii="Times New Roman" w:hAnsi="Times New Roman" w:cs="Times New Roman"/>
        </w:rPr>
        <w:t>.</w:t>
      </w:r>
    </w:p>
  </w:footnote>
  <w:footnote w:id="265">
    <w:p w14:paraId="142C8609" w14:textId="122DF827" w:rsidR="00FE64AA" w:rsidRPr="00C83BB2" w:rsidRDefault="00FE64AA">
      <w:pPr>
        <w:pStyle w:val="FootnoteText"/>
        <w:rPr>
          <w:rFonts w:ascii="Times New Roman" w:hAnsi="Times New Roman" w:cs="Times New Roman"/>
          <w:lang w:val="es-PR"/>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i/>
          <w:iCs/>
        </w:rPr>
        <w:t>We Need to Change How We Think: Perspectives on Philanthropy’s Underfunding of Native Communities and Causes</w:t>
      </w:r>
      <w:r w:rsidRPr="00C83BB2">
        <w:rPr>
          <w:rFonts w:ascii="Times New Roman" w:hAnsi="Times New Roman" w:cs="Times New Roman"/>
        </w:rPr>
        <w:t xml:space="preserve">, First Nations Development Institute (2018) (explica que las personas indígenas representan el 2 % de la población y enfrentan niveles desproporcionados de necesidad económica, pero reciben solo el 0,23 % de las subvenciones filantrópicas), </w:t>
      </w:r>
      <w:hyperlink r:id="rId65" w:history="1">
        <w:r w:rsidRPr="00C83BB2">
          <w:rPr>
            <w:rStyle w:val="Hyperlink"/>
            <w:rFonts w:ascii="Times New Roman" w:eastAsiaTheme="minorHAnsi" w:hAnsi="Times New Roman"/>
            <w:sz w:val="20"/>
            <w:szCs w:val="20"/>
          </w:rPr>
          <w:t>www.firstnations.org/publications/we-need-to-change-how-we-think-perspectives-on-philanthropys-underfunding-of-native-communities-and-causes/</w:t>
        </w:r>
      </w:hyperlink>
      <w:r w:rsidRPr="00C83BB2">
        <w:rPr>
          <w:rFonts w:ascii="Times New Roman" w:hAnsi="Times New Roman" w:cs="Times New Roman"/>
        </w:rPr>
        <w:t xml:space="preserve">; </w:t>
      </w:r>
      <w:r w:rsidRPr="00C83BB2">
        <w:rPr>
          <w:rFonts w:ascii="Times New Roman" w:hAnsi="Times New Roman" w:cs="Times New Roman"/>
          <w:i/>
          <w:iCs/>
        </w:rPr>
        <w:t>Investing in Native Communities</w:t>
      </w:r>
      <w:r w:rsidRPr="00C83BB2">
        <w:rPr>
          <w:rFonts w:ascii="Times New Roman" w:hAnsi="Times New Roman" w:cs="Times New Roman"/>
        </w:rPr>
        <w:t xml:space="preserve">, </w:t>
      </w:r>
      <w:hyperlink r:id="rId66" w:history="1">
        <w:r w:rsidRPr="00C83BB2">
          <w:rPr>
            <w:rStyle w:val="Hyperlink"/>
            <w:rFonts w:ascii="Times New Roman" w:eastAsiaTheme="minorHAnsi" w:hAnsi="Times New Roman"/>
            <w:sz w:val="20"/>
            <w:szCs w:val="20"/>
          </w:rPr>
          <w:t>https://nativephilanthropy.candid.org</w:t>
        </w:r>
      </w:hyperlink>
    </w:p>
  </w:footnote>
  <w:footnote w:id="266">
    <w:p w14:paraId="37D490C5" w14:textId="3348DEB7" w:rsidR="00FE64AA" w:rsidRPr="00C83BB2" w:rsidRDefault="00FE64AA">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Seema Shah, Reina Mukai y Grace McAllister, </w:t>
      </w:r>
      <w:r w:rsidRPr="00C83BB2">
        <w:rPr>
          <w:rFonts w:ascii="Times New Roman" w:hAnsi="Times New Roman" w:cs="Times New Roman"/>
          <w:i/>
          <w:iCs/>
        </w:rPr>
        <w:t>Foundation Funding for Hispanics/Latinos in the United States and for Latin America</w:t>
      </w:r>
      <w:r w:rsidRPr="00C83BB2">
        <w:rPr>
          <w:rFonts w:ascii="Times New Roman" w:hAnsi="Times New Roman" w:cs="Times New Roman"/>
        </w:rPr>
        <w:t xml:space="preserve">, The Foundation Center, en colaboración con Hispanics in Philanthropy (2011), </w:t>
      </w:r>
      <w:hyperlink r:id="rId67" w:history="1">
        <w:r w:rsidRPr="00C83BB2">
          <w:rPr>
            <w:rStyle w:val="Hyperlink"/>
            <w:rFonts w:ascii="Times New Roman" w:eastAsiaTheme="minorHAnsi" w:hAnsi="Times New Roman"/>
            <w:sz w:val="20"/>
            <w:szCs w:val="20"/>
          </w:rPr>
          <w:t>www.foundationcenter.issuelab.org/resources/12839/12839.pdf</w:t>
        </w:r>
      </w:hyperlink>
      <w:r w:rsidRPr="00C83BB2">
        <w:rPr>
          <w:rFonts w:ascii="Times New Roman" w:hAnsi="Times New Roman" w:cs="Times New Roman"/>
        </w:rPr>
        <w:t>.</w:t>
      </w:r>
    </w:p>
  </w:footnote>
  <w:footnote w:id="267">
    <w:p w14:paraId="72C321C5" w14:textId="5F11E31E" w:rsidR="00FE64AA" w:rsidRPr="00C83BB2" w:rsidRDefault="00FE64AA">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i/>
          <w:iCs/>
        </w:rPr>
        <w:t>Giving By and For Women</w:t>
      </w:r>
      <w:r w:rsidRPr="00C83BB2">
        <w:rPr>
          <w:rFonts w:ascii="Times New Roman" w:hAnsi="Times New Roman" w:cs="Times New Roman"/>
        </w:rPr>
        <w:t xml:space="preserve">, IUPUI Women’s Philanthropy Institute 6 (2018), </w:t>
      </w:r>
      <w:hyperlink r:id="rId68" w:history="1">
        <w:r w:rsidRPr="00C83BB2">
          <w:rPr>
            <w:rStyle w:val="Hyperlink"/>
            <w:rFonts w:ascii="Times New Roman" w:eastAsiaTheme="minorHAnsi" w:hAnsi="Times New Roman"/>
            <w:sz w:val="20"/>
            <w:szCs w:val="20"/>
          </w:rPr>
          <w:t>https://scholarworks.iupui.edu/bitstream/handle/1805/15117/giving-by-and-for-women-update180131.pdf</w:t>
        </w:r>
      </w:hyperlink>
    </w:p>
  </w:footnote>
  <w:footnote w:id="268">
    <w:p w14:paraId="0DCA0EB5" w14:textId="6FDE0BDE" w:rsidR="00FE64AA" w:rsidRPr="00C83BB2" w:rsidRDefault="00FE64AA">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Cheryl Dorsey, Jeff Bradach y Peter Kim, </w:t>
      </w:r>
      <w:r w:rsidRPr="00C83BB2">
        <w:rPr>
          <w:rFonts w:ascii="Times New Roman" w:hAnsi="Times New Roman" w:cs="Times New Roman"/>
          <w:i/>
          <w:iCs/>
        </w:rPr>
        <w:t>Racial Equity and Philanthropy: Disparities in Funding for Leaders of Color Leave Impact on the Table</w:t>
      </w:r>
      <w:r w:rsidRPr="00C83BB2">
        <w:rPr>
          <w:rFonts w:ascii="Times New Roman" w:hAnsi="Times New Roman" w:cs="Times New Roman"/>
        </w:rPr>
        <w:t>, Echoing Green y The Bridgespan Group 3 (2020).</w:t>
      </w:r>
    </w:p>
  </w:footnote>
  <w:footnote w:id="269">
    <w:p w14:paraId="5C636090" w14:textId="77777777" w:rsidR="00FE64AA" w:rsidRPr="00C83BB2" w:rsidRDefault="00FE64AA" w:rsidP="00FE64AA">
      <w:pPr>
        <w:pStyle w:val="FootnoteText"/>
        <w:rPr>
          <w:rFonts w:ascii="Times New Roman" w:hAnsi="Times New Roman" w:cs="Times New Roman"/>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isa Ranghelli, </w:t>
      </w:r>
      <w:r w:rsidRPr="00C83BB2">
        <w:rPr>
          <w:rFonts w:ascii="Times New Roman" w:hAnsi="Times New Roman" w:cs="Times New Roman"/>
          <w:i/>
          <w:iCs/>
        </w:rPr>
        <w:t>Leveraging Limited Dollars: How Grantmakers Achieve Tangible Results by Funding Policy and Community Engagement</w:t>
      </w:r>
      <w:r w:rsidRPr="00C83BB2">
        <w:rPr>
          <w:rFonts w:ascii="Times New Roman" w:hAnsi="Times New Roman" w:cs="Times New Roman"/>
        </w:rPr>
        <w:t xml:space="preserve"> 1, The National Committee for Responsive Philanthropy (2012), </w:t>
      </w:r>
      <w:hyperlink r:id="rId69" w:history="1">
        <w:r w:rsidRPr="00C83BB2">
          <w:rPr>
            <w:rStyle w:val="Hyperlink"/>
            <w:rFonts w:ascii="Times New Roman" w:eastAsiaTheme="minorHAnsi" w:hAnsi="Times New Roman"/>
            <w:sz w:val="20"/>
            <w:szCs w:val="20"/>
          </w:rPr>
          <w:t>www.ncrp.org/wp-content/uploads/2016/11/LeveragingLimitedDollars.pdf</w:t>
        </w:r>
      </w:hyperlink>
      <w:r w:rsidRPr="00C83BB2">
        <w:rPr>
          <w:rFonts w:ascii="Times New Roman" w:hAnsi="Times New Roman" w:cs="Times New Roman"/>
        </w:rPr>
        <w:t>.</w:t>
      </w:r>
    </w:p>
    <w:p w14:paraId="5B1A0B38" w14:textId="6B7C4C47" w:rsidR="00FE64AA" w:rsidRPr="00C83BB2" w:rsidRDefault="00FE64AA">
      <w:pPr>
        <w:pStyle w:val="FootnoteText"/>
        <w:rPr>
          <w:rFonts w:ascii="Times New Roman" w:hAnsi="Times New Roman" w:cs="Times New Roman"/>
          <w:lang w:val="en-US"/>
        </w:rPr>
      </w:pPr>
    </w:p>
  </w:footnote>
  <w:footnote w:id="270">
    <w:p w14:paraId="1133E731" w14:textId="3A443F89" w:rsidR="006E63F1" w:rsidRPr="00C83BB2" w:rsidRDefault="006E63F1">
      <w:pPr>
        <w:pStyle w:val="FootnoteText"/>
        <w:rPr>
          <w:rFonts w:ascii="Times New Roman" w:hAnsi="Times New Roman" w:cs="Times New Roman"/>
          <w:lang w:val="es-PR"/>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i/>
          <w:iCs/>
        </w:rPr>
        <w:t>Id.</w:t>
      </w:r>
      <w:r w:rsidRPr="00C83BB2">
        <w:rPr>
          <w:rFonts w:ascii="Times New Roman" w:hAnsi="Times New Roman" w:cs="Times New Roman"/>
        </w:rPr>
        <w:t xml:space="preserve"> en 1.</w:t>
      </w:r>
    </w:p>
  </w:footnote>
  <w:footnote w:id="271">
    <w:p w14:paraId="780135D7" w14:textId="139B1AFC" w:rsidR="006E63F1" w:rsidRPr="00C83BB2" w:rsidRDefault="006E63F1">
      <w:pPr>
        <w:pStyle w:val="FootnoteText"/>
        <w:rPr>
          <w:rFonts w:ascii="Times New Roman" w:hAnsi="Times New Roman" w:cs="Times New Roman"/>
          <w:lang w:val="es-PR"/>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i/>
          <w:iCs/>
        </w:rPr>
        <w:t>Id.</w:t>
      </w:r>
      <w:r w:rsidRPr="00C83BB2">
        <w:rPr>
          <w:rFonts w:ascii="Times New Roman" w:hAnsi="Times New Roman" w:cs="Times New Roman"/>
        </w:rPr>
        <w:t xml:space="preserve"> Véase también Dimple Abichandani, </w:t>
      </w:r>
      <w:r w:rsidRPr="00C83BB2">
        <w:rPr>
          <w:rFonts w:ascii="Times New Roman" w:hAnsi="Times New Roman" w:cs="Times New Roman"/>
          <w:i/>
          <w:iCs/>
        </w:rPr>
        <w:t>Pandemic Philanthropy: Moving from Relief to Power</w:t>
      </w:r>
      <w:r w:rsidRPr="00C83BB2">
        <w:rPr>
          <w:rFonts w:ascii="Times New Roman" w:hAnsi="Times New Roman" w:cs="Times New Roman"/>
        </w:rPr>
        <w:t>, Inside Philanthropy (7 de mayo de 2020) (insta a les financiadores a reorientar el financiamiento hacia estrategias colaborativas de construcción de poder para replantear y reconstruir el contrato social, tras reconocer que la pandemia había afectado de manera desproporcionada a las “comunidades negras, comunidades inmigrantes, personas con discapacidad, personas encarceladas y trabajadores que reciben salarios bajos”, y había amplificado todas las desigualdades existentes antes del virus).</w:t>
      </w:r>
    </w:p>
  </w:footnote>
  <w:footnote w:id="272">
    <w:p w14:paraId="7A3350F7" w14:textId="6FEDDDDF" w:rsidR="007168CD" w:rsidRPr="00C83BB2" w:rsidRDefault="007168CD">
      <w:pPr>
        <w:pStyle w:val="FootnoteText"/>
        <w:rPr>
          <w:rFonts w:ascii="Times New Roman" w:hAnsi="Times New Roman" w:cs="Times New Roman"/>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Judy Lubin, Fred Clavel y Elise Goldstein, </w:t>
      </w:r>
      <w:r w:rsidRPr="00C83BB2">
        <w:rPr>
          <w:rFonts w:ascii="Times New Roman" w:hAnsi="Times New Roman" w:cs="Times New Roman"/>
          <w:i/>
          <w:iCs/>
        </w:rPr>
        <w:t>Talent Justice Report: Investing in Equity in the Nonprofit Workforce</w:t>
      </w:r>
      <w:r w:rsidRPr="00C83BB2">
        <w:rPr>
          <w:rFonts w:ascii="Times New Roman" w:hAnsi="Times New Roman" w:cs="Times New Roman"/>
        </w:rPr>
        <w:t xml:space="preserve">, Fund the People y Center for Urban and Racial Equity 7 (2019), </w:t>
      </w:r>
      <w:hyperlink r:id="rId70" w:history="1">
        <w:r w:rsidRPr="00C83BB2">
          <w:rPr>
            <w:rStyle w:val="Hyperlink"/>
            <w:rFonts w:ascii="Times New Roman" w:eastAsiaTheme="minorHAnsi" w:hAnsi="Times New Roman"/>
            <w:sz w:val="20"/>
            <w:szCs w:val="20"/>
          </w:rPr>
          <w:t>www.fundthepeople.org/toolkit/wp-content/uploads/2019/05/Talent-Justice-Report.pdf</w:t>
        </w:r>
      </w:hyperlink>
      <w:r w:rsidRPr="00C83BB2">
        <w:rPr>
          <w:rFonts w:ascii="Times New Roman" w:hAnsi="Times New Roman" w:cs="Times New Roman"/>
        </w:rPr>
        <w:t>.</w:t>
      </w:r>
    </w:p>
  </w:footnote>
  <w:footnote w:id="273">
    <w:p w14:paraId="37424DF1" w14:textId="34942131" w:rsidR="007168CD" w:rsidRPr="00C83BB2" w:rsidRDefault="007168CD">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Ofronama Biu, </w:t>
      </w:r>
      <w:r w:rsidRPr="00C83BB2">
        <w:rPr>
          <w:rFonts w:ascii="Times New Roman" w:hAnsi="Times New Roman" w:cs="Times New Roman"/>
          <w:i/>
          <w:iCs/>
        </w:rPr>
        <w:t>Race to Lead: Women of Color in the Nonprofit Sector</w:t>
      </w:r>
      <w:r w:rsidRPr="00C83BB2">
        <w:rPr>
          <w:rFonts w:ascii="Times New Roman" w:hAnsi="Times New Roman" w:cs="Times New Roman"/>
        </w:rPr>
        <w:t xml:space="preserve">, Building Movement Project (2019), </w:t>
      </w:r>
      <w:hyperlink r:id="rId71" w:history="1">
        <w:r w:rsidRPr="00C83BB2">
          <w:rPr>
            <w:rStyle w:val="Hyperlink"/>
            <w:rFonts w:ascii="Times New Roman" w:eastAsiaTheme="minorHAnsi" w:hAnsi="Times New Roman"/>
            <w:sz w:val="20"/>
            <w:szCs w:val="20"/>
          </w:rPr>
          <w:t>www.racetolead.org/women-of-color/</w:t>
        </w:r>
      </w:hyperlink>
      <w:r w:rsidRPr="00C83BB2">
        <w:rPr>
          <w:rFonts w:ascii="Times New Roman" w:hAnsi="Times New Roman" w:cs="Times New Roman"/>
        </w:rPr>
        <w:t>.</w:t>
      </w:r>
    </w:p>
  </w:footnote>
  <w:footnote w:id="274">
    <w:p w14:paraId="3B6425E8" w14:textId="4D148827" w:rsidR="007168CD" w:rsidRPr="00C83BB2" w:rsidRDefault="007168CD">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i/>
          <w:iCs/>
        </w:rPr>
        <w:t>Legal Professions: The Status of Women and Men</w:t>
      </w:r>
      <w:r w:rsidRPr="00C83BB2">
        <w:rPr>
          <w:rFonts w:ascii="Times New Roman" w:hAnsi="Times New Roman" w:cs="Times New Roman"/>
        </w:rPr>
        <w:t xml:space="preserve">, Center for Research on Gender in the Professions, University of California-San Diego (2013) (cita un artículo de 2010 sobre los hallazgos relacionados con los salarios de les abogades de interés público provenientes de la National Association for Law Placement), </w:t>
      </w:r>
      <w:hyperlink r:id="rId72" w:history="1">
        <w:r w:rsidRPr="00C83BB2">
          <w:rPr>
            <w:rStyle w:val="Hyperlink"/>
            <w:rFonts w:ascii="Times New Roman" w:eastAsiaTheme="minorHAnsi" w:hAnsi="Times New Roman"/>
            <w:sz w:val="20"/>
            <w:szCs w:val="20"/>
          </w:rPr>
          <w:t>https://crg-stemm.ucsd.edu/_files/articles/GenderinLegalProfessionsCaseStudy.pdf</w:t>
        </w:r>
      </w:hyperlink>
      <w:r w:rsidRPr="00C83BB2">
        <w:rPr>
          <w:rFonts w:ascii="Times New Roman" w:hAnsi="Times New Roman" w:cs="Times New Roman"/>
        </w:rPr>
        <w:t>.</w:t>
      </w:r>
    </w:p>
  </w:footnote>
  <w:footnote w:id="275">
    <w:p w14:paraId="529C1ECA" w14:textId="6ED2C8F3" w:rsidR="007168CD" w:rsidRPr="00C83BB2" w:rsidRDefault="007168CD">
      <w:pPr>
        <w:pStyle w:val="FootnoteText"/>
        <w:rPr>
          <w:rFonts w:ascii="Times New Roman" w:hAnsi="Times New Roman" w:cs="Times New Roman"/>
          <w:i/>
          <w:iCs/>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i/>
          <w:iCs/>
          <w:lang w:val="en-US"/>
        </w:rPr>
        <w:t xml:space="preserve">Id. </w:t>
      </w:r>
    </w:p>
  </w:footnote>
  <w:footnote w:id="276">
    <w:p w14:paraId="2060D01E" w14:textId="6AB2E4EE" w:rsidR="007168CD" w:rsidRPr="00C83BB2" w:rsidRDefault="007168CD">
      <w:pPr>
        <w:pStyle w:val="FootnoteText"/>
        <w:rPr>
          <w:rFonts w:ascii="Times New Roman" w:hAnsi="Times New Roman" w:cs="Times New Roman"/>
          <w:i/>
          <w:iCs/>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009811A7" w:rsidRPr="00C83BB2">
        <w:rPr>
          <w:rFonts w:ascii="Times New Roman" w:hAnsi="Times New Roman" w:cs="Times New Roman"/>
          <w:i/>
          <w:iCs/>
        </w:rPr>
        <w:t xml:space="preserve">Id. </w:t>
      </w:r>
    </w:p>
  </w:footnote>
  <w:footnote w:id="277">
    <w:p w14:paraId="3B3E05CC" w14:textId="5C87C190" w:rsidR="009811A7" w:rsidRPr="00C83BB2" w:rsidRDefault="009811A7">
      <w:pPr>
        <w:pStyle w:val="FootnoteText"/>
        <w:rPr>
          <w:rFonts w:ascii="Times New Roman" w:hAnsi="Times New Roman" w:cs="Times New Roman"/>
          <w:lang w:val="es-PR"/>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Eli Rosenberg, </w:t>
      </w:r>
      <w:r w:rsidRPr="00C83BB2">
        <w:rPr>
          <w:rFonts w:ascii="Times New Roman" w:hAnsi="Times New Roman" w:cs="Times New Roman"/>
          <w:i/>
          <w:iCs/>
        </w:rPr>
        <w:t>Workers Are Forming Unions at Nonprofits and Think Tanks. Their Bosses Aren’t Always Happy</w:t>
      </w:r>
      <w:r w:rsidRPr="00C83BB2">
        <w:rPr>
          <w:rFonts w:ascii="Times New Roman" w:hAnsi="Times New Roman" w:cs="Times New Roman"/>
        </w:rPr>
        <w:t xml:space="preserve">, Wash. Post (4 de febrero de 2020) (describe campañas de organización sindical en el Center for Public Policy Priorities, que se llevaron a cabo sin oposición de la gerencia, así como querellas por prácticas laborales injustas en el National Center for Transgender Equality y otros grupos), </w:t>
      </w:r>
      <w:hyperlink r:id="rId73" w:history="1">
        <w:r w:rsidRPr="00C83BB2">
          <w:rPr>
            <w:rStyle w:val="Hyperlink"/>
            <w:rFonts w:ascii="Times New Roman" w:eastAsiaTheme="minorHAnsi" w:hAnsi="Times New Roman"/>
            <w:sz w:val="20"/>
            <w:szCs w:val="20"/>
          </w:rPr>
          <w:t>www.washingtonpost.com/business/2020/02/04/workers-are-forming-unions-nonprofits-thinktanks-their-bosses-arent-always-happy/</w:t>
        </w:r>
      </w:hyperlink>
    </w:p>
  </w:footnote>
  <w:footnote w:id="278">
    <w:p w14:paraId="36555274" w14:textId="462903BE" w:rsidR="009811A7" w:rsidRPr="00C83BB2" w:rsidRDefault="009811A7">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Catherine R. Albiston y Laura Beth Nielsen, </w:t>
      </w:r>
      <w:r w:rsidRPr="00C83BB2">
        <w:rPr>
          <w:rFonts w:ascii="Times New Roman" w:hAnsi="Times New Roman" w:cs="Times New Roman"/>
          <w:i/>
          <w:iCs/>
        </w:rPr>
        <w:t>Funding the Cause: How Public Interest Law Organizations Fund Their Activities and Why It Matters for Social Change</w:t>
      </w:r>
      <w:r w:rsidRPr="00C83BB2">
        <w:rPr>
          <w:rFonts w:ascii="Times New Roman" w:hAnsi="Times New Roman" w:cs="Times New Roman"/>
        </w:rPr>
        <w:t>, 39 Law &amp; Soc. Inquiry 62, 71 (2014).</w:t>
      </w:r>
    </w:p>
  </w:footnote>
  <w:footnote w:id="279">
    <w:p w14:paraId="5F123D1F" w14:textId="1E9ECC2D" w:rsidR="00B86A85" w:rsidRPr="00C83BB2" w:rsidRDefault="00B86A85">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i/>
          <w:iCs/>
        </w:rPr>
        <w:t>Id.</w:t>
      </w:r>
      <w:r w:rsidRPr="00C83BB2">
        <w:rPr>
          <w:rFonts w:ascii="Times New Roman" w:hAnsi="Times New Roman" w:cs="Times New Roman"/>
        </w:rPr>
        <w:t xml:space="preserve"> en 63.</w:t>
      </w:r>
    </w:p>
  </w:footnote>
  <w:footnote w:id="280">
    <w:p w14:paraId="10888535" w14:textId="6F2A1889" w:rsidR="00B86A85" w:rsidRPr="00C83BB2" w:rsidRDefault="00B86A85">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Dylan Rodriguez, comentarios en </w:t>
      </w:r>
      <w:r w:rsidRPr="00C83BB2">
        <w:rPr>
          <w:rFonts w:ascii="Times New Roman" w:hAnsi="Times New Roman" w:cs="Times New Roman"/>
          <w:i/>
          <w:iCs/>
        </w:rPr>
        <w:t>The Revolution Will Not Be Funded: Beyond the Non-Profit Industrial Complex Conference</w:t>
      </w:r>
      <w:r w:rsidRPr="00C83BB2">
        <w:rPr>
          <w:rFonts w:ascii="Times New Roman" w:hAnsi="Times New Roman" w:cs="Times New Roman"/>
        </w:rPr>
        <w:t xml:space="preserve"> (2004) (citado en Rickke Mananzala y Dean Spade, </w:t>
      </w:r>
      <w:r w:rsidRPr="00C83BB2">
        <w:rPr>
          <w:rFonts w:ascii="Times New Roman" w:hAnsi="Times New Roman" w:cs="Times New Roman"/>
          <w:i/>
          <w:iCs/>
        </w:rPr>
        <w:t>The Nonprofit Industrial Complex and Trans Resistance</w:t>
      </w:r>
      <w:r w:rsidRPr="00C83BB2">
        <w:rPr>
          <w:rFonts w:ascii="Times New Roman" w:hAnsi="Times New Roman" w:cs="Times New Roman"/>
        </w:rPr>
        <w:t>, 5 Sexuality Research &amp; Social Pol’y 53, 56 (marzo de 2008)).</w:t>
      </w:r>
    </w:p>
  </w:footnote>
  <w:footnote w:id="281">
    <w:p w14:paraId="49E8BFA5" w14:textId="7C3C8D2E" w:rsidR="00B86A85" w:rsidRPr="00C83BB2" w:rsidRDefault="00B86A85">
      <w:pPr>
        <w:pStyle w:val="FootnoteText"/>
        <w:rPr>
          <w:rFonts w:ascii="Times New Roman" w:hAnsi="Times New Roman" w:cs="Times New Roman"/>
          <w:lang w:val="es-PR"/>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Mananzala y Spade, </w:t>
      </w:r>
      <w:r w:rsidRPr="00C83BB2">
        <w:rPr>
          <w:rFonts w:ascii="Times New Roman" w:hAnsi="Times New Roman" w:cs="Times New Roman"/>
          <w:i/>
          <w:iCs/>
        </w:rPr>
        <w:t>Nonprofit Industrial Complex</w:t>
      </w:r>
      <w:r w:rsidRPr="00C83BB2">
        <w:rPr>
          <w:rFonts w:ascii="Times New Roman" w:hAnsi="Times New Roman" w:cs="Times New Roman"/>
        </w:rPr>
        <w:t>.</w:t>
      </w:r>
    </w:p>
  </w:footnote>
  <w:footnote w:id="282">
    <w:p w14:paraId="381498D9" w14:textId="0B9BDEEC" w:rsidR="00B86A85" w:rsidRPr="00C83BB2" w:rsidRDefault="00B86A85">
      <w:pPr>
        <w:pStyle w:val="FootnoteText"/>
        <w:rPr>
          <w:rFonts w:ascii="Times New Roman" w:hAnsi="Times New Roman" w:cs="Times New Roman"/>
          <w:lang w:val="es-PR"/>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i/>
          <w:iCs/>
        </w:rPr>
        <w:t>Id.</w:t>
      </w:r>
      <w:r w:rsidRPr="00C83BB2">
        <w:rPr>
          <w:rFonts w:ascii="Times New Roman" w:hAnsi="Times New Roman" w:cs="Times New Roman"/>
        </w:rPr>
        <w:t xml:space="preserve"> en 67.</w:t>
      </w:r>
    </w:p>
  </w:footnote>
  <w:footnote w:id="283">
    <w:p w14:paraId="6EF0EA8D" w14:textId="07C68BA5" w:rsidR="00B86A85" w:rsidRPr="00C83BB2" w:rsidRDefault="00B86A85">
      <w:pPr>
        <w:pStyle w:val="FootnoteText"/>
        <w:rPr>
          <w:rFonts w:ascii="Times New Roman" w:hAnsi="Times New Roman" w:cs="Times New Roman"/>
          <w:lang w:val="es-PR"/>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i/>
          <w:iCs/>
        </w:rPr>
        <w:t>Id.</w:t>
      </w:r>
      <w:r w:rsidRPr="00C83BB2">
        <w:rPr>
          <w:rFonts w:ascii="Times New Roman" w:hAnsi="Times New Roman" w:cs="Times New Roman"/>
        </w:rPr>
        <w:t xml:space="preserve"> en 54.</w:t>
      </w:r>
    </w:p>
  </w:footnote>
  <w:footnote w:id="284">
    <w:p w14:paraId="7D59BCBE" w14:textId="351991AC" w:rsidR="00B86A85" w:rsidRPr="00C83BB2" w:rsidRDefault="00B86A85">
      <w:pPr>
        <w:pStyle w:val="FootnoteText"/>
        <w:rPr>
          <w:rFonts w:ascii="Times New Roman" w:hAnsi="Times New Roman" w:cs="Times New Roman"/>
          <w:lang w:val="es-PR"/>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i/>
          <w:iCs/>
        </w:rPr>
        <w:t>Id.</w:t>
      </w:r>
      <w:r w:rsidRPr="00C83BB2">
        <w:rPr>
          <w:rFonts w:ascii="Times New Roman" w:hAnsi="Times New Roman" w:cs="Times New Roman"/>
        </w:rPr>
        <w:t xml:space="preserve"> en 55–56.</w:t>
      </w:r>
    </w:p>
  </w:footnote>
  <w:footnote w:id="285">
    <w:p w14:paraId="353C2700" w14:textId="69B1D1E3" w:rsidR="00B86A85" w:rsidRPr="00C83BB2" w:rsidRDefault="00B86A85">
      <w:pPr>
        <w:pStyle w:val="FootnoteText"/>
        <w:rPr>
          <w:rFonts w:ascii="Times New Roman" w:hAnsi="Times New Roman" w:cs="Times New Roman"/>
          <w:lang w:val="es-PR"/>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hyperlink r:id="rId74" w:history="1">
        <w:r w:rsidRPr="00C83BB2">
          <w:rPr>
            <w:rStyle w:val="Hyperlink"/>
            <w:rFonts w:ascii="Times New Roman" w:eastAsiaTheme="minorHAnsi" w:hAnsi="Times New Roman"/>
            <w:sz w:val="20"/>
            <w:szCs w:val="20"/>
          </w:rPr>
          <w:t>www.fordfoundation.org/about/about-ford/mission/</w:t>
        </w:r>
      </w:hyperlink>
      <w:r w:rsidRPr="00C83BB2">
        <w:rPr>
          <w:rFonts w:ascii="Times New Roman" w:hAnsi="Times New Roman" w:cs="Times New Roman"/>
        </w:rPr>
        <w:t>.</w:t>
      </w:r>
    </w:p>
  </w:footnote>
  <w:footnote w:id="286">
    <w:p w14:paraId="19D70C13" w14:textId="6B23235A" w:rsidR="00B86A85" w:rsidRPr="00C83BB2" w:rsidRDefault="00B86A85">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Ruth McCambridge, </w:t>
      </w:r>
      <w:r w:rsidRPr="00C83BB2">
        <w:rPr>
          <w:rFonts w:ascii="Times New Roman" w:hAnsi="Times New Roman" w:cs="Times New Roman"/>
          <w:i/>
          <w:iCs/>
        </w:rPr>
        <w:t>The Philanthropy We Need: Ford Foundation President Calls for Transformation</w:t>
      </w:r>
      <w:r w:rsidRPr="00C83BB2">
        <w:rPr>
          <w:rFonts w:ascii="Times New Roman" w:hAnsi="Times New Roman" w:cs="Times New Roman"/>
        </w:rPr>
        <w:t xml:space="preserve"> (10 de enero de 2019), </w:t>
      </w:r>
      <w:hyperlink r:id="rId75" w:history="1">
        <w:r w:rsidRPr="00C83BB2">
          <w:rPr>
            <w:rStyle w:val="Hyperlink"/>
            <w:rFonts w:ascii="Times New Roman" w:eastAsiaTheme="minorHAnsi" w:hAnsi="Times New Roman"/>
            <w:sz w:val="20"/>
            <w:szCs w:val="20"/>
          </w:rPr>
          <w:t>www.nonprofitquarterly.org/2019/01/10/the-philanthropy-we-need-ford-foundation-president-calls-for-transformation/?utm_source=email&amp;utm_medium=social&amp;utm_campaign=SocialWarfare</w:t>
        </w:r>
      </w:hyperlink>
      <w:r w:rsidRPr="00C83BB2">
        <w:rPr>
          <w:rFonts w:ascii="Times New Roman" w:hAnsi="Times New Roman" w:cs="Times New Roman"/>
        </w:rPr>
        <w:t>.</w:t>
      </w:r>
    </w:p>
  </w:footnote>
  <w:footnote w:id="287">
    <w:p w14:paraId="3F50F650" w14:textId="6349FC31" w:rsidR="00B86A85" w:rsidRPr="00C83BB2" w:rsidRDefault="00B86A85">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David Callahan, </w:t>
      </w:r>
      <w:r w:rsidRPr="00C83BB2">
        <w:rPr>
          <w:rFonts w:ascii="Times New Roman" w:hAnsi="Times New Roman" w:cs="Times New Roman"/>
          <w:i/>
          <w:iCs/>
        </w:rPr>
        <w:t>Systemic Failure: Four Reasons Philanthropy Keeps Losing the Battle Against Inequality</w:t>
      </w:r>
      <w:r w:rsidRPr="00C83BB2">
        <w:rPr>
          <w:rFonts w:ascii="Times New Roman" w:hAnsi="Times New Roman" w:cs="Times New Roman"/>
        </w:rPr>
        <w:t xml:space="preserve">, </w:t>
      </w:r>
      <w:r w:rsidRPr="00C83BB2">
        <w:rPr>
          <w:rFonts w:ascii="Times New Roman" w:hAnsi="Times New Roman" w:cs="Times New Roman"/>
          <w:i/>
          <w:iCs/>
        </w:rPr>
        <w:t>Inside Philanthropy</w:t>
      </w:r>
      <w:r w:rsidRPr="00C83BB2">
        <w:rPr>
          <w:rFonts w:ascii="Times New Roman" w:hAnsi="Times New Roman" w:cs="Times New Roman"/>
        </w:rPr>
        <w:t xml:space="preserve"> (10 de enero de 2018), </w:t>
      </w:r>
      <w:hyperlink r:id="rId76" w:history="1">
        <w:r w:rsidRPr="00C83BB2">
          <w:rPr>
            <w:rStyle w:val="Hyperlink"/>
            <w:rFonts w:ascii="Times New Roman" w:eastAsiaTheme="minorHAnsi" w:hAnsi="Times New Roman"/>
            <w:sz w:val="20"/>
            <w:szCs w:val="20"/>
          </w:rPr>
          <w:t>www.insidephilanthropy.com/home/2018/1/10/systemic-failure-four-reasons-philanthropy-keeps-losing-the-battle-against-inequality</w:t>
        </w:r>
      </w:hyperlink>
      <w:r w:rsidRPr="00C83BB2">
        <w:rPr>
          <w:rFonts w:ascii="Times New Roman" w:hAnsi="Times New Roman" w:cs="Times New Roman"/>
        </w:rPr>
        <w:t>.</w:t>
      </w:r>
    </w:p>
  </w:footnote>
  <w:footnote w:id="288">
    <w:p w14:paraId="0486D47E" w14:textId="6DBBE05C" w:rsidR="00AE6729" w:rsidRPr="00C83BB2" w:rsidRDefault="00AE6729">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i/>
          <w:iCs/>
        </w:rPr>
        <w:t>Id.</w:t>
      </w:r>
    </w:p>
  </w:footnote>
  <w:footnote w:id="289">
    <w:p w14:paraId="15702D30" w14:textId="4467610B" w:rsidR="00021262" w:rsidRPr="00C83BB2" w:rsidRDefault="00021262" w:rsidP="00021262">
      <w:pPr>
        <w:pStyle w:val="FootnoteText"/>
        <w:rPr>
          <w:rFonts w:ascii="Times New Roman" w:hAnsi="Times New Roman" w:cs="Times New Roman"/>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David Chu, </w:t>
      </w:r>
      <w:r w:rsidRPr="00C83BB2">
        <w:rPr>
          <w:rFonts w:ascii="Times New Roman" w:hAnsi="Times New Roman" w:cs="Times New Roman"/>
          <w:i/>
          <w:iCs/>
        </w:rPr>
        <w:t>Setting a Research Agenda: Knowledge Is Power . . . If You Know What to Do With It</w:t>
      </w:r>
      <w:r w:rsidRPr="00C83BB2">
        <w:rPr>
          <w:rFonts w:ascii="Times New Roman" w:hAnsi="Times New Roman" w:cs="Times New Roman"/>
        </w:rPr>
        <w:t>, 12 Labor Res. Rev. 41, 41–42 (1993) (distingue entre la investigación descriptiva y la investigación estratégica dentro de un contexto laboral al explicar que “[p]or sí sola, la investigación simplemente produce una gran cantidad de gráficos y memorandos. Cuando examinamos las cosas de manera estratégica, la información adecuada debe ayudar al sindicato a comprender mejor su industria, al empleador, el lugar de trabajo, les trabajadores, la comunidad y los asuntos que vinculan todos estos elementos. Una buena investigación estratégica identifica los problemas, dirige las acciones del sindicato, prepara testimonios para audiencias regulatorias, lleva las actividades del sindicato a la agenda de la junta directiva de la empresa o, sencillamente, le provoca al jefe un dolor de cabeza bien merecido”).</w:t>
      </w:r>
    </w:p>
    <w:p w14:paraId="6A955E4C" w14:textId="0B824064" w:rsidR="00021262" w:rsidRPr="00C83BB2" w:rsidRDefault="00021262">
      <w:pPr>
        <w:pStyle w:val="FootnoteText"/>
        <w:rPr>
          <w:rFonts w:ascii="Times New Roman" w:hAnsi="Times New Roman" w:cs="Times New Roman"/>
        </w:rPr>
      </w:pPr>
    </w:p>
  </w:footnote>
  <w:footnote w:id="290">
    <w:p w14:paraId="36F1E58A" w14:textId="58E03650" w:rsidR="005C4E4E" w:rsidRPr="00C83BB2" w:rsidRDefault="005C4E4E">
      <w:pPr>
        <w:pStyle w:val="FootnoteText"/>
        <w:rPr>
          <w:rFonts w:ascii="Times New Roman" w:hAnsi="Times New Roman" w:cs="Times New Roman"/>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Mari Matsuda, </w:t>
      </w:r>
      <w:r w:rsidRPr="00C83BB2">
        <w:rPr>
          <w:rFonts w:ascii="Times New Roman" w:hAnsi="Times New Roman" w:cs="Times New Roman"/>
          <w:i/>
          <w:iCs/>
        </w:rPr>
        <w:t>Looking to the Bottom: Critical Legal Studies and Reparations</w:t>
      </w:r>
      <w:r w:rsidRPr="00C83BB2">
        <w:rPr>
          <w:rFonts w:ascii="Times New Roman" w:hAnsi="Times New Roman" w:cs="Times New Roman"/>
        </w:rPr>
        <w:t xml:space="preserve">, 22 Harv. C.R.-C.L. L. Rev. 323, 325 (1987), </w:t>
      </w:r>
      <w:hyperlink r:id="rId77" w:history="1">
        <w:r w:rsidRPr="00C83BB2">
          <w:rPr>
            <w:rStyle w:val="Hyperlink"/>
            <w:rFonts w:ascii="Times New Roman" w:eastAsiaTheme="minorHAnsi" w:hAnsi="Times New Roman"/>
            <w:sz w:val="20"/>
            <w:szCs w:val="20"/>
          </w:rPr>
          <w:t>https://www.westlaw.com/Document/Ib715bf014a0111db99a18fc28eb0d9ae/View/FullText.html?transitionType=Default&amp;contextData=(sc.Default)&amp;VR=3.0&amp;RS=da3.0&amp;fragmentIdentifier=co_pp_sp_1151_325</w:t>
        </w:r>
      </w:hyperlink>
      <w:r w:rsidRPr="00C83BB2">
        <w:rPr>
          <w:rFonts w:ascii="Times New Roman" w:hAnsi="Times New Roman" w:cs="Times New Roman"/>
        </w:rPr>
        <w:t>.</w:t>
      </w:r>
    </w:p>
  </w:footnote>
  <w:footnote w:id="291">
    <w:p w14:paraId="1CD94F37" w14:textId="0326DE3B" w:rsidR="00B040A6" w:rsidRPr="00C83BB2" w:rsidRDefault="00B040A6">
      <w:pPr>
        <w:pStyle w:val="FootnoteText"/>
        <w:rPr>
          <w:rFonts w:ascii="Times New Roman" w:hAnsi="Times New Roman" w:cs="Times New Roman"/>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i/>
          <w:iCs/>
        </w:rPr>
        <w:t>Weathering the Storms: Building Social Justice Resilience Against Opposition Attacks</w:t>
      </w:r>
      <w:r w:rsidRPr="00C83BB2">
        <w:rPr>
          <w:rFonts w:ascii="Times New Roman" w:hAnsi="Times New Roman" w:cs="Times New Roman"/>
        </w:rPr>
        <w:t xml:space="preserve"> (2015), RoadMap Consulting, </w:t>
      </w:r>
      <w:hyperlink r:id="rId78" w:history="1">
        <w:r w:rsidRPr="00C83BB2">
          <w:rPr>
            <w:rStyle w:val="Hyperlink"/>
            <w:rFonts w:ascii="Times New Roman" w:eastAsiaTheme="minorHAnsi" w:hAnsi="Times New Roman"/>
            <w:sz w:val="20"/>
            <w:szCs w:val="20"/>
          </w:rPr>
          <w:t>www.roadmapconsulting.org/resource/weathering-the-storm/</w:t>
        </w:r>
      </w:hyperlink>
      <w:r w:rsidRPr="00C83BB2">
        <w:rPr>
          <w:rFonts w:ascii="Times New Roman" w:hAnsi="Times New Roman" w:cs="Times New Roman"/>
        </w:rPr>
        <w:t>.</w:t>
      </w:r>
    </w:p>
  </w:footnote>
  <w:footnote w:id="292">
    <w:p w14:paraId="01C3581D" w14:textId="65A4F8C2" w:rsidR="00B040A6" w:rsidRPr="00C83BB2" w:rsidRDefault="00B040A6">
      <w:pPr>
        <w:pStyle w:val="FootnoteText"/>
        <w:rPr>
          <w:rFonts w:ascii="Times New Roman" w:hAnsi="Times New Roman" w:cs="Times New Roman"/>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Mari Matsuda, </w:t>
      </w:r>
      <w:r w:rsidRPr="00C83BB2">
        <w:rPr>
          <w:rFonts w:ascii="Times New Roman" w:hAnsi="Times New Roman" w:cs="Times New Roman"/>
          <w:i/>
          <w:iCs/>
        </w:rPr>
        <w:t>Beyond, and Not Beyond, Black and White: Deconstruction Has a Politics</w:t>
      </w:r>
      <w:r w:rsidRPr="00C83BB2">
        <w:rPr>
          <w:rFonts w:ascii="Times New Roman" w:hAnsi="Times New Roman" w:cs="Times New Roman"/>
        </w:rPr>
        <w:t xml:space="preserve">, en </w:t>
      </w:r>
      <w:r w:rsidRPr="00C83BB2">
        <w:rPr>
          <w:rFonts w:ascii="Times New Roman" w:hAnsi="Times New Roman" w:cs="Times New Roman"/>
          <w:i/>
          <w:iCs/>
        </w:rPr>
        <w:t>Crossroads, Directions, and a New Critical Race Theory</w:t>
      </w:r>
      <w:r w:rsidRPr="00C83BB2">
        <w:rPr>
          <w:rFonts w:ascii="Times New Roman" w:hAnsi="Times New Roman" w:cs="Times New Roman"/>
        </w:rPr>
        <w:t>, 393–98 (Francisco Valdes, Jerome McCristal Culp y Angela P. Harris, eds., 2002).</w:t>
      </w:r>
    </w:p>
  </w:footnote>
  <w:footnote w:id="293">
    <w:p w14:paraId="266911B4" w14:textId="3D2BE2A6" w:rsidR="00B040A6" w:rsidRPr="00C83BB2" w:rsidRDefault="00B040A6">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Ruth Fassinger y Susan Morrow, </w:t>
      </w:r>
      <w:r w:rsidRPr="00C83BB2">
        <w:rPr>
          <w:rFonts w:ascii="Times New Roman" w:hAnsi="Times New Roman" w:cs="Times New Roman"/>
          <w:i/>
          <w:iCs/>
        </w:rPr>
        <w:t>Toward Best Practices in Quantitative, Qualitative, and Mixed-Method Research: A Social Justice Perspective</w:t>
      </w:r>
      <w:r w:rsidRPr="00C83BB2">
        <w:rPr>
          <w:rFonts w:ascii="Times New Roman" w:hAnsi="Times New Roman" w:cs="Times New Roman"/>
        </w:rPr>
        <w:t>, 5 J. for Soc. Action in Counseling and Psych. 69 (2013).</w:t>
      </w:r>
    </w:p>
  </w:footnote>
  <w:footnote w:id="294">
    <w:p w14:paraId="58E29491" w14:textId="1C5A143B" w:rsidR="00EC798A" w:rsidRPr="00C83BB2" w:rsidRDefault="00EC798A">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Gary Blasi, </w:t>
      </w:r>
      <w:r w:rsidRPr="00C83BB2">
        <w:rPr>
          <w:rFonts w:ascii="Times New Roman" w:hAnsi="Times New Roman" w:cs="Times New Roman"/>
          <w:i/>
          <w:iCs/>
        </w:rPr>
        <w:t>What’s a Theory For?: Notes on Reconstructing Poverty Law Scholarship</w:t>
      </w:r>
      <w:r w:rsidRPr="00C83BB2">
        <w:rPr>
          <w:rFonts w:ascii="Times New Roman" w:hAnsi="Times New Roman" w:cs="Times New Roman"/>
        </w:rPr>
        <w:t xml:space="preserve">, 48 U. Miami L. Rev. 1063, 1063, 1096–97 (1994), </w:t>
      </w:r>
      <w:hyperlink r:id="rId79" w:history="1">
        <w:r w:rsidRPr="00C83BB2">
          <w:rPr>
            <w:rStyle w:val="Hyperlink"/>
            <w:rFonts w:ascii="Times New Roman" w:eastAsiaTheme="minorHAnsi" w:hAnsi="Times New Roman"/>
            <w:sz w:val="20"/>
            <w:szCs w:val="20"/>
          </w:rPr>
          <w:t>https://www.westlaw.com/Document/I797a88415c6411dbbd2dfa5ce1d08a25/View/FullText.html?transitionType=Default&amp;contextData=(sc.Default)&amp;VR=3.0&amp;RS=da3.0&amp;fragmentIdentifier=co_pp_sp_3194_1063%2c+1096</w:t>
        </w:r>
      </w:hyperlink>
      <w:r w:rsidRPr="00C83BB2">
        <w:rPr>
          <w:rFonts w:ascii="Times New Roman" w:hAnsi="Times New Roman" w:cs="Times New Roman"/>
        </w:rPr>
        <w:t>.</w:t>
      </w:r>
    </w:p>
  </w:footnote>
  <w:footnote w:id="295">
    <w:p w14:paraId="2A665E06" w14:textId="0726179A" w:rsidR="00EC798A" w:rsidRPr="00C83BB2" w:rsidRDefault="00EC798A">
      <w:pPr>
        <w:pStyle w:val="FootnoteText"/>
        <w:rPr>
          <w:rFonts w:ascii="Times New Roman" w:hAnsi="Times New Roman" w:cs="Times New Roman"/>
          <w:i/>
          <w:iCs/>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i/>
          <w:iCs/>
          <w:lang w:val="en-US"/>
        </w:rPr>
        <w:t xml:space="preserve">Id. </w:t>
      </w:r>
    </w:p>
  </w:footnote>
  <w:footnote w:id="296">
    <w:p w14:paraId="3E32F5BD" w14:textId="03D9825B" w:rsidR="00613F2C" w:rsidRPr="00C83BB2" w:rsidRDefault="00613F2C">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Martha R. Mahoney, </w:t>
      </w:r>
      <w:r w:rsidRPr="00C83BB2">
        <w:rPr>
          <w:rFonts w:ascii="Times New Roman" w:hAnsi="Times New Roman" w:cs="Times New Roman"/>
          <w:i/>
          <w:iCs/>
        </w:rPr>
        <w:t>What’s Left of Solidarity: Reflections on Law, Race, and Labor History</w:t>
      </w:r>
      <w:r w:rsidRPr="00C83BB2">
        <w:rPr>
          <w:rFonts w:ascii="Times New Roman" w:hAnsi="Times New Roman" w:cs="Times New Roman"/>
        </w:rPr>
        <w:t xml:space="preserve">, 57 Buff. L. Rev. 1515, 1515–16 (2009), </w:t>
      </w:r>
      <w:hyperlink r:id="rId80" w:history="1">
        <w:r w:rsidRPr="00C83BB2">
          <w:rPr>
            <w:rStyle w:val="Hyperlink"/>
            <w:rFonts w:ascii="Times New Roman" w:eastAsiaTheme="minorHAnsi" w:hAnsi="Times New Roman"/>
            <w:sz w:val="20"/>
            <w:szCs w:val="20"/>
          </w:rPr>
          <w:t>https://www.westlaw.com/Document/I764874b1e36711de9b8c850332338889/View/FullText.html?transitionType=Default&amp;contextData=(sc.Default)&amp;VR=3.0&amp;RS=da3.0&amp;fragmentIdentifier=co_pp_sp_1104_1515</w:t>
        </w:r>
      </w:hyperlink>
      <w:r w:rsidRPr="00C83BB2">
        <w:rPr>
          <w:rFonts w:ascii="Times New Roman" w:hAnsi="Times New Roman" w:cs="Times New Roman"/>
        </w:rPr>
        <w:t>.</w:t>
      </w:r>
    </w:p>
  </w:footnote>
  <w:footnote w:id="297">
    <w:p w14:paraId="3747FE45" w14:textId="1623C5D8" w:rsidR="00613F2C" w:rsidRPr="00C83BB2" w:rsidRDefault="00613F2C">
      <w:pPr>
        <w:pStyle w:val="FootnoteText"/>
        <w:rPr>
          <w:rFonts w:ascii="Times New Roman" w:hAnsi="Times New Roman" w:cs="Times New Roman"/>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Richard Delgado y Jean Stefancic, </w:t>
      </w:r>
      <w:r w:rsidRPr="00C83BB2">
        <w:rPr>
          <w:rFonts w:ascii="Times New Roman" w:hAnsi="Times New Roman" w:cs="Times New Roman"/>
          <w:i/>
          <w:iCs/>
        </w:rPr>
        <w:t>Why Do We Ask the Same Questions? The Triple Helix Dilemma Revisited</w:t>
      </w:r>
      <w:r w:rsidRPr="00C83BB2">
        <w:rPr>
          <w:rFonts w:ascii="Times New Roman" w:hAnsi="Times New Roman" w:cs="Times New Roman"/>
        </w:rPr>
        <w:t xml:space="preserve">, 99 Law Libr. J. 307, 319–20, 328 (2007), </w:t>
      </w:r>
      <w:hyperlink r:id="rId81" w:history="1">
        <w:r w:rsidRPr="00C83BB2">
          <w:rPr>
            <w:rStyle w:val="Hyperlink"/>
            <w:rFonts w:ascii="Times New Roman" w:eastAsiaTheme="minorHAnsi" w:hAnsi="Times New Roman"/>
            <w:sz w:val="20"/>
            <w:szCs w:val="20"/>
          </w:rPr>
          <w:t>https://www.westlaw.com/Document/Ibf9c0ff10a1111dc8685db793b4c52aa/View/FullText.html?transitionType=Default&amp;contextData=(sc.Default)&amp;VR=3.0&amp;RS=da3.0&amp;fragmentIdentifier=co_pp_sp_100332_319</w:t>
        </w:r>
      </w:hyperlink>
      <w:r w:rsidRPr="00C83BB2">
        <w:rPr>
          <w:rFonts w:ascii="Times New Roman" w:hAnsi="Times New Roman" w:cs="Times New Roman"/>
        </w:rPr>
        <w:t>.</w:t>
      </w:r>
    </w:p>
  </w:footnote>
  <w:footnote w:id="298">
    <w:p w14:paraId="06552BA0" w14:textId="5BB52993" w:rsidR="00511183" w:rsidRPr="00C83BB2" w:rsidRDefault="00511183">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Richard Delgado y Jean Stefancic, </w:t>
      </w:r>
      <w:r w:rsidRPr="00C83BB2">
        <w:rPr>
          <w:rFonts w:ascii="Times New Roman" w:hAnsi="Times New Roman" w:cs="Times New Roman"/>
          <w:i/>
          <w:iCs/>
        </w:rPr>
        <w:t>Why Do We Tell the Same Stories? Law Reform, Critical Librarianship, and the Triple Helix Dilemma</w:t>
      </w:r>
      <w:r w:rsidRPr="00C83BB2">
        <w:rPr>
          <w:rFonts w:ascii="Times New Roman" w:hAnsi="Times New Roman" w:cs="Times New Roman"/>
        </w:rPr>
        <w:t xml:space="preserve">, 42 Stan. L. Rev. 207, 222 (1989), </w:t>
      </w:r>
      <w:hyperlink r:id="rId82" w:history="1">
        <w:r w:rsidRPr="00C83BB2">
          <w:rPr>
            <w:rStyle w:val="Hyperlink"/>
            <w:rFonts w:ascii="Times New Roman" w:eastAsiaTheme="minorHAnsi" w:hAnsi="Times New Roman"/>
            <w:sz w:val="20"/>
            <w:szCs w:val="20"/>
          </w:rPr>
          <w:t>https://www.westlaw.com/Document/I154eb5b14a5f11dba16d88fb847e95e5/View/FullText.html?transitionType=Default&amp;contextData=(sc.Default)&amp;VR=3.0&amp;RS=da3.0&amp;fragmentIdentifier=co_pp_sp_1239_222</w:t>
        </w:r>
      </w:hyperlink>
      <w:r w:rsidRPr="00C83BB2">
        <w:rPr>
          <w:rFonts w:ascii="Times New Roman" w:hAnsi="Times New Roman" w:cs="Times New Roman"/>
        </w:rPr>
        <w:t>.</w:t>
      </w:r>
    </w:p>
  </w:footnote>
  <w:footnote w:id="299">
    <w:p w14:paraId="3360BD9F" w14:textId="21575AE0" w:rsidR="00511183" w:rsidRPr="00C83BB2" w:rsidRDefault="00511183">
      <w:pPr>
        <w:pStyle w:val="FootnoteText"/>
        <w:rPr>
          <w:rFonts w:ascii="Times New Roman" w:hAnsi="Times New Roman" w:cs="Times New Roman"/>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Fran Ansley y John Gaventa, </w:t>
      </w:r>
      <w:r w:rsidRPr="00C83BB2">
        <w:rPr>
          <w:rFonts w:ascii="Times New Roman" w:hAnsi="Times New Roman" w:cs="Times New Roman"/>
          <w:i/>
          <w:iCs/>
        </w:rPr>
        <w:t>Researching for Democracy and Democratizing Research</w:t>
      </w:r>
      <w:r w:rsidRPr="00C83BB2">
        <w:rPr>
          <w:rFonts w:ascii="Times New Roman" w:hAnsi="Times New Roman" w:cs="Times New Roman"/>
        </w:rPr>
        <w:t>, 29 Change 46, 46 (enero-febrero de 1997).</w:t>
      </w:r>
    </w:p>
  </w:footnote>
  <w:footnote w:id="300">
    <w:p w14:paraId="133CD6B8" w14:textId="3007C1A2" w:rsidR="003F6312" w:rsidRPr="00C83BB2" w:rsidRDefault="003F6312">
      <w:pPr>
        <w:pStyle w:val="FootnoteText"/>
        <w:rPr>
          <w:rFonts w:ascii="Times New Roman" w:hAnsi="Times New Roman" w:cs="Times New Roman"/>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Anneliese A. Singh, Kate Richmond y Theodore R. Burnes, </w:t>
      </w:r>
      <w:r w:rsidRPr="00C83BB2">
        <w:rPr>
          <w:rFonts w:ascii="Times New Roman" w:hAnsi="Times New Roman" w:cs="Times New Roman"/>
          <w:i/>
          <w:iCs/>
        </w:rPr>
        <w:t>Feminist Participatory Action Research with Transgender Communities: Fostering the Practice of Ethical and Empowering Research Designs</w:t>
      </w:r>
      <w:r w:rsidRPr="00C83BB2">
        <w:rPr>
          <w:rFonts w:ascii="Times New Roman" w:hAnsi="Times New Roman" w:cs="Times New Roman"/>
        </w:rPr>
        <w:t>, 14 Int’l J. of Transgenderism 93, 97 (2013).</w:t>
      </w:r>
    </w:p>
  </w:footnote>
  <w:footnote w:id="301">
    <w:p w14:paraId="5DF32A3B" w14:textId="69BA6D80" w:rsidR="00B30F74" w:rsidRPr="00C83BB2" w:rsidRDefault="00B30F74">
      <w:pPr>
        <w:pStyle w:val="FootnoteText"/>
        <w:rPr>
          <w:rFonts w:ascii="Times New Roman" w:hAnsi="Times New Roman" w:cs="Times New Roman"/>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David M. Trubek y John Esser, </w:t>
      </w:r>
      <w:r w:rsidRPr="00C83BB2">
        <w:rPr>
          <w:rFonts w:ascii="Times New Roman" w:hAnsi="Times New Roman" w:cs="Times New Roman"/>
          <w:i/>
          <w:iCs/>
        </w:rPr>
        <w:t>“Critical Empiricism” and American Critical Legal Studies: Paradox, Program, or Pandora’s Box</w:t>
      </w:r>
      <w:r w:rsidRPr="00C83BB2">
        <w:rPr>
          <w:rFonts w:ascii="Times New Roman" w:hAnsi="Times New Roman" w:cs="Times New Roman"/>
        </w:rPr>
        <w:t xml:space="preserve">, 12 German L.J. 115 (2011), </w:t>
      </w:r>
      <w:hyperlink r:id="rId83" w:history="1">
        <w:r w:rsidRPr="00C83BB2">
          <w:rPr>
            <w:rStyle w:val="Hyperlink"/>
            <w:rFonts w:ascii="Times New Roman" w:eastAsiaTheme="minorHAnsi" w:hAnsi="Times New Roman"/>
            <w:sz w:val="20"/>
            <w:szCs w:val="20"/>
          </w:rPr>
          <w:t>https://www.westlaw.com/Document/I7673bc1b351011e08b05fdf15589d8e8/View/FullText.html?transitionType=Default&amp;contextData=(sc.Default)&amp;VR=3.0&amp;RS=da3.0</w:t>
        </w:r>
      </w:hyperlink>
      <w:r w:rsidRPr="00C83BB2">
        <w:rPr>
          <w:rFonts w:ascii="Times New Roman" w:hAnsi="Times New Roman" w:cs="Times New Roman"/>
        </w:rPr>
        <w:t>.</w:t>
      </w:r>
    </w:p>
  </w:footnote>
  <w:footnote w:id="302">
    <w:p w14:paraId="77BFCEFC" w14:textId="77777777" w:rsidR="00B30F74" w:rsidRPr="00C83BB2" w:rsidRDefault="00B30F74" w:rsidP="00B30F74">
      <w:pPr>
        <w:pStyle w:val="FootnoteText"/>
        <w:rPr>
          <w:rFonts w:ascii="Times New Roman" w:hAnsi="Times New Roman" w:cs="Times New Roman"/>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William C. Whitford, </w:t>
      </w:r>
      <w:r w:rsidRPr="00C83BB2">
        <w:rPr>
          <w:rFonts w:ascii="Times New Roman" w:hAnsi="Times New Roman" w:cs="Times New Roman"/>
          <w:i/>
          <w:iCs/>
        </w:rPr>
        <w:t>Critical Empiricism: A Comment on David M. Trubek &amp; John Esser, Gerd Winter &amp; Volkmar Gessner</w:t>
      </w:r>
      <w:r w:rsidRPr="00C83BB2">
        <w:rPr>
          <w:rFonts w:ascii="Times New Roman" w:hAnsi="Times New Roman" w:cs="Times New Roman"/>
        </w:rPr>
        <w:t xml:space="preserve">, 12 German L.J. 179 (2011), </w:t>
      </w:r>
      <w:hyperlink r:id="rId84" w:history="1">
        <w:r w:rsidRPr="00C83BB2">
          <w:rPr>
            <w:rStyle w:val="Hyperlink"/>
            <w:rFonts w:ascii="Times New Roman" w:eastAsiaTheme="minorHAnsi" w:hAnsi="Times New Roman"/>
            <w:sz w:val="20"/>
            <w:szCs w:val="20"/>
          </w:rPr>
          <w:t>https://www.westlaw.com/Document/I7673bc21351011e08b05fdf15589d8e8/View/FullText.html?transitionType=Default&amp;contextData=(sc.Default)&amp;VR=3.0&amp;RS=da3.0</w:t>
        </w:r>
      </w:hyperlink>
      <w:r w:rsidRPr="00C83BB2">
        <w:rPr>
          <w:rFonts w:ascii="Times New Roman" w:hAnsi="Times New Roman" w:cs="Times New Roman"/>
        </w:rPr>
        <w:t>.</w:t>
      </w:r>
    </w:p>
    <w:p w14:paraId="12BF4CA6" w14:textId="1474909C" w:rsidR="00B30F74" w:rsidRPr="00C83BB2" w:rsidRDefault="00B30F74">
      <w:pPr>
        <w:pStyle w:val="FootnoteText"/>
        <w:rPr>
          <w:rFonts w:ascii="Times New Roman" w:hAnsi="Times New Roman" w:cs="Times New Roman"/>
        </w:rPr>
      </w:pPr>
    </w:p>
  </w:footnote>
  <w:footnote w:id="303">
    <w:p w14:paraId="7321E12E" w14:textId="77777777" w:rsidR="00B30F74" w:rsidRPr="00C83BB2" w:rsidRDefault="00B30F74" w:rsidP="00B30F74">
      <w:pPr>
        <w:pStyle w:val="FootnoteText"/>
        <w:rPr>
          <w:rFonts w:ascii="Times New Roman" w:hAnsi="Times New Roman" w:cs="Times New Roman"/>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Véase Ian Ayres, </w:t>
      </w:r>
      <w:r w:rsidRPr="00C83BB2">
        <w:rPr>
          <w:rFonts w:ascii="Times New Roman" w:hAnsi="Times New Roman" w:cs="Times New Roman"/>
          <w:i/>
          <w:iCs/>
        </w:rPr>
        <w:t>Fair Driving: Gender and Race Discrimination in Retail Car Negotiations</w:t>
      </w:r>
      <w:r w:rsidRPr="00C83BB2">
        <w:rPr>
          <w:rFonts w:ascii="Times New Roman" w:hAnsi="Times New Roman" w:cs="Times New Roman"/>
        </w:rPr>
        <w:t>, 104 Harv. L. Rev. 817 (1991).</w:t>
      </w:r>
    </w:p>
    <w:p w14:paraId="7561D5F8" w14:textId="75C88716" w:rsidR="00B30F74" w:rsidRPr="00C83BB2" w:rsidRDefault="00B30F74">
      <w:pPr>
        <w:pStyle w:val="FootnoteText"/>
        <w:rPr>
          <w:rFonts w:ascii="Times New Roman" w:hAnsi="Times New Roman" w:cs="Times New Roman"/>
        </w:rPr>
      </w:pPr>
    </w:p>
  </w:footnote>
  <w:footnote w:id="304">
    <w:p w14:paraId="70129070" w14:textId="7BD08298" w:rsidR="00B30F74" w:rsidRPr="00C83BB2" w:rsidRDefault="00B30F74">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Donna Coker, </w:t>
      </w:r>
      <w:r w:rsidRPr="00C83BB2">
        <w:rPr>
          <w:rFonts w:ascii="Times New Roman" w:hAnsi="Times New Roman" w:cs="Times New Roman"/>
          <w:i/>
          <w:iCs/>
        </w:rPr>
        <w:t>Shifting Power for Battered Women: Law, Material Resources and Poor Women of Color</w:t>
      </w:r>
      <w:r w:rsidRPr="00C83BB2">
        <w:rPr>
          <w:rFonts w:ascii="Times New Roman" w:hAnsi="Times New Roman" w:cs="Times New Roman"/>
        </w:rPr>
        <w:t xml:space="preserve">, 33 U.C. Davis L. Rev. 1009, 1010, 1012, 1055 (2000), </w:t>
      </w:r>
      <w:hyperlink r:id="rId85" w:history="1">
        <w:r w:rsidRPr="00C83BB2">
          <w:rPr>
            <w:rStyle w:val="Hyperlink"/>
            <w:rFonts w:ascii="Times New Roman" w:eastAsiaTheme="minorHAnsi" w:hAnsi="Times New Roman"/>
            <w:sz w:val="20"/>
            <w:szCs w:val="20"/>
          </w:rPr>
          <w:t>https://www.westlaw.com/Document/I293118614b2811db99a18fc28eb0d9ae/View/FullText.html?transitionType=Default&amp;contextData=(sc.Default)&amp;VR=3.0&amp;RS=da3.0&amp;fragmentIdentifier=co_pp_sp_2779_1010%2c+1012%2c+1055</w:t>
        </w:r>
      </w:hyperlink>
      <w:r w:rsidRPr="00C83BB2">
        <w:rPr>
          <w:rFonts w:ascii="Times New Roman" w:hAnsi="Times New Roman" w:cs="Times New Roman"/>
        </w:rPr>
        <w:t>.</w:t>
      </w:r>
    </w:p>
  </w:footnote>
  <w:footnote w:id="305">
    <w:p w14:paraId="183277A3" w14:textId="081DF0D0" w:rsidR="008B3576" w:rsidRPr="00C83BB2" w:rsidRDefault="008B3576">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Mario Barnes, </w:t>
      </w:r>
      <w:r w:rsidRPr="00C83BB2">
        <w:rPr>
          <w:rFonts w:ascii="Times New Roman" w:hAnsi="Times New Roman" w:cs="Times New Roman"/>
          <w:i/>
          <w:iCs/>
        </w:rPr>
        <w:t>Black Women’s Stories and the Criminal Law: Restating the Power of Narrative</w:t>
      </w:r>
      <w:r w:rsidRPr="00C83BB2">
        <w:rPr>
          <w:rFonts w:ascii="Times New Roman" w:hAnsi="Times New Roman" w:cs="Times New Roman"/>
        </w:rPr>
        <w:t>, 39 U.C. Davis L. Rev. 941, 943 (2006).</w:t>
      </w:r>
    </w:p>
  </w:footnote>
  <w:footnote w:id="306">
    <w:p w14:paraId="67418CF6" w14:textId="6254FC9E" w:rsidR="008B3576" w:rsidRPr="00C83BB2" w:rsidRDefault="008B3576">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i/>
          <w:iCs/>
        </w:rPr>
        <w:t>Id.</w:t>
      </w:r>
      <w:r w:rsidRPr="00C83BB2">
        <w:rPr>
          <w:rFonts w:ascii="Times New Roman" w:hAnsi="Times New Roman" w:cs="Times New Roman"/>
        </w:rPr>
        <w:t xml:space="preserve"> en 943, 958.</w:t>
      </w:r>
    </w:p>
  </w:footnote>
  <w:footnote w:id="307">
    <w:p w14:paraId="69321B7A" w14:textId="5E1C2771" w:rsidR="008B3576" w:rsidRPr="00C83BB2" w:rsidRDefault="008B3576">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George Martínez, </w:t>
      </w:r>
      <w:r w:rsidRPr="00C83BB2">
        <w:rPr>
          <w:rFonts w:ascii="Times New Roman" w:hAnsi="Times New Roman" w:cs="Times New Roman"/>
          <w:i/>
          <w:iCs/>
        </w:rPr>
        <w:t>Philosophical Considerations and the Use of Narrative in Law</w:t>
      </w:r>
      <w:r w:rsidRPr="00C83BB2">
        <w:rPr>
          <w:rFonts w:ascii="Times New Roman" w:hAnsi="Times New Roman" w:cs="Times New Roman"/>
        </w:rPr>
        <w:t>, 30 Rutgers L.J. 683, 687 (1999).</w:t>
      </w:r>
    </w:p>
  </w:footnote>
  <w:footnote w:id="308">
    <w:p w14:paraId="17CB69BB" w14:textId="355BAA40" w:rsidR="008B3576" w:rsidRPr="00C83BB2" w:rsidRDefault="008B3576">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Daniella Ann Cook y Adrienne D. Dixson, </w:t>
      </w:r>
      <w:r w:rsidRPr="00C83BB2">
        <w:rPr>
          <w:rFonts w:ascii="Times New Roman" w:hAnsi="Times New Roman" w:cs="Times New Roman"/>
          <w:i/>
          <w:iCs/>
        </w:rPr>
        <w:t>Writing Critical Race Theory and Method: A Composite Counterstory on the Experiences of Black Teachers in New Orleans Post-Katrina</w:t>
      </w:r>
      <w:r w:rsidRPr="00C83BB2">
        <w:rPr>
          <w:rFonts w:ascii="Times New Roman" w:hAnsi="Times New Roman" w:cs="Times New Roman"/>
        </w:rPr>
        <w:t>, 26 Int’l J. of Qualitative Studies in Educ. 1238 (2013).</w:t>
      </w:r>
    </w:p>
  </w:footnote>
  <w:footnote w:id="309">
    <w:p w14:paraId="30E27478" w14:textId="4ECA95D4" w:rsidR="00787F41" w:rsidRPr="00C83BB2" w:rsidRDefault="00787F41">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Marc-Tizoc González, </w:t>
      </w:r>
      <w:r w:rsidRPr="00C83BB2">
        <w:rPr>
          <w:rFonts w:ascii="Times New Roman" w:hAnsi="Times New Roman" w:cs="Times New Roman"/>
          <w:i/>
          <w:iCs/>
        </w:rPr>
        <w:t>Critical Ethnic Legal Histories: Unearthing the Interracial Justice of Filipino American Agricultural Labor Organizing</w:t>
      </w:r>
      <w:r w:rsidRPr="00C83BB2">
        <w:rPr>
          <w:rFonts w:ascii="Times New Roman" w:hAnsi="Times New Roman" w:cs="Times New Roman"/>
        </w:rPr>
        <w:t>, 3 UC Irvine L. Rev. 991 (2013).</w:t>
      </w:r>
    </w:p>
  </w:footnote>
  <w:footnote w:id="310">
    <w:p w14:paraId="3C47B253" w14:textId="49B42D79" w:rsidR="00787F41" w:rsidRPr="00C83BB2" w:rsidRDefault="00787F41">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Véase, por ejemplo, Daniel A. Farber y Suzanna Sherry, </w:t>
      </w:r>
      <w:r w:rsidRPr="00C83BB2">
        <w:rPr>
          <w:rFonts w:ascii="Times New Roman" w:hAnsi="Times New Roman" w:cs="Times New Roman"/>
          <w:i/>
          <w:iCs/>
        </w:rPr>
        <w:t>Beyond All Reason: The Radical Assault on Truth in American Law</w:t>
      </w:r>
      <w:r w:rsidRPr="00C83BB2">
        <w:rPr>
          <w:rFonts w:ascii="Times New Roman" w:hAnsi="Times New Roman" w:cs="Times New Roman"/>
        </w:rPr>
        <w:t xml:space="preserve"> 78 (1997).</w:t>
      </w:r>
    </w:p>
  </w:footnote>
  <w:footnote w:id="311">
    <w:p w14:paraId="6B069ACA" w14:textId="0402A8BE" w:rsidR="00787F41" w:rsidRPr="00C83BB2" w:rsidRDefault="00787F41">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Linda H. Edwards, </w:t>
      </w:r>
      <w:r w:rsidRPr="00C83BB2">
        <w:rPr>
          <w:rFonts w:ascii="Times New Roman" w:hAnsi="Times New Roman" w:cs="Times New Roman"/>
          <w:i/>
          <w:iCs/>
        </w:rPr>
        <w:t>Where Do the Prophets Stand? Hamdi, Myth, and the Master’s Tools</w:t>
      </w:r>
      <w:r w:rsidRPr="00C83BB2">
        <w:rPr>
          <w:rFonts w:ascii="Times New Roman" w:hAnsi="Times New Roman" w:cs="Times New Roman"/>
        </w:rPr>
        <w:t>, 13 Conn. Pub. Int. L.J. 43, 51, 66 (2013).</w:t>
      </w:r>
    </w:p>
  </w:footnote>
  <w:footnote w:id="312">
    <w:p w14:paraId="241CA745" w14:textId="0F424F87" w:rsidR="00400247" w:rsidRPr="00C83BB2" w:rsidRDefault="00400247">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Elizabeth A. Mosley, Cortney K. Bouse y Kelli Stidham Hall, </w:t>
      </w:r>
      <w:r w:rsidRPr="00C83BB2">
        <w:rPr>
          <w:rFonts w:ascii="Times New Roman" w:hAnsi="Times New Roman" w:cs="Times New Roman"/>
          <w:i/>
          <w:iCs/>
        </w:rPr>
        <w:t>Water, Human Rights, and Reproductive Justice: Implications for Women in Detroit and Monrovia</w:t>
      </w:r>
      <w:r w:rsidRPr="00C83BB2">
        <w:rPr>
          <w:rFonts w:ascii="Times New Roman" w:hAnsi="Times New Roman" w:cs="Times New Roman"/>
        </w:rPr>
        <w:t>, 8 Environmental Just. 78 (2015).</w:t>
      </w:r>
    </w:p>
  </w:footnote>
  <w:footnote w:id="313">
    <w:p w14:paraId="695317AA" w14:textId="6F6A3C0D" w:rsidR="004936E4" w:rsidRPr="00C83BB2" w:rsidRDefault="004936E4">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Asli U. Bali y Aziz Rana, </w:t>
      </w:r>
      <w:r w:rsidRPr="00C83BB2">
        <w:rPr>
          <w:rFonts w:ascii="Times New Roman" w:hAnsi="Times New Roman" w:cs="Times New Roman"/>
          <w:i/>
          <w:iCs/>
        </w:rPr>
        <w:t>Pax Arabica?: Provisional Sovereignty and Intervention in the Arab Uprisings</w:t>
      </w:r>
      <w:r w:rsidRPr="00C83BB2">
        <w:rPr>
          <w:rFonts w:ascii="Times New Roman" w:hAnsi="Times New Roman" w:cs="Times New Roman"/>
        </w:rPr>
        <w:t>, 42 Cal. W. Int’l. L.J. 321, 347–48 (2012).</w:t>
      </w:r>
    </w:p>
  </w:footnote>
  <w:footnote w:id="314">
    <w:p w14:paraId="638E4DBD" w14:textId="20209DC5" w:rsidR="004936E4" w:rsidRPr="00C83BB2" w:rsidRDefault="004936E4">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i/>
          <w:iCs/>
        </w:rPr>
        <w:t>Say Their Names</w:t>
      </w:r>
      <w:r w:rsidRPr="00C83BB2">
        <w:rPr>
          <w:rFonts w:ascii="Times New Roman" w:hAnsi="Times New Roman" w:cs="Times New Roman"/>
        </w:rPr>
        <w:t xml:space="preserve">, </w:t>
      </w:r>
      <w:hyperlink r:id="rId86" w:history="1">
        <w:r w:rsidRPr="00C83BB2">
          <w:rPr>
            <w:rStyle w:val="Hyperlink"/>
            <w:rFonts w:ascii="Times New Roman" w:eastAsiaTheme="minorHAnsi" w:hAnsi="Times New Roman"/>
            <w:sz w:val="20"/>
            <w:szCs w:val="20"/>
          </w:rPr>
          <w:t>www.saytheirnames.io</w:t>
        </w:r>
      </w:hyperlink>
      <w:r w:rsidRPr="00C83BB2">
        <w:rPr>
          <w:rFonts w:ascii="Times New Roman" w:hAnsi="Times New Roman" w:cs="Times New Roman"/>
        </w:rPr>
        <w:t xml:space="preserve">; </w:t>
      </w:r>
      <w:r w:rsidRPr="00C83BB2">
        <w:rPr>
          <w:rFonts w:ascii="Times New Roman" w:hAnsi="Times New Roman" w:cs="Times New Roman"/>
          <w:i/>
          <w:iCs/>
        </w:rPr>
        <w:t>Say Every Name</w:t>
      </w:r>
      <w:r w:rsidRPr="00C83BB2">
        <w:rPr>
          <w:rFonts w:ascii="Times New Roman" w:hAnsi="Times New Roman" w:cs="Times New Roman"/>
        </w:rPr>
        <w:t xml:space="preserve">, </w:t>
      </w:r>
      <w:hyperlink r:id="rId87" w:history="1">
        <w:r w:rsidRPr="00C83BB2">
          <w:rPr>
            <w:rStyle w:val="Hyperlink"/>
            <w:rFonts w:ascii="Times New Roman" w:eastAsiaTheme="minorHAnsi" w:hAnsi="Times New Roman"/>
            <w:sz w:val="20"/>
            <w:szCs w:val="20"/>
          </w:rPr>
          <w:t>www.sayevery.name</w:t>
        </w:r>
      </w:hyperlink>
      <w:r w:rsidRPr="00C83BB2">
        <w:rPr>
          <w:rFonts w:ascii="Times New Roman" w:hAnsi="Times New Roman" w:cs="Times New Roman"/>
        </w:rPr>
        <w:t xml:space="preserve">; DCP Entertainment, </w:t>
      </w:r>
      <w:r w:rsidRPr="00C83BB2">
        <w:rPr>
          <w:rFonts w:ascii="Times New Roman" w:hAnsi="Times New Roman" w:cs="Times New Roman"/>
          <w:i/>
          <w:iCs/>
        </w:rPr>
        <w:t>Say Their Name</w:t>
      </w:r>
      <w:r w:rsidRPr="00C83BB2">
        <w:rPr>
          <w:rFonts w:ascii="Times New Roman" w:hAnsi="Times New Roman" w:cs="Times New Roman"/>
        </w:rPr>
        <w:t xml:space="preserve"> podcast, </w:t>
      </w:r>
      <w:hyperlink r:id="rId88" w:history="1">
        <w:r w:rsidRPr="00C83BB2">
          <w:rPr>
            <w:rStyle w:val="Hyperlink"/>
            <w:rFonts w:ascii="Times New Roman" w:eastAsiaTheme="minorHAnsi" w:hAnsi="Times New Roman"/>
            <w:sz w:val="20"/>
            <w:szCs w:val="20"/>
          </w:rPr>
          <w:t>www.prnewswire.com/news-releases/dcp-entertainment-launches-say-their-name-a-podcast-series-memorializing-black-people-who-have-been-assaulted-or-killed-by-police-301111617.html</w:t>
        </w:r>
      </w:hyperlink>
      <w:r w:rsidRPr="00C83BB2">
        <w:rPr>
          <w:rFonts w:ascii="Times New Roman" w:hAnsi="Times New Roman" w:cs="Times New Roman"/>
        </w:rPr>
        <w:t>.</w:t>
      </w:r>
    </w:p>
  </w:footnote>
  <w:footnote w:id="315">
    <w:p w14:paraId="3B93AE10" w14:textId="7B6485F2" w:rsidR="004936E4" w:rsidRPr="00C83BB2" w:rsidRDefault="004936E4">
      <w:pPr>
        <w:pStyle w:val="FootnoteText"/>
        <w:rPr>
          <w:rFonts w:ascii="Times New Roman" w:hAnsi="Times New Roman" w:cs="Times New Roman"/>
          <w:lang w:val="es-PR"/>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Marley S. Weiss, </w:t>
      </w:r>
      <w:r w:rsidRPr="00C83BB2">
        <w:rPr>
          <w:rFonts w:ascii="Times New Roman" w:hAnsi="Times New Roman" w:cs="Times New Roman"/>
          <w:i/>
          <w:iCs/>
        </w:rPr>
        <w:t>Human Trafficking and Forced Labor: A Primer</w:t>
      </w:r>
      <w:r w:rsidRPr="00C83BB2">
        <w:rPr>
          <w:rFonts w:ascii="Times New Roman" w:hAnsi="Times New Roman" w:cs="Times New Roman"/>
        </w:rPr>
        <w:t xml:space="preserve">, 31 ABA J. of Lab. &amp; Empl. L. 1, 27–28 (2015). Véase también </w:t>
      </w:r>
      <w:r w:rsidRPr="00C83BB2">
        <w:rPr>
          <w:rFonts w:ascii="Times New Roman" w:hAnsi="Times New Roman" w:cs="Times New Roman"/>
          <w:i/>
          <w:iCs/>
        </w:rPr>
        <w:t>Contratados</w:t>
      </w:r>
      <w:r w:rsidRPr="00C83BB2">
        <w:rPr>
          <w:rFonts w:ascii="Times New Roman" w:hAnsi="Times New Roman" w:cs="Times New Roman"/>
        </w:rPr>
        <w:t xml:space="preserve">, Centro de Los Derechos Del Migrante, Inc., </w:t>
      </w:r>
      <w:hyperlink r:id="rId89" w:history="1">
        <w:r w:rsidRPr="00C83BB2">
          <w:rPr>
            <w:rStyle w:val="Hyperlink"/>
            <w:rFonts w:ascii="Times New Roman" w:eastAsiaTheme="minorHAnsi" w:hAnsi="Times New Roman"/>
            <w:sz w:val="20"/>
            <w:szCs w:val="20"/>
          </w:rPr>
          <w:t>https://contratados.org</w:t>
        </w:r>
      </w:hyperlink>
      <w:r w:rsidRPr="00C83BB2">
        <w:rPr>
          <w:rFonts w:ascii="Times New Roman" w:hAnsi="Times New Roman" w:cs="Times New Roman"/>
        </w:rPr>
        <w:t xml:space="preserve">. Bassina Farbenblum y Justine Nolan, </w:t>
      </w:r>
      <w:r w:rsidRPr="00C83BB2">
        <w:rPr>
          <w:rFonts w:ascii="Times New Roman" w:hAnsi="Times New Roman" w:cs="Times New Roman"/>
          <w:i/>
          <w:iCs/>
        </w:rPr>
        <w:t>The Business of Migrant Worker Recruitment: Who Has the Responsibility and Leverage to Protect Rights?</w:t>
      </w:r>
      <w:r w:rsidRPr="00C83BB2">
        <w:rPr>
          <w:rFonts w:ascii="Times New Roman" w:hAnsi="Times New Roman" w:cs="Times New Roman"/>
        </w:rPr>
        <w:t>, 52 Tex. Int’l L.J. 1, 36 (2017) (explica que el sistema Contratados “permite a les trabajadores migrantes calificar su experiencia con reclutadores o empleadores en línea, mediante correo de voz o por mensaje de texto”).</w:t>
      </w:r>
    </w:p>
  </w:footnote>
  <w:footnote w:id="316">
    <w:p w14:paraId="6112D1EE" w14:textId="47DF1DA9" w:rsidR="00B36A2A" w:rsidRPr="00C83BB2" w:rsidRDefault="00B36A2A">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Francesca Polletta, </w:t>
      </w:r>
      <w:r w:rsidRPr="00C83BB2">
        <w:rPr>
          <w:rFonts w:ascii="Times New Roman" w:hAnsi="Times New Roman" w:cs="Times New Roman"/>
          <w:i/>
          <w:iCs/>
        </w:rPr>
        <w:t>Three Mechanisms by Which Culture Shapes Movement Strategy: Repertoires, Institutional Norms, and Metonymy</w:t>
      </w:r>
      <w:r w:rsidRPr="00C83BB2">
        <w:rPr>
          <w:rFonts w:ascii="Times New Roman" w:hAnsi="Times New Roman" w:cs="Times New Roman"/>
        </w:rPr>
        <w:t xml:space="preserve">, en </w:t>
      </w:r>
      <w:r w:rsidRPr="00C83BB2">
        <w:rPr>
          <w:rFonts w:ascii="Times New Roman" w:hAnsi="Times New Roman" w:cs="Times New Roman"/>
          <w:i/>
          <w:iCs/>
        </w:rPr>
        <w:t>Strategies for Social Change</w:t>
      </w:r>
      <w:r w:rsidRPr="00C83BB2">
        <w:rPr>
          <w:rFonts w:ascii="Times New Roman" w:hAnsi="Times New Roman" w:cs="Times New Roman"/>
        </w:rPr>
        <w:t xml:space="preserve"> 43, 54 (Gregory M. Maney et al., eds., 2012).</w:t>
      </w:r>
    </w:p>
  </w:footnote>
  <w:footnote w:id="317">
    <w:p w14:paraId="1DEC853F" w14:textId="1E837444" w:rsidR="00B36A2A" w:rsidRPr="00C83BB2" w:rsidRDefault="00B36A2A">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Véase Simone Browne, </w:t>
      </w:r>
      <w:r w:rsidRPr="00C83BB2">
        <w:rPr>
          <w:rStyle w:val="Emphasis"/>
          <w:rFonts w:ascii="Times New Roman" w:hAnsi="Times New Roman" w:cs="Times New Roman"/>
        </w:rPr>
        <w:t>Dark Matters: On the Surveillance of Blackness</w:t>
      </w:r>
      <w:r w:rsidRPr="00C83BB2">
        <w:rPr>
          <w:rFonts w:ascii="Times New Roman" w:hAnsi="Times New Roman" w:cs="Times New Roman"/>
        </w:rPr>
        <w:t xml:space="preserve"> (2015); Trina Jones, </w:t>
      </w:r>
      <w:r w:rsidRPr="00C83BB2">
        <w:rPr>
          <w:rStyle w:val="Emphasis"/>
          <w:rFonts w:ascii="Times New Roman" w:hAnsi="Times New Roman" w:cs="Times New Roman"/>
        </w:rPr>
        <w:t>Shades of Brown: The Law of Skin Color</w:t>
      </w:r>
      <w:r w:rsidRPr="00C83BB2">
        <w:rPr>
          <w:rFonts w:ascii="Times New Roman" w:hAnsi="Times New Roman" w:cs="Times New Roman"/>
        </w:rPr>
        <w:t>, 49 Duke L.J. 1487 (2000).</w:t>
      </w:r>
    </w:p>
  </w:footnote>
  <w:footnote w:id="318">
    <w:p w14:paraId="47EF9675" w14:textId="57DDC390" w:rsidR="00A634FC" w:rsidRPr="00C83BB2" w:rsidRDefault="00A634FC">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Muthee Thuku, </w:t>
      </w:r>
      <w:r w:rsidRPr="00C83BB2">
        <w:rPr>
          <w:rFonts w:ascii="Times New Roman" w:hAnsi="Times New Roman" w:cs="Times New Roman"/>
          <w:i/>
          <w:iCs/>
        </w:rPr>
        <w:t>Mapping for Human Rights</w:t>
      </w:r>
      <w:r w:rsidRPr="00C83BB2">
        <w:rPr>
          <w:rFonts w:ascii="Times New Roman" w:hAnsi="Times New Roman" w:cs="Times New Roman"/>
        </w:rPr>
        <w:t xml:space="preserve">, Amnesty International 1 </w:t>
      </w:r>
      <w:r w:rsidRPr="00C83BB2">
        <w:rPr>
          <w:rFonts w:ascii="Times New Roman" w:hAnsi="Times New Roman" w:cs="Times New Roman"/>
        </w:rPr>
        <w:t xml:space="preserve">(2017), </w:t>
      </w:r>
      <w:r w:rsidRPr="00C83BB2">
        <w:rPr>
          <w:rFonts w:ascii="Times New Roman" w:hAnsi="Times New Roman" w:cs="Times New Roman"/>
        </w:rPr>
        <w:fldChar w:fldCharType="begin"/>
      </w:r>
      <w:r w:rsidRPr="00C83BB2">
        <w:rPr>
          <w:rFonts w:ascii="Times New Roman" w:hAnsi="Times New Roman" w:cs="Times New Roman"/>
        </w:rPr>
        <w:instrText>HYPERLINK "http://www.amnesty.nl/content/uploads/2017/01/mapping_for_human_rights.pdf?x54531"</w:instrText>
      </w:r>
      <w:r w:rsidRPr="00C83BB2">
        <w:rPr>
          <w:rFonts w:ascii="Times New Roman" w:hAnsi="Times New Roman" w:cs="Times New Roman"/>
        </w:rPr>
      </w:r>
      <w:r w:rsidRPr="00C83BB2">
        <w:rPr>
          <w:rFonts w:ascii="Times New Roman" w:hAnsi="Times New Roman" w:cs="Times New Roman"/>
        </w:rPr>
        <w:fldChar w:fldCharType="separate"/>
      </w:r>
      <w:r w:rsidRPr="00C83BB2">
        <w:rPr>
          <w:rStyle w:val="Hyperlink"/>
          <w:rFonts w:ascii="Times New Roman" w:eastAsiaTheme="minorHAnsi" w:hAnsi="Times New Roman"/>
          <w:sz w:val="20"/>
          <w:szCs w:val="20"/>
        </w:rPr>
        <w:t>www.amnesty.nl/content/uploads/2017/01/mapping_for_human_rights.pdf?x54531</w:t>
      </w:r>
      <w:r w:rsidRPr="00C83BB2">
        <w:rPr>
          <w:rFonts w:ascii="Times New Roman" w:hAnsi="Times New Roman" w:cs="Times New Roman"/>
          <w:lang w:val="en-US"/>
        </w:rPr>
        <w:fldChar w:fldCharType="end"/>
      </w:r>
      <w:r w:rsidRPr="00C83BB2">
        <w:rPr>
          <w:rFonts w:ascii="Times New Roman" w:hAnsi="Times New Roman" w:cs="Times New Roman"/>
        </w:rPr>
        <w:t>.</w:t>
      </w:r>
    </w:p>
  </w:footnote>
  <w:footnote w:id="319">
    <w:p w14:paraId="6A1FA204" w14:textId="647FCC72" w:rsidR="00A634FC" w:rsidRPr="00C83BB2" w:rsidRDefault="00A634FC">
      <w:pPr>
        <w:pStyle w:val="FootnoteText"/>
        <w:rPr>
          <w:rFonts w:ascii="Times New Roman" w:hAnsi="Times New Roman" w:cs="Times New Roman"/>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i/>
          <w:iCs/>
        </w:rPr>
        <w:t>Id.</w:t>
      </w:r>
      <w:r w:rsidRPr="00C83BB2">
        <w:rPr>
          <w:rFonts w:ascii="Times New Roman" w:hAnsi="Times New Roman" w:cs="Times New Roman"/>
        </w:rPr>
        <w:t xml:space="preserve"> en 1–2.</w:t>
      </w:r>
    </w:p>
  </w:footnote>
  <w:footnote w:id="320">
    <w:p w14:paraId="3EB11303" w14:textId="4C50F04B" w:rsidR="00A634FC" w:rsidRPr="00C83BB2" w:rsidRDefault="00A634FC">
      <w:pPr>
        <w:pStyle w:val="FootnoteText"/>
        <w:rPr>
          <w:rFonts w:ascii="Times New Roman" w:hAnsi="Times New Roman" w:cs="Times New Roman"/>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Véase </w:t>
      </w:r>
      <w:r w:rsidRPr="00C83BB2">
        <w:rPr>
          <w:rFonts w:ascii="Times New Roman" w:hAnsi="Times New Roman" w:cs="Times New Roman"/>
          <w:i/>
          <w:iCs/>
        </w:rPr>
        <w:t>Save Wiyabi Project</w:t>
      </w:r>
      <w:r w:rsidRPr="00C83BB2">
        <w:rPr>
          <w:rFonts w:ascii="Times New Roman" w:hAnsi="Times New Roman" w:cs="Times New Roman"/>
        </w:rPr>
        <w:t xml:space="preserve">, </w:t>
      </w:r>
      <w:r w:rsidRPr="00C83BB2">
        <w:rPr>
          <w:rFonts w:ascii="Times New Roman" w:hAnsi="Times New Roman" w:cs="Times New Roman"/>
        </w:rPr>
        <w:fldChar w:fldCharType="begin"/>
      </w:r>
      <w:r w:rsidRPr="00C83BB2">
        <w:rPr>
          <w:rFonts w:ascii="Times New Roman" w:hAnsi="Times New Roman" w:cs="Times New Roman"/>
        </w:rPr>
        <w:instrText>HYPERLINK "http://www.facebook.com/Save.Wiyabi.Project/"</w:instrText>
      </w:r>
      <w:r w:rsidRPr="00C83BB2">
        <w:rPr>
          <w:rFonts w:ascii="Times New Roman" w:hAnsi="Times New Roman" w:cs="Times New Roman"/>
        </w:rPr>
      </w:r>
      <w:r w:rsidRPr="00C83BB2">
        <w:rPr>
          <w:rFonts w:ascii="Times New Roman" w:hAnsi="Times New Roman" w:cs="Times New Roman"/>
        </w:rPr>
        <w:fldChar w:fldCharType="separate"/>
      </w:r>
      <w:r w:rsidRPr="00C83BB2">
        <w:rPr>
          <w:rStyle w:val="Hyperlink"/>
          <w:rFonts w:ascii="Times New Roman" w:eastAsiaTheme="minorHAnsi" w:hAnsi="Times New Roman"/>
          <w:sz w:val="20"/>
          <w:szCs w:val="20"/>
        </w:rPr>
        <w:t>www.facebook.com/Save.Wiyabi.Project/</w:t>
      </w:r>
      <w:r w:rsidRPr="00C83BB2">
        <w:rPr>
          <w:rFonts w:ascii="Times New Roman" w:hAnsi="Times New Roman" w:cs="Times New Roman"/>
          <w:lang w:val="en-US"/>
        </w:rPr>
        <w:fldChar w:fldCharType="end"/>
      </w:r>
      <w:r w:rsidRPr="00C83BB2">
        <w:rPr>
          <w:rFonts w:ascii="Times New Roman" w:hAnsi="Times New Roman" w:cs="Times New Roman"/>
        </w:rPr>
        <w:t>.</w:t>
      </w:r>
    </w:p>
  </w:footnote>
  <w:footnote w:id="321">
    <w:p w14:paraId="2B509C28" w14:textId="5212B132" w:rsidR="000E1DBB" w:rsidRPr="00C83BB2" w:rsidRDefault="000E1DBB">
      <w:pPr>
        <w:pStyle w:val="FootnoteText"/>
        <w:rPr>
          <w:rFonts w:ascii="Times New Roman" w:hAnsi="Times New Roman" w:cs="Times New Roman"/>
          <w:lang w:val="es-PR"/>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Para un análisis adicional del colonialismo de asentamiento y su relevancia para la injusticia sistémica actual, véase el capítulo 1.3.</w:t>
      </w:r>
    </w:p>
  </w:footnote>
  <w:footnote w:id="322">
    <w:p w14:paraId="3ECB9AB2" w14:textId="44C9C8F6" w:rsidR="000E1DBB" w:rsidRPr="00C83BB2" w:rsidRDefault="000E1DBB">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Jenna Winton, </w:t>
      </w:r>
      <w:r w:rsidRPr="00C83BB2">
        <w:rPr>
          <w:rFonts w:ascii="Times New Roman" w:hAnsi="Times New Roman" w:cs="Times New Roman"/>
          <w:i/>
          <w:iCs/>
        </w:rPr>
        <w:t>Rebranding Valentine’s Day for Honoring Murdered and Missing Indigenous Women</w:t>
      </w:r>
      <w:r w:rsidRPr="00C83BB2">
        <w:rPr>
          <w:rFonts w:ascii="Times New Roman" w:hAnsi="Times New Roman" w:cs="Times New Roman"/>
        </w:rPr>
        <w:t xml:space="preserve">, Cultural Survival (19 de febrero de 2014), </w:t>
      </w:r>
      <w:r w:rsidRPr="00C83BB2">
        <w:rPr>
          <w:rFonts w:ascii="Times New Roman" w:hAnsi="Times New Roman" w:cs="Times New Roman"/>
        </w:rPr>
        <w:fldChar w:fldCharType="begin"/>
      </w:r>
      <w:r w:rsidRPr="00C83BB2">
        <w:rPr>
          <w:rFonts w:ascii="Times New Roman" w:hAnsi="Times New Roman" w:cs="Times New Roman"/>
        </w:rPr>
        <w:instrText>HYPERLINK "http://www.culturalsurvival.org/news/rebranding-valentines-day-day-honoring-murdered-and-missing-indigenous-women"</w:instrText>
      </w:r>
      <w:r w:rsidRPr="00C83BB2">
        <w:rPr>
          <w:rFonts w:ascii="Times New Roman" w:hAnsi="Times New Roman" w:cs="Times New Roman"/>
        </w:rPr>
      </w:r>
      <w:r w:rsidRPr="00C83BB2">
        <w:rPr>
          <w:rFonts w:ascii="Times New Roman" w:hAnsi="Times New Roman" w:cs="Times New Roman"/>
        </w:rPr>
        <w:fldChar w:fldCharType="separate"/>
      </w:r>
      <w:r w:rsidRPr="00C83BB2">
        <w:rPr>
          <w:rStyle w:val="Hyperlink"/>
          <w:rFonts w:ascii="Times New Roman" w:eastAsiaTheme="minorHAnsi" w:hAnsi="Times New Roman"/>
          <w:sz w:val="20"/>
          <w:szCs w:val="20"/>
        </w:rPr>
        <w:t>www.culturalsurvival.org/news/rebranding-valentines-day-day-honoring-murdered-and-missing-indigenous-women</w:t>
      </w:r>
      <w:r w:rsidRPr="00C83BB2">
        <w:rPr>
          <w:rFonts w:ascii="Times New Roman" w:hAnsi="Times New Roman" w:cs="Times New Roman"/>
          <w:lang w:val="en-US"/>
        </w:rPr>
        <w:fldChar w:fldCharType="end"/>
      </w:r>
      <w:r w:rsidRPr="00C83BB2">
        <w:rPr>
          <w:rFonts w:ascii="Times New Roman" w:hAnsi="Times New Roman" w:cs="Times New Roman"/>
        </w:rPr>
        <w:t>.</w:t>
      </w:r>
    </w:p>
  </w:footnote>
  <w:footnote w:id="323">
    <w:p w14:paraId="1A138519" w14:textId="21AA8CD2" w:rsidR="000E1DBB" w:rsidRPr="00C83BB2" w:rsidRDefault="000E1DBB">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John P. Kretzmann et al., </w:t>
      </w:r>
      <w:r w:rsidRPr="00C83BB2">
        <w:rPr>
          <w:rFonts w:ascii="Times New Roman" w:hAnsi="Times New Roman" w:cs="Times New Roman"/>
          <w:i/>
          <w:iCs/>
        </w:rPr>
        <w:t>Discovering Community Power: A Guide to Mobilizing Local Assets and Your Organization’s Capacity</w:t>
      </w:r>
      <w:r w:rsidRPr="00C83BB2">
        <w:rPr>
          <w:rFonts w:ascii="Times New Roman" w:hAnsi="Times New Roman" w:cs="Times New Roman"/>
        </w:rPr>
        <w:t xml:space="preserve"> (2005), </w:t>
      </w:r>
      <w:r w:rsidRPr="00C83BB2">
        <w:rPr>
          <w:rFonts w:ascii="Times New Roman" w:hAnsi="Times New Roman" w:cs="Times New Roman"/>
        </w:rPr>
        <w:fldChar w:fldCharType="begin"/>
      </w:r>
      <w:r w:rsidRPr="00C83BB2">
        <w:rPr>
          <w:rFonts w:ascii="Times New Roman" w:hAnsi="Times New Roman" w:cs="Times New Roman"/>
        </w:rPr>
        <w:instrText>HYPERLINK "https://community-wealth.org/content/discovering-community-power-guide-mobilizing-local-assets-and-your-organization-s-capacity"</w:instrText>
      </w:r>
      <w:r w:rsidRPr="00C83BB2">
        <w:rPr>
          <w:rFonts w:ascii="Times New Roman" w:hAnsi="Times New Roman" w:cs="Times New Roman"/>
        </w:rPr>
      </w:r>
      <w:r w:rsidRPr="00C83BB2">
        <w:rPr>
          <w:rFonts w:ascii="Times New Roman" w:hAnsi="Times New Roman" w:cs="Times New Roman"/>
        </w:rPr>
        <w:fldChar w:fldCharType="separate"/>
      </w:r>
      <w:r w:rsidRPr="00C83BB2">
        <w:rPr>
          <w:rStyle w:val="Hyperlink"/>
          <w:rFonts w:ascii="Times New Roman" w:eastAsiaTheme="minorHAnsi" w:hAnsi="Times New Roman"/>
          <w:sz w:val="20"/>
          <w:szCs w:val="20"/>
        </w:rPr>
        <w:t>https://community-wealth.org/content/discovering-community-power-guide-mobilizing-local-assets-and-your-organization-s-capacity</w:t>
      </w:r>
      <w:r w:rsidRPr="00C83BB2">
        <w:rPr>
          <w:rFonts w:ascii="Times New Roman" w:hAnsi="Times New Roman" w:cs="Times New Roman"/>
          <w:lang w:val="en-US"/>
        </w:rPr>
        <w:fldChar w:fldCharType="end"/>
      </w:r>
      <w:r w:rsidRPr="00C83BB2">
        <w:rPr>
          <w:rFonts w:ascii="Times New Roman" w:hAnsi="Times New Roman" w:cs="Times New Roman"/>
        </w:rPr>
        <w:t>.</w:t>
      </w:r>
    </w:p>
  </w:footnote>
  <w:footnote w:id="324">
    <w:p w14:paraId="7CF0CDE8" w14:textId="737B23F4" w:rsidR="00F84B54" w:rsidRPr="00C83BB2" w:rsidRDefault="00F84B54">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Southern Poverty Law Center, </w:t>
      </w:r>
      <w:r w:rsidRPr="00C83BB2">
        <w:rPr>
          <w:rFonts w:ascii="Times New Roman" w:hAnsi="Times New Roman" w:cs="Times New Roman"/>
          <w:i/>
          <w:iCs/>
        </w:rPr>
        <w:t>Unlocking Your Community’s Hidden Strengths: A Guidebook to Community Asset Mapping</w:t>
      </w:r>
      <w:r w:rsidRPr="00C83BB2">
        <w:rPr>
          <w:rFonts w:ascii="Times New Roman" w:hAnsi="Times New Roman" w:cs="Times New Roman"/>
        </w:rPr>
        <w:t xml:space="preserve"> </w:t>
      </w:r>
      <w:r w:rsidRPr="00C83BB2">
        <w:rPr>
          <w:rFonts w:ascii="Times New Roman" w:hAnsi="Times New Roman" w:cs="Times New Roman"/>
        </w:rPr>
        <w:t xml:space="preserve">(2012), </w:t>
      </w:r>
      <w:r w:rsidRPr="00C83BB2">
        <w:rPr>
          <w:rFonts w:ascii="Times New Roman" w:hAnsi="Times New Roman" w:cs="Times New Roman"/>
        </w:rPr>
        <w:fldChar w:fldCharType="begin"/>
      </w:r>
      <w:r w:rsidRPr="00C83BB2">
        <w:rPr>
          <w:rFonts w:ascii="Times New Roman" w:hAnsi="Times New Roman" w:cs="Times New Roman"/>
        </w:rPr>
        <w:instrText>HYPERLINK "http://www.splcenter.org/20121126/unlocking-your-community's-hidden-strengths-guidebook-community-asset-mapping"</w:instrText>
      </w:r>
      <w:r w:rsidRPr="00C83BB2">
        <w:rPr>
          <w:rFonts w:ascii="Times New Roman" w:hAnsi="Times New Roman" w:cs="Times New Roman"/>
        </w:rPr>
      </w:r>
      <w:r w:rsidRPr="00C83BB2">
        <w:rPr>
          <w:rFonts w:ascii="Times New Roman" w:hAnsi="Times New Roman" w:cs="Times New Roman"/>
        </w:rPr>
        <w:fldChar w:fldCharType="separate"/>
      </w:r>
      <w:r w:rsidRPr="00C83BB2">
        <w:rPr>
          <w:rStyle w:val="Hyperlink"/>
          <w:rFonts w:ascii="Times New Roman" w:eastAsiaTheme="minorHAnsi" w:hAnsi="Times New Roman"/>
          <w:sz w:val="20"/>
          <w:szCs w:val="20"/>
        </w:rPr>
        <w:t>www.splcenter.org/20121126/unlocking-your-community's-hidden-strengths-guidebook-community-asset-mapping</w:t>
      </w:r>
      <w:r w:rsidRPr="00C83BB2">
        <w:rPr>
          <w:rFonts w:ascii="Times New Roman" w:hAnsi="Times New Roman" w:cs="Times New Roman"/>
          <w:lang w:val="en-US"/>
        </w:rPr>
        <w:fldChar w:fldCharType="end"/>
      </w:r>
      <w:r w:rsidRPr="00C83BB2">
        <w:rPr>
          <w:rFonts w:ascii="Times New Roman" w:hAnsi="Times New Roman" w:cs="Times New Roman"/>
        </w:rPr>
        <w:t>.</w:t>
      </w:r>
    </w:p>
  </w:footnote>
  <w:footnote w:id="325">
    <w:p w14:paraId="551974CA" w14:textId="7753949E" w:rsidR="00F84B54" w:rsidRPr="00C83BB2" w:rsidRDefault="00F84B54">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i/>
          <w:iCs/>
        </w:rPr>
        <w:t>Ohio Juvenile Justice System: Perspectives from the Field—Summary of Stakeholder’s Priorities</w:t>
      </w:r>
      <w:r w:rsidRPr="00C83BB2">
        <w:rPr>
          <w:rFonts w:ascii="Times New Roman" w:hAnsi="Times New Roman" w:cs="Times New Roman"/>
        </w:rPr>
        <w:t xml:space="preserve"> 1 (2010), </w:t>
      </w:r>
      <w:r w:rsidRPr="00C83BB2">
        <w:rPr>
          <w:rFonts w:ascii="Times New Roman" w:hAnsi="Times New Roman" w:cs="Times New Roman"/>
        </w:rPr>
        <w:fldChar w:fldCharType="begin"/>
      </w:r>
      <w:r w:rsidRPr="00C83BB2">
        <w:rPr>
          <w:rFonts w:ascii="Times New Roman" w:hAnsi="Times New Roman" w:cs="Times New Roman"/>
        </w:rPr>
        <w:instrText>HYPERLINK "https://static1.squarespace.com/static/571f750f4c2f858e510aa661/t/57d97d959f7456a5d86d18ab/1473871258199/Ohios_Juvenile_Justice_Stakeholder_Report.pdf"</w:instrText>
      </w:r>
      <w:r w:rsidRPr="00C83BB2">
        <w:rPr>
          <w:rFonts w:ascii="Times New Roman" w:hAnsi="Times New Roman" w:cs="Times New Roman"/>
        </w:rPr>
      </w:r>
      <w:r w:rsidRPr="00C83BB2">
        <w:rPr>
          <w:rFonts w:ascii="Times New Roman" w:hAnsi="Times New Roman" w:cs="Times New Roman"/>
        </w:rPr>
        <w:fldChar w:fldCharType="separate"/>
      </w:r>
      <w:r w:rsidRPr="00C83BB2">
        <w:rPr>
          <w:rStyle w:val="Hyperlink"/>
          <w:rFonts w:ascii="Times New Roman" w:eastAsiaTheme="minorHAnsi" w:hAnsi="Times New Roman"/>
          <w:sz w:val="20"/>
          <w:szCs w:val="20"/>
        </w:rPr>
        <w:t>https://static1.squarespace.com/static/571f750f4c2f858e510aa661/t/57d97d959f7456a5d86d18ab/1473871258199/Ohios_Juvenile_Justice_Stakeholder_Report.pdf</w:t>
      </w:r>
      <w:r w:rsidRPr="00C83BB2">
        <w:rPr>
          <w:rFonts w:ascii="Times New Roman" w:hAnsi="Times New Roman" w:cs="Times New Roman"/>
          <w:lang w:val="en-US"/>
        </w:rPr>
        <w:fldChar w:fldCharType="end"/>
      </w:r>
      <w:r w:rsidRPr="00C83BB2">
        <w:rPr>
          <w:rFonts w:ascii="Times New Roman" w:hAnsi="Times New Roman" w:cs="Times New Roman"/>
        </w:rPr>
        <w:t>.</w:t>
      </w:r>
    </w:p>
  </w:footnote>
  <w:footnote w:id="326">
    <w:p w14:paraId="6AB67396" w14:textId="1441AFC9" w:rsidR="00F84B54" w:rsidRPr="00C83BB2" w:rsidRDefault="00F84B54">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Jayashri Srikantiah y Janet Martinez, </w:t>
      </w:r>
      <w:r w:rsidRPr="00C83BB2">
        <w:rPr>
          <w:rFonts w:ascii="Times New Roman" w:hAnsi="Times New Roman" w:cs="Times New Roman"/>
          <w:i/>
          <w:iCs/>
        </w:rPr>
        <w:t>Applying Negotiations Pedagogy to Clinical Teaching: Tools for Institutional Client Representation in Law School Clinics</w:t>
      </w:r>
      <w:r w:rsidRPr="00C83BB2">
        <w:rPr>
          <w:rFonts w:ascii="Times New Roman" w:hAnsi="Times New Roman" w:cs="Times New Roman"/>
        </w:rPr>
        <w:t>, 21 Clinical L. Rev. 283, 285 (2014).</w:t>
      </w:r>
    </w:p>
  </w:footnote>
  <w:footnote w:id="327">
    <w:p w14:paraId="0E9234E5" w14:textId="5F254A1B" w:rsidR="00F84B54" w:rsidRPr="00C83BB2" w:rsidRDefault="00F84B54">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Véase </w:t>
      </w:r>
      <w:r w:rsidRPr="00C83BB2">
        <w:rPr>
          <w:rFonts w:ascii="Times New Roman" w:hAnsi="Times New Roman" w:cs="Times New Roman"/>
          <w:i/>
          <w:iCs/>
        </w:rPr>
        <w:t>Sexuality and Social Justice: A Toolkit</w:t>
      </w:r>
      <w:r w:rsidRPr="00C83BB2">
        <w:rPr>
          <w:rFonts w:ascii="Times New Roman" w:hAnsi="Times New Roman" w:cs="Times New Roman"/>
        </w:rPr>
        <w:t xml:space="preserve">, </w:t>
      </w:r>
      <w:r w:rsidRPr="00C83BB2">
        <w:rPr>
          <w:rFonts w:ascii="Times New Roman" w:hAnsi="Times New Roman" w:cs="Times New Roman"/>
        </w:rPr>
        <w:fldChar w:fldCharType="begin"/>
      </w:r>
      <w:r w:rsidRPr="00C83BB2">
        <w:rPr>
          <w:rFonts w:ascii="Times New Roman" w:hAnsi="Times New Roman" w:cs="Times New Roman"/>
        </w:rPr>
        <w:instrText>HYPERLINK "http://www.spl.ids.ac.uk/printpdf/book/export/html/220"</w:instrText>
      </w:r>
      <w:r w:rsidRPr="00C83BB2">
        <w:rPr>
          <w:rFonts w:ascii="Times New Roman" w:hAnsi="Times New Roman" w:cs="Times New Roman"/>
        </w:rPr>
      </w:r>
      <w:r w:rsidRPr="00C83BB2">
        <w:rPr>
          <w:rFonts w:ascii="Times New Roman" w:hAnsi="Times New Roman" w:cs="Times New Roman"/>
        </w:rPr>
        <w:fldChar w:fldCharType="separate"/>
      </w:r>
      <w:r w:rsidRPr="00C83BB2">
        <w:rPr>
          <w:rStyle w:val="Hyperlink"/>
          <w:rFonts w:ascii="Times New Roman" w:eastAsiaTheme="minorHAnsi" w:hAnsi="Times New Roman"/>
          <w:sz w:val="20"/>
          <w:szCs w:val="20"/>
        </w:rPr>
        <w:t>www.spl.ids.ac.uk/printpdf/book/export/html/220</w:t>
      </w:r>
      <w:r w:rsidRPr="00C83BB2">
        <w:rPr>
          <w:rFonts w:ascii="Times New Roman" w:hAnsi="Times New Roman" w:cs="Times New Roman"/>
          <w:lang w:val="en-US"/>
        </w:rPr>
        <w:fldChar w:fldCharType="end"/>
      </w:r>
      <w:r w:rsidRPr="00C83BB2">
        <w:rPr>
          <w:rFonts w:ascii="Times New Roman" w:hAnsi="Times New Roman" w:cs="Times New Roman"/>
        </w:rPr>
        <w:t>.</w:t>
      </w:r>
    </w:p>
  </w:footnote>
  <w:footnote w:id="328">
    <w:p w14:paraId="56936D55" w14:textId="4182DC58" w:rsidR="00D33C81" w:rsidRPr="00C83BB2" w:rsidRDefault="00D33C81">
      <w:pPr>
        <w:pStyle w:val="FootnoteText"/>
        <w:rPr>
          <w:rFonts w:ascii="Times New Roman" w:hAnsi="Times New Roman" w:cs="Times New Roman"/>
          <w:lang w:val="es-PR"/>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Para una descripción general del mapeo táctico dentro del contexto de los derechos humanos, véase Douglas A. Johnson y Nancy L. Pearson, </w:t>
      </w:r>
      <w:r w:rsidRPr="00C83BB2">
        <w:rPr>
          <w:rFonts w:ascii="Times New Roman" w:hAnsi="Times New Roman" w:cs="Times New Roman"/>
          <w:i/>
          <w:iCs/>
        </w:rPr>
        <w:t>Tactical Mapping: How Nonprofits Can Identify the Levers of Change</w:t>
      </w:r>
      <w:r w:rsidRPr="00C83BB2">
        <w:rPr>
          <w:rFonts w:ascii="Times New Roman" w:hAnsi="Times New Roman" w:cs="Times New Roman"/>
        </w:rPr>
        <w:t>, Nonprofit Q. 92 (2009).</w:t>
      </w:r>
    </w:p>
  </w:footnote>
  <w:footnote w:id="329">
    <w:p w14:paraId="336ACAC9" w14:textId="38A53DDF" w:rsidR="00D33C81" w:rsidRPr="00C83BB2" w:rsidRDefault="00D33C81">
      <w:pPr>
        <w:pStyle w:val="FootnoteText"/>
        <w:rPr>
          <w:rFonts w:ascii="Times New Roman" w:hAnsi="Times New Roman" w:cs="Times New Roman"/>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Tom Juravich, </w:t>
      </w:r>
      <w:r w:rsidRPr="00C83BB2">
        <w:rPr>
          <w:rFonts w:ascii="Times New Roman" w:hAnsi="Times New Roman" w:cs="Times New Roman"/>
          <w:i/>
          <w:iCs/>
        </w:rPr>
        <w:t>Beating Global Capital: A Framework and Method for Union Strategic Corporate Research and Campaigns</w:t>
      </w:r>
      <w:r w:rsidRPr="00C83BB2">
        <w:rPr>
          <w:rFonts w:ascii="Times New Roman" w:hAnsi="Times New Roman" w:cs="Times New Roman"/>
        </w:rPr>
        <w:t xml:space="preserve">, en </w:t>
      </w:r>
      <w:r w:rsidRPr="00C83BB2">
        <w:rPr>
          <w:rFonts w:ascii="Times New Roman" w:hAnsi="Times New Roman" w:cs="Times New Roman"/>
          <w:i/>
          <w:iCs/>
        </w:rPr>
        <w:t>Global Unions: Challenging Transnational Capital through Cross-Border Campaigns</w:t>
      </w:r>
      <w:r w:rsidRPr="00C83BB2">
        <w:rPr>
          <w:rFonts w:ascii="Times New Roman" w:hAnsi="Times New Roman" w:cs="Times New Roman"/>
        </w:rPr>
        <w:t xml:space="preserve"> 16, 35 (Kate Bronfenbrenner, ed., 2007).</w:t>
      </w:r>
    </w:p>
  </w:footnote>
  <w:footnote w:id="330">
    <w:p w14:paraId="4E14D3DC" w14:textId="4EFD5870" w:rsidR="00D33C81" w:rsidRPr="00C83BB2" w:rsidRDefault="00D33C81">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i/>
          <w:iCs/>
        </w:rPr>
        <w:t>Id.</w:t>
      </w:r>
    </w:p>
  </w:footnote>
  <w:footnote w:id="331">
    <w:p w14:paraId="1C95C986" w14:textId="43BF464F" w:rsidR="00D33C81" w:rsidRPr="00C83BB2" w:rsidRDefault="00D33C81">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i/>
          <w:iCs/>
          <w:lang w:val="en-US"/>
        </w:rPr>
        <w:t>Id.</w:t>
      </w:r>
      <w:r w:rsidRPr="00C83BB2">
        <w:rPr>
          <w:rFonts w:ascii="Times New Roman" w:hAnsi="Times New Roman" w:cs="Times New Roman"/>
          <w:lang w:val="en-US"/>
        </w:rPr>
        <w:t xml:space="preserve"> </w:t>
      </w:r>
      <w:proofErr w:type="spellStart"/>
      <w:r w:rsidRPr="00C83BB2">
        <w:rPr>
          <w:rFonts w:ascii="Times New Roman" w:hAnsi="Times New Roman" w:cs="Times New Roman"/>
          <w:lang w:val="en-US"/>
        </w:rPr>
        <w:t>en</w:t>
      </w:r>
      <w:proofErr w:type="spellEnd"/>
      <w:r w:rsidRPr="00C83BB2">
        <w:rPr>
          <w:rFonts w:ascii="Times New Roman" w:hAnsi="Times New Roman" w:cs="Times New Roman"/>
          <w:lang w:val="en-US"/>
        </w:rPr>
        <w:t xml:space="preserve"> 25. </w:t>
      </w:r>
    </w:p>
  </w:footnote>
  <w:footnote w:id="332">
    <w:p w14:paraId="52452BF5" w14:textId="4D8D1563" w:rsidR="00D33C81" w:rsidRPr="00C83BB2" w:rsidRDefault="00D33C81">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i/>
          <w:iCs/>
        </w:rPr>
        <w:t>Id.</w:t>
      </w:r>
      <w:r w:rsidRPr="00C83BB2">
        <w:rPr>
          <w:rFonts w:ascii="Times New Roman" w:hAnsi="Times New Roman" w:cs="Times New Roman"/>
        </w:rPr>
        <w:t xml:space="preserve"> en 26–27.</w:t>
      </w:r>
    </w:p>
  </w:footnote>
  <w:footnote w:id="333">
    <w:p w14:paraId="3A42E750" w14:textId="14FB39A5" w:rsidR="00D33C81" w:rsidRPr="00C83BB2" w:rsidRDefault="00D33C81">
      <w:pPr>
        <w:pStyle w:val="FootnoteText"/>
        <w:rPr>
          <w:rFonts w:ascii="Times New Roman" w:hAnsi="Times New Roman" w:cs="Times New Roman"/>
          <w:i/>
          <w:iCs/>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i/>
          <w:iCs/>
          <w:lang w:val="en-US"/>
        </w:rPr>
        <w:t xml:space="preserve">Id. </w:t>
      </w:r>
    </w:p>
  </w:footnote>
  <w:footnote w:id="334">
    <w:p w14:paraId="2632AF3D" w14:textId="6A352614" w:rsidR="00D33C81" w:rsidRPr="00C83BB2" w:rsidRDefault="00D33C81">
      <w:pPr>
        <w:pStyle w:val="FootnoteText"/>
        <w:rPr>
          <w:rFonts w:ascii="Times New Roman" w:hAnsi="Times New Roman" w:cs="Times New Roman"/>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Entre los recursos para aprender investigación estratégica con fines de justicia social se encuentran el programa conjunto de verano de una semana de Cornell University-AFL-CIO sobre investigación estratégica corporativa, </w:t>
      </w:r>
      <w:hyperlink r:id="rId90" w:history="1">
        <w:r w:rsidRPr="00C83BB2">
          <w:rPr>
            <w:rStyle w:val="Hyperlink"/>
            <w:rFonts w:ascii="Times New Roman" w:eastAsiaTheme="minorHAnsi" w:hAnsi="Times New Roman"/>
            <w:sz w:val="20"/>
            <w:szCs w:val="20"/>
          </w:rPr>
          <w:t>www.sce.cornell.edu/ss/programs.php?v=STRATCORP&amp;s=Overview</w:t>
        </w:r>
      </w:hyperlink>
      <w:r w:rsidRPr="00C83BB2">
        <w:rPr>
          <w:rFonts w:ascii="Times New Roman" w:hAnsi="Times New Roman" w:cs="Times New Roman"/>
        </w:rPr>
        <w:t xml:space="preserve">; el Corporate Research Project de Good Jobs First, </w:t>
      </w:r>
      <w:hyperlink r:id="rId91" w:history="1">
        <w:r w:rsidRPr="00C83BB2">
          <w:rPr>
            <w:rStyle w:val="Hyperlink"/>
            <w:rFonts w:ascii="Times New Roman" w:eastAsiaTheme="minorHAnsi" w:hAnsi="Times New Roman"/>
            <w:sz w:val="20"/>
            <w:szCs w:val="20"/>
          </w:rPr>
          <w:t>www.corp-research.org</w:t>
        </w:r>
      </w:hyperlink>
      <w:r w:rsidRPr="00C83BB2">
        <w:rPr>
          <w:rFonts w:ascii="Times New Roman" w:hAnsi="Times New Roman" w:cs="Times New Roman"/>
        </w:rPr>
        <w:t xml:space="preserve">, que incluye el blog y la guía de investigación Dirt Diggers Digest, </w:t>
      </w:r>
      <w:hyperlink r:id="rId92" w:history="1">
        <w:r w:rsidRPr="00C83BB2">
          <w:rPr>
            <w:rStyle w:val="Hyperlink"/>
            <w:rFonts w:ascii="Times New Roman" w:eastAsiaTheme="minorHAnsi" w:hAnsi="Times New Roman"/>
            <w:sz w:val="20"/>
            <w:szCs w:val="20"/>
          </w:rPr>
          <w:t>www.corp-research.org/dddresearchguide3</w:t>
        </w:r>
      </w:hyperlink>
      <w:r w:rsidRPr="00C83BB2">
        <w:rPr>
          <w:rFonts w:ascii="Times New Roman" w:hAnsi="Times New Roman" w:cs="Times New Roman"/>
        </w:rPr>
        <w:t>; entre otros. Dirt Diggers Digest, por ejemplo, creó la base de datos Violation Tracker, que contiene registros de “todos los casos ambientales y de salud y seguridad con sanciones de $5,000 o más iniciados desde comienzos de 2010 por 13 agencias regulatorias federales”, y tiene planes de añadir categorías adicionales de “soborno, fijación de precios, delitos financieros, infracciones relacionadas con salarios y horas de trabajo”, entre otras.</w:t>
      </w:r>
    </w:p>
  </w:footnote>
  <w:footnote w:id="335">
    <w:p w14:paraId="76C278CA" w14:textId="50A9B1C3" w:rsidR="00D33C81" w:rsidRPr="00C83BB2" w:rsidRDefault="00D33C81">
      <w:pPr>
        <w:pStyle w:val="FootnoteText"/>
        <w:rPr>
          <w:rFonts w:ascii="Times New Roman" w:hAnsi="Times New Roman" w:cs="Times New Roman"/>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Juravich, </w:t>
      </w:r>
      <w:r w:rsidRPr="00C83BB2">
        <w:rPr>
          <w:rFonts w:ascii="Times New Roman" w:hAnsi="Times New Roman" w:cs="Times New Roman"/>
          <w:i/>
          <w:iCs/>
        </w:rPr>
        <w:t>Beating Global Capital</w:t>
      </w:r>
      <w:r w:rsidRPr="00C83BB2">
        <w:rPr>
          <w:rFonts w:ascii="Times New Roman" w:hAnsi="Times New Roman" w:cs="Times New Roman"/>
        </w:rPr>
        <w:t xml:space="preserve">, en 32. Véase también John Ganzi, Frances Seymour, Sandy Buffett y Navroz Dubash, </w:t>
      </w:r>
      <w:r w:rsidRPr="00C83BB2">
        <w:rPr>
          <w:rFonts w:ascii="Times New Roman" w:hAnsi="Times New Roman" w:cs="Times New Roman"/>
          <w:i/>
          <w:iCs/>
        </w:rPr>
        <w:t>Leverage for the Environment: A Guide to the Private Financial Services Industry</w:t>
      </w:r>
      <w:r w:rsidRPr="00C83BB2">
        <w:rPr>
          <w:rFonts w:ascii="Times New Roman" w:hAnsi="Times New Roman" w:cs="Times New Roman"/>
        </w:rPr>
        <w:t xml:space="preserve"> (1998) (identifica un método sofisticado para analizar los puntos de presión dentro de la industria de servicios financieros con fines de abogacía ambiental).</w:t>
      </w:r>
    </w:p>
  </w:footnote>
  <w:footnote w:id="336">
    <w:p w14:paraId="6E8BCDB5" w14:textId="644FCC8A" w:rsidR="00D33C81" w:rsidRPr="00C83BB2" w:rsidRDefault="00D33C81">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hyperlink r:id="rId93" w:history="1">
        <w:r w:rsidRPr="00C83BB2">
          <w:rPr>
            <w:rStyle w:val="Hyperlink"/>
            <w:rFonts w:ascii="Times New Roman" w:eastAsiaTheme="minorHAnsi" w:hAnsi="Times New Roman"/>
            <w:sz w:val="20"/>
            <w:szCs w:val="20"/>
          </w:rPr>
          <w:t>www.littlesis.org/oligrapher</w:t>
        </w:r>
      </w:hyperlink>
      <w:r w:rsidRPr="00C83BB2">
        <w:rPr>
          <w:rFonts w:ascii="Times New Roman" w:hAnsi="Times New Roman" w:cs="Times New Roman"/>
        </w:rPr>
        <w:t>.</w:t>
      </w:r>
    </w:p>
  </w:footnote>
  <w:footnote w:id="337">
    <w:p w14:paraId="54BD9418" w14:textId="2D07CFAE" w:rsidR="00BC5B2A" w:rsidRPr="00C83BB2" w:rsidRDefault="00BC5B2A">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i/>
          <w:iCs/>
        </w:rPr>
        <w:t>What’s Up, Map the Power: Research for the Resistance</w:t>
      </w:r>
      <w:r w:rsidRPr="00C83BB2">
        <w:rPr>
          <w:rFonts w:ascii="Times New Roman" w:hAnsi="Times New Roman" w:cs="Times New Roman"/>
        </w:rPr>
        <w:t xml:space="preserve">, LittleSis, un proyecto de Public Accountability Initiative, </w:t>
      </w:r>
      <w:hyperlink r:id="rId94" w:anchor="what" w:history="1">
        <w:r w:rsidRPr="00C83BB2">
          <w:rPr>
            <w:rStyle w:val="Hyperlink"/>
            <w:rFonts w:ascii="Times New Roman" w:eastAsiaTheme="minorHAnsi" w:hAnsi="Times New Roman"/>
            <w:sz w:val="20"/>
            <w:szCs w:val="20"/>
          </w:rPr>
          <w:t>www.littlesis.org/toolkit/what_is_up#what</w:t>
        </w:r>
      </w:hyperlink>
      <w:r w:rsidRPr="00C83BB2">
        <w:rPr>
          <w:rFonts w:ascii="Times New Roman" w:hAnsi="Times New Roman" w:cs="Times New Roman"/>
        </w:rPr>
        <w:t>.</w:t>
      </w:r>
    </w:p>
  </w:footnote>
  <w:footnote w:id="338">
    <w:p w14:paraId="510FBAD8" w14:textId="3F97EC43" w:rsidR="001162EC" w:rsidRPr="00C83BB2" w:rsidRDefault="001162EC">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Los programas de educación comunitaria, que no se analizan en detalle aquí, constituyen otra forma fundamental de acción de abogacía sistémica. Los programas de educación comunitaria tienen sus propias técnicas y objetivos, pero también pueden combinarse con las campañas temáticas y los proyectos de DC o incorporarse a ellos. Las técnicas de educación popular son particularmente importantes en relación con la educación comunitaria dentro de la abogacía sistémica. Véase Ingrid V. Eagly, </w:t>
      </w:r>
      <w:r w:rsidRPr="00C83BB2">
        <w:rPr>
          <w:rFonts w:ascii="Times New Roman" w:hAnsi="Times New Roman" w:cs="Times New Roman"/>
          <w:i/>
          <w:iCs/>
        </w:rPr>
        <w:t>Community Education: Creating a New Vision of Legal Services Practice</w:t>
      </w:r>
      <w:r w:rsidRPr="00C83BB2">
        <w:rPr>
          <w:rFonts w:ascii="Times New Roman" w:hAnsi="Times New Roman" w:cs="Times New Roman"/>
        </w:rPr>
        <w:t xml:space="preserve">, 4 Clin. L. Rev. 433 (1998), </w:t>
      </w:r>
      <w:hyperlink r:id="rId95" w:history="1">
        <w:r w:rsidRPr="00C83BB2">
          <w:rPr>
            <w:rStyle w:val="Hyperlink"/>
            <w:rFonts w:ascii="Times New Roman" w:eastAsiaTheme="minorHAnsi" w:hAnsi="Times New Roman"/>
            <w:sz w:val="20"/>
            <w:szCs w:val="20"/>
          </w:rPr>
          <w:t>https://www.westlaw.com/Document/I9b3454714a6211dba16d88fb847e95e5/View/FullText.html?transitionType=Default&amp;contextData=(sc.Default)&amp;VR=3.0&amp;RS=da3.0</w:t>
        </w:r>
      </w:hyperlink>
      <w:r w:rsidRPr="00C83BB2">
        <w:rPr>
          <w:rFonts w:ascii="Times New Roman" w:hAnsi="Times New Roman" w:cs="Times New Roman"/>
        </w:rPr>
        <w:t>.</w:t>
      </w:r>
    </w:p>
  </w:footnote>
  <w:footnote w:id="339">
    <w:p w14:paraId="3835DF63" w14:textId="6268C58A" w:rsidR="001162EC" w:rsidRPr="00C83BB2" w:rsidRDefault="001162EC">
      <w:pPr>
        <w:pStyle w:val="FootnoteText"/>
        <w:rPr>
          <w:rFonts w:ascii="Times New Roman" w:hAnsi="Times New Roman" w:cs="Times New Roman"/>
          <w:lang w:val="es-PR"/>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A este trabajo se le suele denominar “desarrollo económico comunitario”, pero utilizamos “desarrollo comunitario” para reconocer que este tipo de esfuerzo complejo de creación de programas o instituciones también puede abordar asuntos no económicos.</w:t>
      </w:r>
    </w:p>
  </w:footnote>
  <w:footnote w:id="340">
    <w:p w14:paraId="1BAB9A50" w14:textId="527DC317" w:rsidR="001162EC" w:rsidRPr="00C83BB2" w:rsidRDefault="001162EC">
      <w:pPr>
        <w:pStyle w:val="FootnoteText"/>
        <w:rPr>
          <w:rFonts w:ascii="Times New Roman" w:hAnsi="Times New Roman" w:cs="Times New Roman"/>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Jim Freeman, </w:t>
      </w:r>
      <w:r w:rsidRPr="00C83BB2">
        <w:rPr>
          <w:rFonts w:ascii="Times New Roman" w:hAnsi="Times New Roman" w:cs="Times New Roman"/>
          <w:i/>
          <w:iCs/>
        </w:rPr>
        <w:t>Supporting Social Movements: A Brief Guide for Lawyers and Law Students</w:t>
      </w:r>
      <w:r w:rsidRPr="00C83BB2">
        <w:rPr>
          <w:rFonts w:ascii="Times New Roman" w:hAnsi="Times New Roman" w:cs="Times New Roman"/>
        </w:rPr>
        <w:t>, 12 Hastings Race &amp; Poverty L.J. 191, 194 (2015).</w:t>
      </w:r>
    </w:p>
  </w:footnote>
  <w:footnote w:id="341">
    <w:p w14:paraId="342C65BA" w14:textId="019C7EFB" w:rsidR="00AE0B8C" w:rsidRPr="00C83BB2" w:rsidRDefault="00AE0B8C">
      <w:pPr>
        <w:pStyle w:val="FootnoteText"/>
        <w:rPr>
          <w:rFonts w:ascii="Times New Roman" w:hAnsi="Times New Roman" w:cs="Times New Roman"/>
          <w:lang w:val="es-PR"/>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Jeremy Perelman, </w:t>
      </w:r>
      <w:r w:rsidRPr="00C83BB2">
        <w:rPr>
          <w:rFonts w:ascii="Times New Roman" w:hAnsi="Times New Roman" w:cs="Times New Roman"/>
          <w:i/>
          <w:iCs/>
        </w:rPr>
        <w:t>Transnational Human Rights Advocacy, Clinical Collaborations, and the Political Economics of Accountability: Mapping the Middle</w:t>
      </w:r>
      <w:r w:rsidRPr="00C83BB2">
        <w:rPr>
          <w:rFonts w:ascii="Times New Roman" w:hAnsi="Times New Roman" w:cs="Times New Roman"/>
        </w:rPr>
        <w:t xml:space="preserve">, 16 Yale Hum. Rts. &amp; Dev. L.J. 89, 103–04 (2013), </w:t>
      </w:r>
      <w:hyperlink r:id="rId96" w:history="1">
        <w:r w:rsidRPr="00C83BB2">
          <w:rPr>
            <w:rStyle w:val="Hyperlink"/>
            <w:rFonts w:ascii="Times New Roman" w:eastAsiaTheme="minorHAnsi" w:hAnsi="Times New Roman"/>
            <w:sz w:val="20"/>
            <w:szCs w:val="20"/>
          </w:rPr>
          <w:t>https://www.westlaw.com/Document/Ib4052b12800b11e38578f7ccc38dcbee/View/FullText.html?transitionType=Default&amp;contextData=(sc.Default)&amp;VR=3.0&amp;RS=da3.0&amp;fragmentIdentifier=co_pp_sp_125495_103</w:t>
        </w:r>
      </w:hyperlink>
      <w:r w:rsidRPr="00C83BB2">
        <w:rPr>
          <w:rFonts w:ascii="Times New Roman" w:hAnsi="Times New Roman" w:cs="Times New Roman"/>
        </w:rPr>
        <w:t xml:space="preserve">. Véase también Richard L. Abel, </w:t>
      </w:r>
      <w:r w:rsidRPr="00C83BB2">
        <w:rPr>
          <w:rFonts w:ascii="Times New Roman" w:hAnsi="Times New Roman" w:cs="Times New Roman"/>
          <w:i/>
          <w:iCs/>
        </w:rPr>
        <w:t>The Globalization of Public Interest Law</w:t>
      </w:r>
      <w:r w:rsidRPr="00C83BB2">
        <w:rPr>
          <w:rFonts w:ascii="Times New Roman" w:hAnsi="Times New Roman" w:cs="Times New Roman"/>
        </w:rPr>
        <w:t xml:space="preserve">, 13 UCLA J. Int’l L. &amp; Foreign Aff. 295, 303–04 (2008), </w:t>
      </w:r>
      <w:hyperlink r:id="rId97" w:history="1">
        <w:r w:rsidRPr="00C83BB2">
          <w:rPr>
            <w:rStyle w:val="Hyperlink"/>
            <w:rFonts w:ascii="Times New Roman" w:eastAsiaTheme="minorHAnsi" w:hAnsi="Times New Roman"/>
            <w:sz w:val="20"/>
            <w:szCs w:val="20"/>
          </w:rPr>
          <w:t>https://www.westlaw.com/Document/Ia639c54a5fb011de9b8c850332338889/View/FullText.html?transitionType=Default&amp;contextData=(sc.Default)&amp;VR=3.0&amp;RS=da3.0&amp;fragmentIdentifier=co_pp_sp_112136_303</w:t>
        </w:r>
      </w:hyperlink>
      <w:r w:rsidRPr="00C83BB2">
        <w:rPr>
          <w:rFonts w:ascii="Times New Roman" w:hAnsi="Times New Roman" w:cs="Times New Roman"/>
        </w:rPr>
        <w:t xml:space="preserve"> (señala que “[l]as leyes y los tratados, sin embargo, al igual que las promesas individuales —de sobriedad, fidelidad, austeridad, responsabilidad—, pueden utilizarse para avergonzar. Por eso constituyen un recurso fundamental para las organizaciones de derechos humanos”).</w:t>
      </w:r>
    </w:p>
  </w:footnote>
  <w:footnote w:id="342">
    <w:p w14:paraId="707A3399" w14:textId="6AB114A8" w:rsidR="00AE0B8C" w:rsidRPr="00C83BB2" w:rsidRDefault="00AE0B8C">
      <w:pPr>
        <w:pStyle w:val="FootnoteText"/>
        <w:rPr>
          <w:rFonts w:ascii="Times New Roman" w:hAnsi="Times New Roman" w:cs="Times New Roman"/>
          <w:lang w:val="es-PR"/>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La naturaleza de las “acciones” mediante las cuales puede movilizarse el derecho para abordar desigualdades fundamentales y problemas sociales es diversa, y la presentación de campañas y proyectos de DC aquí pretende únicamente ofrecer dos ejemplos típicos, ilustrativos, con frecuencia interrelacionados e instructivos.</w:t>
      </w:r>
    </w:p>
  </w:footnote>
  <w:footnote w:id="343">
    <w:p w14:paraId="0F9EEFDE" w14:textId="69F9F677" w:rsidR="00AE0B8C" w:rsidRPr="00C83BB2" w:rsidRDefault="00AE0B8C">
      <w:pPr>
        <w:pStyle w:val="FootnoteText"/>
        <w:rPr>
          <w:rFonts w:ascii="Times New Roman" w:hAnsi="Times New Roman" w:cs="Times New Roman"/>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Kim Bobo, Jackie Kendall y Steve Max, </w:t>
      </w:r>
      <w:r w:rsidRPr="00C83BB2">
        <w:rPr>
          <w:rFonts w:ascii="Times New Roman" w:hAnsi="Times New Roman" w:cs="Times New Roman"/>
          <w:i/>
          <w:iCs/>
        </w:rPr>
        <w:t>Organizing for Social Change, Midwest Academy Manual for Activists</w:t>
      </w:r>
      <w:r w:rsidRPr="00C83BB2">
        <w:rPr>
          <w:rFonts w:ascii="Times New Roman" w:hAnsi="Times New Roman" w:cs="Times New Roman"/>
        </w:rPr>
        <w:t>, 11–13 (2001).</w:t>
      </w:r>
    </w:p>
  </w:footnote>
  <w:footnote w:id="344">
    <w:p w14:paraId="798B0285" w14:textId="5D345DDC" w:rsidR="00F3040A" w:rsidRPr="00C83BB2" w:rsidRDefault="00F3040A">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Tom Juravich, </w:t>
      </w:r>
      <w:r w:rsidRPr="00C83BB2">
        <w:rPr>
          <w:rFonts w:ascii="Times New Roman" w:hAnsi="Times New Roman" w:cs="Times New Roman"/>
          <w:i/>
          <w:iCs/>
        </w:rPr>
        <w:t>Beating Global Capital: A Framework and Method for Union Strategic Corporate Research and Campaigns</w:t>
      </w:r>
      <w:r w:rsidRPr="00C83BB2">
        <w:rPr>
          <w:rFonts w:ascii="Times New Roman" w:hAnsi="Times New Roman" w:cs="Times New Roman"/>
        </w:rPr>
        <w:t xml:space="preserve">, en </w:t>
      </w:r>
      <w:r w:rsidRPr="00C83BB2">
        <w:rPr>
          <w:rFonts w:ascii="Times New Roman" w:hAnsi="Times New Roman" w:cs="Times New Roman"/>
          <w:i/>
          <w:iCs/>
        </w:rPr>
        <w:t>Global Unions: Challenging Transnational Capital through Cross-Border Campaigns</w:t>
      </w:r>
      <w:r w:rsidRPr="00C83BB2">
        <w:rPr>
          <w:rFonts w:ascii="Times New Roman" w:hAnsi="Times New Roman" w:cs="Times New Roman"/>
        </w:rPr>
        <w:t xml:space="preserve"> 16 (Kate Bronfenbrenner, ed., 2007).</w:t>
      </w:r>
    </w:p>
  </w:footnote>
  <w:footnote w:id="345">
    <w:p w14:paraId="03C1F1E5" w14:textId="569C92B4" w:rsidR="00F3040A" w:rsidRPr="00C83BB2" w:rsidRDefault="00F3040A">
      <w:pPr>
        <w:pStyle w:val="FootnoteText"/>
        <w:rPr>
          <w:rFonts w:ascii="Times New Roman" w:hAnsi="Times New Roman" w:cs="Times New Roman"/>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Freeman, </w:t>
      </w:r>
      <w:r w:rsidRPr="00C83BB2">
        <w:rPr>
          <w:rFonts w:ascii="Times New Roman" w:hAnsi="Times New Roman" w:cs="Times New Roman"/>
          <w:i/>
          <w:iCs/>
        </w:rPr>
        <w:t>Supporting Social Movements</w:t>
      </w:r>
      <w:r w:rsidRPr="00C83BB2">
        <w:rPr>
          <w:rFonts w:ascii="Times New Roman" w:hAnsi="Times New Roman" w:cs="Times New Roman"/>
        </w:rPr>
        <w:t>, en 102.</w:t>
      </w:r>
    </w:p>
  </w:footnote>
  <w:footnote w:id="346">
    <w:p w14:paraId="7B4E45B6" w14:textId="32575AB3" w:rsidR="00260098" w:rsidRPr="00C83BB2" w:rsidRDefault="00260098">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William Simon, </w:t>
      </w:r>
      <w:r w:rsidRPr="00C83BB2">
        <w:rPr>
          <w:rFonts w:ascii="Times New Roman" w:hAnsi="Times New Roman" w:cs="Times New Roman"/>
          <w:i/>
          <w:iCs/>
        </w:rPr>
        <w:t>The Community Economic Development Movement</w:t>
      </w:r>
      <w:r w:rsidRPr="00C83BB2">
        <w:rPr>
          <w:rFonts w:ascii="Times New Roman" w:hAnsi="Times New Roman" w:cs="Times New Roman"/>
        </w:rPr>
        <w:t xml:space="preserve">, 2002 Wis. L. Rev. 377, 378–79 (2002), </w:t>
      </w:r>
      <w:hyperlink r:id="rId98" w:history="1">
        <w:r w:rsidRPr="00C83BB2">
          <w:rPr>
            <w:rStyle w:val="Hyperlink"/>
            <w:rFonts w:ascii="Times New Roman" w:eastAsiaTheme="minorHAnsi" w:hAnsi="Times New Roman"/>
            <w:sz w:val="20"/>
            <w:szCs w:val="20"/>
          </w:rPr>
          <w:t>https://www.westlaw.com/Document/Ia15fd1e14b0611db99a18fc28eb0d9ae/View/FullText.html?transitionType=Default&amp;contextData=(sc.Default)&amp;VR=3.0&amp;RS=da3.0&amp;fragmentIdentifier=co_pp_sp_1290_378</w:t>
        </w:r>
      </w:hyperlink>
      <w:r w:rsidRPr="00C83BB2">
        <w:rPr>
          <w:rFonts w:ascii="Times New Roman" w:hAnsi="Times New Roman" w:cs="Times New Roman"/>
        </w:rPr>
        <w:t>.</w:t>
      </w:r>
    </w:p>
  </w:footnote>
  <w:footnote w:id="347">
    <w:p w14:paraId="3DDFEA03" w14:textId="4D3AF13F" w:rsidR="00260098" w:rsidRPr="00C83BB2" w:rsidRDefault="00260098">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Scott L. Cummings, </w:t>
      </w:r>
      <w:r w:rsidRPr="00C83BB2">
        <w:rPr>
          <w:rFonts w:ascii="Times New Roman" w:hAnsi="Times New Roman" w:cs="Times New Roman"/>
          <w:i/>
          <w:iCs/>
        </w:rPr>
        <w:t>Community Economic Development as Progressive Politics: Toward a Grassroots Movement for Economic Justice</w:t>
      </w:r>
      <w:r w:rsidRPr="00C83BB2">
        <w:rPr>
          <w:rFonts w:ascii="Times New Roman" w:hAnsi="Times New Roman" w:cs="Times New Roman"/>
        </w:rPr>
        <w:t xml:space="preserve">, 54 Stan. L. Rev. 399, 400–09 (2001), </w:t>
      </w:r>
      <w:hyperlink r:id="rId99" w:history="1">
        <w:r w:rsidRPr="00C83BB2">
          <w:rPr>
            <w:rStyle w:val="Hyperlink"/>
            <w:rFonts w:ascii="Times New Roman" w:eastAsiaTheme="minorHAnsi" w:hAnsi="Times New Roman"/>
            <w:sz w:val="20"/>
            <w:szCs w:val="20"/>
          </w:rPr>
          <w:t>https://www.westlaw.com/Document/I55c5dfc14a7211db99a18fc28eb0d9ae/View/FullText.html?transitionType=Default&amp;contextData=(sc.Default)&amp;VR=3.0&amp;RS=da3.0&amp;fragmentIdentifier=co_pp_sp_1239_400</w:t>
        </w:r>
      </w:hyperlink>
      <w:r w:rsidRPr="00C83BB2">
        <w:rPr>
          <w:rFonts w:ascii="Times New Roman" w:hAnsi="Times New Roman" w:cs="Times New Roman"/>
        </w:rPr>
        <w:t>.</w:t>
      </w:r>
    </w:p>
  </w:footnote>
  <w:footnote w:id="348">
    <w:p w14:paraId="6B0F42ED" w14:textId="75309DD3" w:rsidR="00260098" w:rsidRPr="00C83BB2" w:rsidRDefault="00260098">
      <w:pPr>
        <w:pStyle w:val="FootnoteText"/>
        <w:rPr>
          <w:rFonts w:ascii="Times New Roman" w:hAnsi="Times New Roman" w:cs="Times New Roman"/>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Véase Richard A. Marcantonio y Samuel P. Tepperman-Gelfant, </w:t>
      </w:r>
      <w:r w:rsidRPr="00C83BB2">
        <w:rPr>
          <w:rFonts w:ascii="Times New Roman" w:hAnsi="Times New Roman" w:cs="Times New Roman"/>
          <w:i/>
          <w:iCs/>
        </w:rPr>
        <w:t>Seizing the Power of Political Participation</w:t>
      </w:r>
      <w:r w:rsidRPr="00C83BB2">
        <w:rPr>
          <w:rFonts w:ascii="Times New Roman" w:hAnsi="Times New Roman" w:cs="Times New Roman"/>
        </w:rPr>
        <w:t xml:space="preserve">, Clearinghouse 2 (describe “un modelo alternativo de participación pública”), </w:t>
      </w:r>
      <w:hyperlink r:id="rId100" w:history="1">
        <w:r w:rsidRPr="00C83BB2">
          <w:rPr>
            <w:rStyle w:val="Hyperlink"/>
            <w:rFonts w:ascii="Times New Roman" w:eastAsiaTheme="minorHAnsi" w:hAnsi="Times New Roman"/>
            <w:sz w:val="20"/>
            <w:szCs w:val="20"/>
          </w:rPr>
          <w:t>https://d3n8a8pro7vhmx.cloudfront.net/climateplan/pages/44/attachments/original/1509077040/Marcantonio__Tepperman-Gelfant_Clearinghouse_Article_Oct__2015.pdf?1509077040</w:t>
        </w:r>
      </w:hyperlink>
      <w:r w:rsidRPr="00C83BB2">
        <w:rPr>
          <w:rFonts w:ascii="Times New Roman" w:hAnsi="Times New Roman" w:cs="Times New Roman"/>
        </w:rPr>
        <w:t>.</w:t>
      </w:r>
    </w:p>
  </w:footnote>
  <w:footnote w:id="349">
    <w:p w14:paraId="7EC04F9F" w14:textId="3866488F" w:rsidR="00260098" w:rsidRPr="00C83BB2" w:rsidRDefault="00260098">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i/>
          <w:iCs/>
        </w:rPr>
        <w:t>Id.</w:t>
      </w:r>
    </w:p>
  </w:footnote>
  <w:footnote w:id="350">
    <w:p w14:paraId="3B0350AA" w14:textId="0086D475" w:rsidR="00396723" w:rsidRPr="00C83BB2" w:rsidRDefault="00396723">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Daniel Shah, </w:t>
      </w:r>
      <w:r w:rsidRPr="00C83BB2">
        <w:rPr>
          <w:rFonts w:ascii="Times New Roman" w:hAnsi="Times New Roman" w:cs="Times New Roman"/>
          <w:i/>
          <w:iCs/>
        </w:rPr>
        <w:t>Lawyering for Empowerment: Community Development and Social Change</w:t>
      </w:r>
      <w:r w:rsidRPr="00C83BB2">
        <w:rPr>
          <w:rFonts w:ascii="Times New Roman" w:hAnsi="Times New Roman" w:cs="Times New Roman"/>
        </w:rPr>
        <w:t xml:space="preserve">, 6 Clinical L. Rev. 217, 217–18 (1999), </w:t>
      </w:r>
      <w:hyperlink r:id="rId101" w:history="1">
        <w:r w:rsidRPr="00C83BB2">
          <w:rPr>
            <w:rStyle w:val="Hyperlink"/>
            <w:rFonts w:ascii="Times New Roman" w:eastAsiaTheme="minorHAnsi" w:hAnsi="Times New Roman"/>
            <w:sz w:val="20"/>
            <w:szCs w:val="20"/>
          </w:rPr>
          <w:t>https://www.westlaw.com/Document/Ia68472b14a6211dba16d88fb847e95e5/View/FullText.html?transitionType=Default&amp;contextData=(sc.Default)&amp;VR=3.0&amp;RS=da3.0&amp;fragmentIdentifier=co_pp_sp_106706_217</w:t>
        </w:r>
      </w:hyperlink>
      <w:r w:rsidRPr="00C83BB2">
        <w:rPr>
          <w:rFonts w:ascii="Times New Roman" w:hAnsi="Times New Roman" w:cs="Times New Roman"/>
        </w:rPr>
        <w:t>.</w:t>
      </w:r>
    </w:p>
  </w:footnote>
  <w:footnote w:id="351">
    <w:p w14:paraId="362EA319" w14:textId="75F6BD8E" w:rsidR="00396723" w:rsidRPr="00C83BB2" w:rsidRDefault="00396723">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Audrey McFarlane, </w:t>
      </w:r>
      <w:r w:rsidRPr="00C83BB2">
        <w:rPr>
          <w:rFonts w:ascii="Times New Roman" w:hAnsi="Times New Roman" w:cs="Times New Roman"/>
          <w:i/>
          <w:iCs/>
        </w:rPr>
        <w:t>Race, Space and Place: The Geography of Economic Development</w:t>
      </w:r>
      <w:r w:rsidRPr="00C83BB2">
        <w:rPr>
          <w:rFonts w:ascii="Times New Roman" w:hAnsi="Times New Roman" w:cs="Times New Roman"/>
        </w:rPr>
        <w:t xml:space="preserve">, 36 San Diego L. Rev. 295, 339–43 (1999), </w:t>
      </w:r>
      <w:hyperlink r:id="rId102" w:history="1">
        <w:r w:rsidRPr="00C83BB2">
          <w:rPr>
            <w:rStyle w:val="Hyperlink"/>
            <w:rFonts w:ascii="Times New Roman" w:eastAsiaTheme="minorHAnsi" w:hAnsi="Times New Roman"/>
            <w:sz w:val="20"/>
            <w:szCs w:val="20"/>
          </w:rPr>
          <w:t>https://www.westlaw.com/Document/Ia94ae7b14a4c11dba16d88fb847e95e5/View/FullText.html?transitionType=Default&amp;contextData=(sc.Default)&amp;VR=3.0&amp;RS=da3.0&amp;fragmentIdentifier=co_pp_sp_1232_339</w:t>
        </w:r>
      </w:hyperlink>
      <w:r w:rsidRPr="00C83BB2">
        <w:rPr>
          <w:rFonts w:ascii="Times New Roman" w:hAnsi="Times New Roman" w:cs="Times New Roman"/>
        </w:rPr>
        <w:t>.</w:t>
      </w:r>
    </w:p>
  </w:footnote>
  <w:footnote w:id="352">
    <w:p w14:paraId="137CB7D2" w14:textId="1790EF95" w:rsidR="00396723" w:rsidRPr="00C83BB2" w:rsidRDefault="00396723">
      <w:pPr>
        <w:pStyle w:val="FootnoteText"/>
        <w:rPr>
          <w:rFonts w:ascii="Times New Roman" w:hAnsi="Times New Roman" w:cs="Times New Roman"/>
          <w:lang w:val="es-PR"/>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i/>
          <w:iCs/>
        </w:rPr>
        <w:t>Id.</w:t>
      </w:r>
      <w:r w:rsidRPr="00C83BB2">
        <w:rPr>
          <w:rFonts w:ascii="Times New Roman" w:hAnsi="Times New Roman" w:cs="Times New Roman"/>
        </w:rPr>
        <w:t xml:space="preserve"> en 299. Véase también Cummings, </w:t>
      </w:r>
      <w:r w:rsidRPr="00C83BB2">
        <w:rPr>
          <w:rFonts w:ascii="Times New Roman" w:hAnsi="Times New Roman" w:cs="Times New Roman"/>
          <w:i/>
          <w:iCs/>
        </w:rPr>
        <w:t>Community Economic Development</w:t>
      </w:r>
      <w:r w:rsidRPr="00C83BB2">
        <w:rPr>
          <w:rFonts w:ascii="Times New Roman" w:hAnsi="Times New Roman" w:cs="Times New Roman"/>
        </w:rPr>
        <w:t xml:space="preserve"> (describe la historia de los proyectos de DC impulsados por el mercado y de base política, con frecuencia concentrados en vecindarios racialmente homogéneos).</w:t>
      </w:r>
    </w:p>
  </w:footnote>
  <w:footnote w:id="353">
    <w:p w14:paraId="5767B235" w14:textId="6629383A" w:rsidR="000B14B1" w:rsidRPr="00C83BB2" w:rsidRDefault="000B14B1">
      <w:pPr>
        <w:pStyle w:val="FootnoteText"/>
        <w:rPr>
          <w:rFonts w:ascii="Times New Roman" w:hAnsi="Times New Roman" w:cs="Times New Roman"/>
          <w:lang w:val="es-PR"/>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Los puntos de compresión son momentos clave en los que una campaña avanza o fracasa: “Organice todas sus actividades de escalada hacia un punto de compresión, donde la presión llegue a tal nivel que la crisis estalle internamente y el proceso de cambio se ponga en marcha”, </w:t>
      </w:r>
      <w:hyperlink r:id="rId103" w:history="1">
        <w:r w:rsidRPr="00C83BB2">
          <w:rPr>
            <w:rStyle w:val="Hyperlink"/>
            <w:rFonts w:ascii="Times New Roman" w:eastAsiaTheme="minorHAnsi" w:hAnsi="Times New Roman"/>
            <w:sz w:val="20"/>
            <w:szCs w:val="20"/>
          </w:rPr>
          <w:t>www.organizingforpower.org/some-key-organizing-concepts/</w:t>
        </w:r>
      </w:hyperlink>
      <w:r w:rsidRPr="00C83BB2">
        <w:rPr>
          <w:rFonts w:ascii="Times New Roman" w:hAnsi="Times New Roman" w:cs="Times New Roman"/>
        </w:rPr>
        <w:t>. Los puntos de compresión pueden corresponder con un calendario externo —por ejemplo, la reunión en la que los responsables de la toma de decisiones a quienes se dirige la acción están programados para votar a favor o en contra de la propuesta que representa el objetivo de la campaña— o pueden ser creados por la propia campaña, mediante el aumento de las tácticas de presión y persuasión hasta un nivel en el que la persona o entidad a quien se dirige la acción sienta que debe responder, positiva o negativamente, a las exigencias. Gestionar la escalada y los puntos de compresión constituye una destreza importante para utilizar el tiempo de manera proactiva.</w:t>
      </w:r>
    </w:p>
  </w:footnote>
  <w:footnote w:id="354">
    <w:p w14:paraId="760919D9" w14:textId="77777777" w:rsidR="00E23F6D" w:rsidRPr="00C83BB2" w:rsidRDefault="00E23F6D" w:rsidP="00E23F6D">
      <w:pPr>
        <w:pStyle w:val="FootnoteText"/>
        <w:rPr>
          <w:rFonts w:ascii="Times New Roman" w:hAnsi="Times New Roman" w:cs="Times New Roman"/>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Carmen Molinari, Lexi Owens y Robert Fontana, </w:t>
      </w:r>
      <w:r w:rsidRPr="00C83BB2">
        <w:rPr>
          <w:rFonts w:ascii="Times New Roman" w:hAnsi="Times New Roman" w:cs="Times New Roman"/>
          <w:i/>
          <w:iCs/>
        </w:rPr>
        <w:t>You Can’t Win Without a Fight: Why Worker Cooperatives Are a Bad Strategy</w:t>
      </w:r>
      <w:r w:rsidRPr="00C83BB2">
        <w:rPr>
          <w:rFonts w:ascii="Times New Roman" w:hAnsi="Times New Roman" w:cs="Times New Roman"/>
        </w:rPr>
        <w:t xml:space="preserve">, Organizing Work (29 de enero de 2021), </w:t>
      </w:r>
      <w:hyperlink r:id="rId104" w:history="1">
        <w:r w:rsidRPr="00C83BB2">
          <w:rPr>
            <w:rStyle w:val="Hyperlink"/>
            <w:rFonts w:ascii="Times New Roman" w:eastAsiaTheme="minorHAnsi" w:hAnsi="Times New Roman"/>
            <w:sz w:val="20"/>
            <w:szCs w:val="20"/>
          </w:rPr>
          <w:t>https://organizing.work/2021/01/you-cant-win-without-a-fight-why-worker-cooperatives-are-a-bad-strategy/?fbclid=IwAR1GuDwaUWq37SZU2U5xxmMTwa5VndnKMoNQGrqQAWdQo5CVVZL-r7p-q1c</w:t>
        </w:r>
      </w:hyperlink>
      <w:r w:rsidRPr="00C83BB2">
        <w:rPr>
          <w:rFonts w:ascii="Times New Roman" w:hAnsi="Times New Roman" w:cs="Times New Roman"/>
        </w:rPr>
        <w:t>.</w:t>
      </w:r>
    </w:p>
    <w:p w14:paraId="6E7F5F4F" w14:textId="56318DE5" w:rsidR="00E23F6D" w:rsidRPr="00C83BB2" w:rsidRDefault="00E23F6D">
      <w:pPr>
        <w:pStyle w:val="FootnoteText"/>
        <w:rPr>
          <w:rFonts w:ascii="Times New Roman" w:hAnsi="Times New Roman" w:cs="Times New Roman"/>
        </w:rPr>
      </w:pPr>
    </w:p>
  </w:footnote>
  <w:footnote w:id="355">
    <w:p w14:paraId="4AC86BEE" w14:textId="667DC4D6" w:rsidR="00E23F6D" w:rsidRPr="00C83BB2" w:rsidRDefault="00E23F6D">
      <w:pPr>
        <w:pStyle w:val="FootnoteText"/>
        <w:rPr>
          <w:rFonts w:ascii="Times New Roman" w:hAnsi="Times New Roman" w:cs="Times New Roman"/>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Nancy D. Polikoff, </w:t>
      </w:r>
      <w:r w:rsidRPr="00C83BB2">
        <w:rPr>
          <w:rFonts w:ascii="Times New Roman" w:hAnsi="Times New Roman" w:cs="Times New Roman"/>
          <w:i/>
          <w:iCs/>
        </w:rPr>
        <w:t>Am I My Client? The Role Confusion of a Lawyer-Activist</w:t>
      </w:r>
      <w:r w:rsidRPr="00C83BB2">
        <w:rPr>
          <w:rFonts w:ascii="Times New Roman" w:hAnsi="Times New Roman" w:cs="Times New Roman"/>
        </w:rPr>
        <w:t xml:space="preserve">, 31 Harv. C.R.-C.L. L. Rev. 443, 443–48 (1996), </w:t>
      </w:r>
      <w:hyperlink r:id="rId105" w:history="1">
        <w:r w:rsidRPr="00C83BB2">
          <w:rPr>
            <w:rStyle w:val="Hyperlink"/>
            <w:rFonts w:ascii="Times New Roman" w:eastAsiaTheme="minorHAnsi" w:hAnsi="Times New Roman"/>
            <w:sz w:val="20"/>
            <w:szCs w:val="20"/>
          </w:rPr>
          <w:t>https://www.westlaw.com/Document/Id25876f14a0011db99a18fc28eb0d9ae/View/FullText.html?transitionType=Default&amp;contextData=(sc.Default)&amp;VR=3.0&amp;RS=da3.0&amp;fragmentIdentifier=co_pp_sp_1151_443</w:t>
        </w:r>
      </w:hyperlink>
      <w:r w:rsidRPr="00C83BB2">
        <w:rPr>
          <w:rFonts w:ascii="Times New Roman" w:hAnsi="Times New Roman" w:cs="Times New Roman"/>
        </w:rPr>
        <w:t xml:space="preserve"> (describe algunas de las experiencias y tensiones asociadas con el paso de la función de activista a la de abogade dentro del movimiento por los derechos de gays y lesbianas durante un periodo de desobediencia civil significativa). Dado que los contextos importan, la figura de le abogade-activista como cliente adopta formas diferentes. Por ejemplo, Richard Abel señaló que les abogades de interés público en China, en ocasiones, “han tenido que convertirse en sus propios clientes, obligades a afirmar que encarnan el interés público” debido a la represión estatal de la organización comunitaria y de activistas individuales. Richard L. Abel, </w:t>
      </w:r>
      <w:r w:rsidRPr="00C83BB2">
        <w:rPr>
          <w:rFonts w:ascii="Times New Roman" w:hAnsi="Times New Roman" w:cs="Times New Roman"/>
          <w:i/>
          <w:iCs/>
        </w:rPr>
        <w:t>The Globalization of Public Interest Law</w:t>
      </w:r>
      <w:r w:rsidRPr="00C83BB2">
        <w:rPr>
          <w:rFonts w:ascii="Times New Roman" w:hAnsi="Times New Roman" w:cs="Times New Roman"/>
        </w:rPr>
        <w:t xml:space="preserve">, 13 UCLA J. Int’l L. &amp; Foreign Aff. 295, 299–300 (2008), </w:t>
      </w:r>
      <w:hyperlink r:id="rId106" w:history="1">
        <w:r w:rsidRPr="00C83BB2">
          <w:rPr>
            <w:rStyle w:val="Hyperlink"/>
            <w:rFonts w:ascii="Times New Roman" w:eastAsiaTheme="minorHAnsi" w:hAnsi="Times New Roman"/>
            <w:sz w:val="20"/>
            <w:szCs w:val="20"/>
          </w:rPr>
          <w:t>https://www.westlaw.com/Document/Ia639c54a5fb011de9b8c850332338889/View/FullText.html?transitionType=Default&amp;contextData=(sc.Default)&amp;VR=3.0&amp;RS=da3.0&amp;fragmentIdentifier=co_pp_sp_112136_299</w:t>
        </w:r>
      </w:hyperlink>
      <w:r w:rsidRPr="00C83BB2">
        <w:rPr>
          <w:rFonts w:ascii="Times New Roman" w:hAnsi="Times New Roman" w:cs="Times New Roman"/>
        </w:rPr>
        <w:t>.</w:t>
      </w:r>
    </w:p>
  </w:footnote>
  <w:footnote w:id="356">
    <w:p w14:paraId="38BFEFA4" w14:textId="5B3D95EC" w:rsidR="00E23F6D" w:rsidRPr="00C83BB2" w:rsidRDefault="00E23F6D">
      <w:pPr>
        <w:pStyle w:val="FootnoteText"/>
        <w:rPr>
          <w:rFonts w:ascii="Times New Roman" w:hAnsi="Times New Roman" w:cs="Times New Roman"/>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[2] Véase Christine Zuni Cruz, </w:t>
      </w:r>
      <w:r w:rsidRPr="00C83BB2">
        <w:rPr>
          <w:rFonts w:ascii="Times New Roman" w:hAnsi="Times New Roman" w:cs="Times New Roman"/>
          <w:i/>
          <w:iCs/>
        </w:rPr>
        <w:t>[On the] Road Back In: Community Lawyering in Indigenous Communities</w:t>
      </w:r>
      <w:r w:rsidRPr="00C83BB2">
        <w:rPr>
          <w:rFonts w:ascii="Times New Roman" w:hAnsi="Times New Roman" w:cs="Times New Roman"/>
        </w:rPr>
        <w:t xml:space="preserve">, 24 Am. Indian L. Rev. 229, 258 (2000), </w:t>
      </w:r>
      <w:hyperlink r:id="rId107" w:history="1">
        <w:r w:rsidRPr="00C83BB2">
          <w:rPr>
            <w:rStyle w:val="Hyperlink"/>
            <w:rFonts w:ascii="Times New Roman" w:eastAsiaTheme="minorHAnsi" w:hAnsi="Times New Roman"/>
            <w:sz w:val="20"/>
            <w:szCs w:val="20"/>
          </w:rPr>
          <w:t>https://www.westlaw.com/Document/I92164661226b11dbbab99dfb880c57ae/View/FullText.html?transitionType=Default&amp;contextData=(sc.Default)&amp;VR=3.0&amp;RS=da3.0&amp;fragmentIdentifier=co_pp_sp_1087_258</w:t>
        </w:r>
      </w:hyperlink>
      <w:r w:rsidRPr="00C83BB2">
        <w:rPr>
          <w:rFonts w:ascii="Times New Roman" w:hAnsi="Times New Roman" w:cs="Times New Roman"/>
        </w:rPr>
        <w:t>.</w:t>
      </w:r>
    </w:p>
  </w:footnote>
  <w:footnote w:id="357">
    <w:p w14:paraId="79319ADD" w14:textId="2A88543B" w:rsidR="00E23F6D" w:rsidRPr="00C83BB2" w:rsidRDefault="00E23F6D">
      <w:pPr>
        <w:pStyle w:val="FootnoteText"/>
        <w:rPr>
          <w:rFonts w:ascii="Times New Roman" w:hAnsi="Times New Roman" w:cs="Times New Roman"/>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Gran parte del debate sobre las tensiones entre la representación tradicional y la abogacía sistémica se ha concentrado en la distinción entre la representación individual y grupal dentro de la prestación de servicios jurídicos. Sugerimos que la distinción fundamental no es entre lo individual y lo grupal, sino entre servicios atomizados considerados de manera descontextualizada y carente de estrategia, y aquellos integrados dentro de una comprensión profunda del contexto y de la historia con el fin de impulsar objetivos de tres niveles y cambiar las reglas del juego.</w:t>
      </w:r>
    </w:p>
  </w:footnote>
  <w:footnote w:id="358">
    <w:p w14:paraId="436AE4F6" w14:textId="68C6C74C" w:rsidR="002C3775" w:rsidRPr="00C83BB2" w:rsidRDefault="002C3775">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Rebecca Sharpless, </w:t>
      </w:r>
      <w:r w:rsidRPr="00C83BB2">
        <w:rPr>
          <w:rFonts w:ascii="Times New Roman" w:hAnsi="Times New Roman" w:cs="Times New Roman"/>
          <w:i/>
          <w:iCs/>
        </w:rPr>
        <w:t>More Than One Lane Wide: Against Hierarchies of Helping in Progressive Legal Advocacy</w:t>
      </w:r>
      <w:r w:rsidRPr="00C83BB2">
        <w:rPr>
          <w:rFonts w:ascii="Times New Roman" w:hAnsi="Times New Roman" w:cs="Times New Roman"/>
        </w:rPr>
        <w:t xml:space="preserve">, 19 Clinical L. Rev. 347, 400 (2012), </w:t>
      </w:r>
      <w:hyperlink r:id="rId108" w:history="1">
        <w:r w:rsidRPr="00C83BB2">
          <w:rPr>
            <w:rStyle w:val="Hyperlink"/>
            <w:rFonts w:ascii="Times New Roman" w:eastAsiaTheme="minorHAnsi" w:hAnsi="Times New Roman"/>
            <w:sz w:val="20"/>
            <w:szCs w:val="20"/>
          </w:rPr>
          <w:t>https://www.westlaw.com/Document/I00cd92012fc911e28578f7ccc38dcbee/View/FullText.html?transitionType=Default&amp;contextData=(sc.Default)&amp;VR=3.0&amp;RS=da3.0&amp;fragmentIdentifier=co_pp_sp_106706_400</w:t>
        </w:r>
      </w:hyperlink>
      <w:r w:rsidRPr="00C83BB2">
        <w:rPr>
          <w:rFonts w:ascii="Times New Roman" w:hAnsi="Times New Roman" w:cs="Times New Roman"/>
        </w:rPr>
        <w:t>.</w:t>
      </w:r>
    </w:p>
  </w:footnote>
  <w:footnote w:id="359">
    <w:p w14:paraId="50455642" w14:textId="137C0D6F" w:rsidR="00F30468" w:rsidRPr="00C83BB2" w:rsidRDefault="00F30468">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Louise G. Trubek, </w:t>
      </w:r>
      <w:r w:rsidRPr="00C83BB2">
        <w:rPr>
          <w:rFonts w:ascii="Times New Roman" w:hAnsi="Times New Roman" w:cs="Times New Roman"/>
          <w:i/>
          <w:iCs/>
        </w:rPr>
        <w:t>On Long Haul Lawyering</w:t>
      </w:r>
      <w:r w:rsidRPr="00C83BB2">
        <w:rPr>
          <w:rFonts w:ascii="Times New Roman" w:hAnsi="Times New Roman" w:cs="Times New Roman"/>
        </w:rPr>
        <w:t xml:space="preserve">, 25 Fordham Urb. L.J. 801, 809–10 (1998), </w:t>
      </w:r>
      <w:hyperlink r:id="rId109" w:history="1">
        <w:r w:rsidRPr="00C83BB2">
          <w:rPr>
            <w:rStyle w:val="Hyperlink"/>
            <w:rFonts w:ascii="Times New Roman" w:eastAsiaTheme="minorHAnsi" w:hAnsi="Times New Roman"/>
            <w:sz w:val="20"/>
            <w:szCs w:val="20"/>
          </w:rPr>
          <w:t>https://www.westlaw.com/Document/Ice051f71643811db8a54a698991202fa/View/FullText.html?transitionType=Default&amp;contextData=(sc.Default)&amp;VR=3.0&amp;RS=da3.0&amp;fragmentIdentifier=co_pp_sp_1143_809</w:t>
        </w:r>
      </w:hyperlink>
      <w:r w:rsidRPr="00C83BB2">
        <w:rPr>
          <w:rFonts w:ascii="Times New Roman" w:hAnsi="Times New Roman" w:cs="Times New Roman"/>
        </w:rPr>
        <w:t>.</w:t>
      </w:r>
    </w:p>
  </w:footnote>
  <w:footnote w:id="360">
    <w:p w14:paraId="1BC3A0DF" w14:textId="77777777" w:rsidR="00F30468" w:rsidRPr="00C83BB2" w:rsidRDefault="00F30468" w:rsidP="00F30468">
      <w:pPr>
        <w:pStyle w:val="FootnoteText"/>
        <w:rPr>
          <w:rFonts w:ascii="Times New Roman" w:hAnsi="Times New Roman" w:cs="Times New Roman"/>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Brian Glick, </w:t>
      </w:r>
      <w:r w:rsidRPr="00C83BB2">
        <w:rPr>
          <w:rFonts w:ascii="Times New Roman" w:hAnsi="Times New Roman" w:cs="Times New Roman"/>
          <w:i/>
          <w:iCs/>
        </w:rPr>
        <w:t>Two, Three, Many Rosas! Rebellious Lawyers and Progressive Activist Organizations</w:t>
      </w:r>
      <w:r w:rsidRPr="00C83BB2">
        <w:rPr>
          <w:rFonts w:ascii="Times New Roman" w:hAnsi="Times New Roman" w:cs="Times New Roman"/>
        </w:rPr>
        <w:t>, 23 Clinical L. Rev. 611, 617 (2017).</w:t>
      </w:r>
    </w:p>
    <w:p w14:paraId="6E3C301D" w14:textId="3AFF51AB" w:rsidR="00F30468" w:rsidRPr="00C83BB2" w:rsidRDefault="00F30468">
      <w:pPr>
        <w:pStyle w:val="FootnoteText"/>
        <w:rPr>
          <w:rFonts w:ascii="Times New Roman" w:hAnsi="Times New Roman" w:cs="Times New Roman"/>
          <w:lang w:val="en-US"/>
        </w:rPr>
      </w:pPr>
    </w:p>
  </w:footnote>
  <w:footnote w:id="361">
    <w:p w14:paraId="6991CE16" w14:textId="64290A6F" w:rsidR="00440443" w:rsidRPr="00C83BB2" w:rsidRDefault="00440443">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Eric K. Yamamoto, </w:t>
      </w:r>
      <w:r w:rsidRPr="00C83BB2">
        <w:rPr>
          <w:rFonts w:ascii="Times New Roman" w:hAnsi="Times New Roman" w:cs="Times New Roman"/>
          <w:i/>
          <w:iCs/>
        </w:rPr>
        <w:t>Rethinking Alliances: Agency, Responsibility and Interracial Justice</w:t>
      </w:r>
      <w:r w:rsidRPr="00C83BB2">
        <w:rPr>
          <w:rFonts w:ascii="Times New Roman" w:hAnsi="Times New Roman" w:cs="Times New Roman"/>
        </w:rPr>
        <w:t xml:space="preserve">, 3 Asian Pac. Am. L.J. 33, 69 (1995), </w:t>
      </w:r>
      <w:hyperlink r:id="rId110" w:history="1">
        <w:r w:rsidRPr="00C83BB2">
          <w:rPr>
            <w:rStyle w:val="Hyperlink"/>
            <w:rFonts w:ascii="Times New Roman" w:eastAsiaTheme="minorHAnsi" w:hAnsi="Times New Roman"/>
            <w:sz w:val="20"/>
            <w:szCs w:val="20"/>
          </w:rPr>
          <w:t>https://www.westlaw.com/Document/I3c376bb14a6c11db99a18fc28eb0d9ae/View/FullText.html?transitionType=Default&amp;contextData=(sc.Default)&amp;VR=3.0&amp;RS=da3.0&amp;fragmentIdentifier=co_pp_sp_107340_69</w:t>
        </w:r>
      </w:hyperlink>
      <w:r w:rsidRPr="00C83BB2">
        <w:rPr>
          <w:rFonts w:ascii="Times New Roman" w:hAnsi="Times New Roman" w:cs="Times New Roman"/>
        </w:rPr>
        <w:t>.</w:t>
      </w:r>
      <w:r w:rsidR="006C5913" w:rsidRPr="00C83BB2">
        <w:rPr>
          <w:rFonts w:ascii="Times New Roman" w:hAnsi="Times New Roman" w:cs="Times New Roman"/>
        </w:rPr>
        <w:t>a</w:t>
      </w:r>
    </w:p>
  </w:footnote>
  <w:footnote w:id="362">
    <w:p w14:paraId="6A08B5D1" w14:textId="21A0A0FB" w:rsidR="009257E7" w:rsidRPr="00324279" w:rsidRDefault="009257E7">
      <w:pPr>
        <w:pStyle w:val="FootnoteText"/>
        <w:rPr>
          <w:rFonts w:ascii="Times New Roman" w:hAnsi="Times New Roman" w:cs="Times New Roman"/>
          <w:lang w:val="en-US"/>
        </w:rPr>
      </w:pPr>
      <w:r w:rsidRPr="00C83BB2">
        <w:rPr>
          <w:rStyle w:val="FootnoteReference"/>
          <w:rFonts w:ascii="Times New Roman" w:hAnsi="Times New Roman" w:cs="Times New Roman"/>
        </w:rPr>
        <w:footnoteRef/>
      </w:r>
      <w:r w:rsidRPr="00C83BB2">
        <w:rPr>
          <w:rFonts w:ascii="Times New Roman" w:hAnsi="Times New Roman" w:cs="Times New Roman"/>
        </w:rPr>
        <w:t xml:space="preserve"> </w:t>
      </w:r>
      <w:r w:rsidRPr="00C83BB2">
        <w:rPr>
          <w:rFonts w:ascii="Times New Roman" w:hAnsi="Times New Roman" w:cs="Times New Roman"/>
        </w:rPr>
        <w:t xml:space="preserve">Sameer M. Ashar, </w:t>
      </w:r>
      <w:r w:rsidRPr="00C83BB2">
        <w:rPr>
          <w:rFonts w:ascii="Times New Roman" w:hAnsi="Times New Roman" w:cs="Times New Roman"/>
          <w:i/>
          <w:iCs/>
        </w:rPr>
        <w:t>Deep Critique and Democratic Lawyering in Clinical Practice</w:t>
      </w:r>
      <w:r w:rsidRPr="00C83BB2">
        <w:rPr>
          <w:rFonts w:ascii="Times New Roman" w:hAnsi="Times New Roman" w:cs="Times New Roman"/>
        </w:rPr>
        <w:t>, 104 Cal. L. Rev. 201 (2016)</w:t>
      </w:r>
      <w:r w:rsidR="00324279">
        <w:rPr>
          <w:rFonts w:ascii="Times New Roman" w:hAnsi="Times New Roman" w:cs="Times New Roman"/>
          <w:lang w:val="en-US"/>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1F0F5D"/>
    <w:multiLevelType w:val="multilevel"/>
    <w:tmpl w:val="4252A06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5D40D34"/>
    <w:multiLevelType w:val="hybridMultilevel"/>
    <w:tmpl w:val="616A7D9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FF369FC"/>
    <w:multiLevelType w:val="multilevel"/>
    <w:tmpl w:val="5F164E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0A0537B"/>
    <w:multiLevelType w:val="multilevel"/>
    <w:tmpl w:val="A376973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CF73F3B"/>
    <w:multiLevelType w:val="multilevel"/>
    <w:tmpl w:val="06A2B77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47C244C"/>
    <w:multiLevelType w:val="multilevel"/>
    <w:tmpl w:val="67686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7101061"/>
    <w:multiLevelType w:val="multilevel"/>
    <w:tmpl w:val="1DE678B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AA91B1E"/>
    <w:multiLevelType w:val="multilevel"/>
    <w:tmpl w:val="F4923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79F5DAD"/>
    <w:multiLevelType w:val="hybridMultilevel"/>
    <w:tmpl w:val="7A6E5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87563F3"/>
    <w:multiLevelType w:val="multilevel"/>
    <w:tmpl w:val="73DC3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BB46D3D"/>
    <w:multiLevelType w:val="multilevel"/>
    <w:tmpl w:val="F960642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E085B58"/>
    <w:multiLevelType w:val="multilevel"/>
    <w:tmpl w:val="16E0F59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E583C24"/>
    <w:multiLevelType w:val="hybridMultilevel"/>
    <w:tmpl w:val="F3D6F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2A419F1"/>
    <w:multiLevelType w:val="multilevel"/>
    <w:tmpl w:val="E3C6AA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4D41E13"/>
    <w:multiLevelType w:val="multilevel"/>
    <w:tmpl w:val="CEB23D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8853184"/>
    <w:multiLevelType w:val="hybridMultilevel"/>
    <w:tmpl w:val="8A0ED4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A4973BA"/>
    <w:multiLevelType w:val="multilevel"/>
    <w:tmpl w:val="DB0C096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CAC0CDD"/>
    <w:multiLevelType w:val="multilevel"/>
    <w:tmpl w:val="643253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ECE4FC0"/>
    <w:multiLevelType w:val="multilevel"/>
    <w:tmpl w:val="A33CAB0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3BB5C37"/>
    <w:multiLevelType w:val="multilevel"/>
    <w:tmpl w:val="D18098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4391BCD"/>
    <w:multiLevelType w:val="multilevel"/>
    <w:tmpl w:val="9232F43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7601543"/>
    <w:multiLevelType w:val="multilevel"/>
    <w:tmpl w:val="0C0A3710"/>
    <w:lvl w:ilvl="0">
      <w:start w:val="1"/>
      <w:numFmt w:val="decimal"/>
      <w:lvlText w:val="%1."/>
      <w:lvlJc w:val="left"/>
      <w:pPr>
        <w:tabs>
          <w:tab w:val="num" w:pos="720"/>
        </w:tabs>
        <w:ind w:left="720" w:hanging="360"/>
      </w:pPr>
    </w:lvl>
    <w:lvl w:ilvl="1">
      <w:numFmt w:val="bullet"/>
      <w:lvlText w:val="·"/>
      <w:lvlJc w:val="left"/>
      <w:pPr>
        <w:ind w:left="1440" w:hanging="360"/>
      </w:pPr>
      <w:rPr>
        <w:rFonts w:ascii="Times New Roman" w:eastAsia="Times New Roman"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9A77131"/>
    <w:multiLevelType w:val="multilevel"/>
    <w:tmpl w:val="8B5CB61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19F43A5"/>
    <w:multiLevelType w:val="multilevel"/>
    <w:tmpl w:val="AD4A68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359757F"/>
    <w:multiLevelType w:val="multilevel"/>
    <w:tmpl w:val="D99A6D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41E7B9A"/>
    <w:multiLevelType w:val="multilevel"/>
    <w:tmpl w:val="39AAA0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48E3E80"/>
    <w:multiLevelType w:val="multilevel"/>
    <w:tmpl w:val="CB66BD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9950F49"/>
    <w:multiLevelType w:val="multilevel"/>
    <w:tmpl w:val="0C3A4FD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D54542B"/>
    <w:multiLevelType w:val="multilevel"/>
    <w:tmpl w:val="63D44F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21275424">
    <w:abstractNumId w:val="15"/>
  </w:num>
  <w:num w:numId="2" w16cid:durableId="1505166827">
    <w:abstractNumId w:val="17"/>
  </w:num>
  <w:num w:numId="3" w16cid:durableId="573930763">
    <w:abstractNumId w:val="26"/>
  </w:num>
  <w:num w:numId="4" w16cid:durableId="761026100">
    <w:abstractNumId w:val="22"/>
  </w:num>
  <w:num w:numId="5" w16cid:durableId="883101204">
    <w:abstractNumId w:val="28"/>
  </w:num>
  <w:num w:numId="6" w16cid:durableId="480661975">
    <w:abstractNumId w:val="14"/>
  </w:num>
  <w:num w:numId="7" w16cid:durableId="203062666">
    <w:abstractNumId w:val="9"/>
  </w:num>
  <w:num w:numId="8" w16cid:durableId="1249463839">
    <w:abstractNumId w:val="24"/>
  </w:num>
  <w:num w:numId="9" w16cid:durableId="2129666825">
    <w:abstractNumId w:val="6"/>
  </w:num>
  <w:num w:numId="10" w16cid:durableId="980813275">
    <w:abstractNumId w:val="10"/>
  </w:num>
  <w:num w:numId="11" w16cid:durableId="594365393">
    <w:abstractNumId w:val="16"/>
  </w:num>
  <w:num w:numId="12" w16cid:durableId="828789840">
    <w:abstractNumId w:val="12"/>
  </w:num>
  <w:num w:numId="13" w16cid:durableId="1206792452">
    <w:abstractNumId w:val="1"/>
  </w:num>
  <w:num w:numId="14" w16cid:durableId="1316644562">
    <w:abstractNumId w:val="8"/>
  </w:num>
  <w:num w:numId="15" w16cid:durableId="450828079">
    <w:abstractNumId w:val="2"/>
  </w:num>
  <w:num w:numId="16" w16cid:durableId="1456757087">
    <w:abstractNumId w:val="3"/>
  </w:num>
  <w:num w:numId="17" w16cid:durableId="266737899">
    <w:abstractNumId w:val="21"/>
  </w:num>
  <w:num w:numId="18" w16cid:durableId="598022386">
    <w:abstractNumId w:val="19"/>
  </w:num>
  <w:num w:numId="19" w16cid:durableId="1167088786">
    <w:abstractNumId w:val="25"/>
  </w:num>
  <w:num w:numId="20" w16cid:durableId="147594835">
    <w:abstractNumId w:val="23"/>
  </w:num>
  <w:num w:numId="21" w16cid:durableId="1002899955">
    <w:abstractNumId w:val="0"/>
  </w:num>
  <w:num w:numId="22" w16cid:durableId="1902327136">
    <w:abstractNumId w:val="13"/>
  </w:num>
  <w:num w:numId="23" w16cid:durableId="1812867405">
    <w:abstractNumId w:val="18"/>
  </w:num>
  <w:num w:numId="24" w16cid:durableId="2022051965">
    <w:abstractNumId w:val="4"/>
  </w:num>
  <w:num w:numId="25" w16cid:durableId="340357567">
    <w:abstractNumId w:val="11"/>
  </w:num>
  <w:num w:numId="26" w16cid:durableId="499780934">
    <w:abstractNumId w:val="27"/>
  </w:num>
  <w:num w:numId="27" w16cid:durableId="6031129">
    <w:abstractNumId w:val="20"/>
  </w:num>
  <w:num w:numId="28" w16cid:durableId="725225143">
    <w:abstractNumId w:val="5"/>
  </w:num>
  <w:num w:numId="29" w16cid:durableId="769853588">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2E3B"/>
    <w:rsid w:val="000004FC"/>
    <w:rsid w:val="000027D0"/>
    <w:rsid w:val="00003D2C"/>
    <w:rsid w:val="000041DC"/>
    <w:rsid w:val="00004340"/>
    <w:rsid w:val="000050C8"/>
    <w:rsid w:val="000055B6"/>
    <w:rsid w:val="00005688"/>
    <w:rsid w:val="000062EF"/>
    <w:rsid w:val="0000633B"/>
    <w:rsid w:val="000103CF"/>
    <w:rsid w:val="0001236C"/>
    <w:rsid w:val="000136D4"/>
    <w:rsid w:val="000172F9"/>
    <w:rsid w:val="00020252"/>
    <w:rsid w:val="0002081D"/>
    <w:rsid w:val="00021262"/>
    <w:rsid w:val="00023819"/>
    <w:rsid w:val="00023910"/>
    <w:rsid w:val="0002410E"/>
    <w:rsid w:val="00024186"/>
    <w:rsid w:val="00024730"/>
    <w:rsid w:val="00026962"/>
    <w:rsid w:val="00035F29"/>
    <w:rsid w:val="00036432"/>
    <w:rsid w:val="00041F56"/>
    <w:rsid w:val="00041FAF"/>
    <w:rsid w:val="00042812"/>
    <w:rsid w:val="00042E3B"/>
    <w:rsid w:val="000452BB"/>
    <w:rsid w:val="00047D42"/>
    <w:rsid w:val="00051B94"/>
    <w:rsid w:val="0005214B"/>
    <w:rsid w:val="00052685"/>
    <w:rsid w:val="0005444C"/>
    <w:rsid w:val="00056094"/>
    <w:rsid w:val="000575D3"/>
    <w:rsid w:val="00062DD2"/>
    <w:rsid w:val="00065B81"/>
    <w:rsid w:val="00067D38"/>
    <w:rsid w:val="000700FF"/>
    <w:rsid w:val="0007091A"/>
    <w:rsid w:val="00071F3C"/>
    <w:rsid w:val="00073427"/>
    <w:rsid w:val="000744A1"/>
    <w:rsid w:val="000752DD"/>
    <w:rsid w:val="00084636"/>
    <w:rsid w:val="00084A63"/>
    <w:rsid w:val="00085028"/>
    <w:rsid w:val="000859AB"/>
    <w:rsid w:val="00090EC1"/>
    <w:rsid w:val="00095153"/>
    <w:rsid w:val="000956EB"/>
    <w:rsid w:val="0009715D"/>
    <w:rsid w:val="000A0778"/>
    <w:rsid w:val="000A0915"/>
    <w:rsid w:val="000A114B"/>
    <w:rsid w:val="000A1C6D"/>
    <w:rsid w:val="000A3042"/>
    <w:rsid w:val="000A3048"/>
    <w:rsid w:val="000A3C63"/>
    <w:rsid w:val="000A4240"/>
    <w:rsid w:val="000A4A57"/>
    <w:rsid w:val="000A708E"/>
    <w:rsid w:val="000B14B1"/>
    <w:rsid w:val="000B2974"/>
    <w:rsid w:val="000B5D8F"/>
    <w:rsid w:val="000C4A85"/>
    <w:rsid w:val="000C5D6A"/>
    <w:rsid w:val="000C685D"/>
    <w:rsid w:val="000C6D56"/>
    <w:rsid w:val="000E1DBB"/>
    <w:rsid w:val="000E276B"/>
    <w:rsid w:val="000E422F"/>
    <w:rsid w:val="000E43C5"/>
    <w:rsid w:val="000E5169"/>
    <w:rsid w:val="000E6A02"/>
    <w:rsid w:val="000E72AA"/>
    <w:rsid w:val="000F007C"/>
    <w:rsid w:val="000F3B69"/>
    <w:rsid w:val="000F56E0"/>
    <w:rsid w:val="00103345"/>
    <w:rsid w:val="0010623F"/>
    <w:rsid w:val="001066D4"/>
    <w:rsid w:val="00114114"/>
    <w:rsid w:val="00114E9E"/>
    <w:rsid w:val="001154CE"/>
    <w:rsid w:val="001162EC"/>
    <w:rsid w:val="00116DCF"/>
    <w:rsid w:val="001213D6"/>
    <w:rsid w:val="001223BC"/>
    <w:rsid w:val="00126360"/>
    <w:rsid w:val="0012669D"/>
    <w:rsid w:val="001307C8"/>
    <w:rsid w:val="00130D72"/>
    <w:rsid w:val="001339D1"/>
    <w:rsid w:val="00133A18"/>
    <w:rsid w:val="00141789"/>
    <w:rsid w:val="00142892"/>
    <w:rsid w:val="001476AB"/>
    <w:rsid w:val="00147CC4"/>
    <w:rsid w:val="001512AE"/>
    <w:rsid w:val="0015208B"/>
    <w:rsid w:val="0015336C"/>
    <w:rsid w:val="00153433"/>
    <w:rsid w:val="0015347E"/>
    <w:rsid w:val="00154962"/>
    <w:rsid w:val="00155EFD"/>
    <w:rsid w:val="00157DB2"/>
    <w:rsid w:val="001643E8"/>
    <w:rsid w:val="0016444B"/>
    <w:rsid w:val="0017065C"/>
    <w:rsid w:val="00171674"/>
    <w:rsid w:val="00172193"/>
    <w:rsid w:val="001735BD"/>
    <w:rsid w:val="00173B8F"/>
    <w:rsid w:val="001747C4"/>
    <w:rsid w:val="001814FF"/>
    <w:rsid w:val="0018198D"/>
    <w:rsid w:val="00181DF9"/>
    <w:rsid w:val="001830E6"/>
    <w:rsid w:val="00183B3B"/>
    <w:rsid w:val="0018587B"/>
    <w:rsid w:val="00186841"/>
    <w:rsid w:val="00187371"/>
    <w:rsid w:val="00193D20"/>
    <w:rsid w:val="00197510"/>
    <w:rsid w:val="0019771B"/>
    <w:rsid w:val="00197F51"/>
    <w:rsid w:val="001A1C35"/>
    <w:rsid w:val="001A27A0"/>
    <w:rsid w:val="001A3A6E"/>
    <w:rsid w:val="001A4405"/>
    <w:rsid w:val="001A45AE"/>
    <w:rsid w:val="001B0880"/>
    <w:rsid w:val="001B0CF4"/>
    <w:rsid w:val="001B2E91"/>
    <w:rsid w:val="001B72B6"/>
    <w:rsid w:val="001C20B8"/>
    <w:rsid w:val="001C3985"/>
    <w:rsid w:val="001C3B54"/>
    <w:rsid w:val="001C7699"/>
    <w:rsid w:val="001C7CFF"/>
    <w:rsid w:val="001D2BF6"/>
    <w:rsid w:val="001D3404"/>
    <w:rsid w:val="001D3939"/>
    <w:rsid w:val="001D4469"/>
    <w:rsid w:val="001D4F1C"/>
    <w:rsid w:val="001D5379"/>
    <w:rsid w:val="001E1232"/>
    <w:rsid w:val="001E1E91"/>
    <w:rsid w:val="001E4969"/>
    <w:rsid w:val="001E4C69"/>
    <w:rsid w:val="001E5EC7"/>
    <w:rsid w:val="001F1AC2"/>
    <w:rsid w:val="001F3055"/>
    <w:rsid w:val="001F3F68"/>
    <w:rsid w:val="001F432C"/>
    <w:rsid w:val="001F4726"/>
    <w:rsid w:val="001F7BAB"/>
    <w:rsid w:val="0020033A"/>
    <w:rsid w:val="00200EA4"/>
    <w:rsid w:val="0020445D"/>
    <w:rsid w:val="002117FF"/>
    <w:rsid w:val="0021552A"/>
    <w:rsid w:val="002156F2"/>
    <w:rsid w:val="002214EA"/>
    <w:rsid w:val="00221BC4"/>
    <w:rsid w:val="002230D3"/>
    <w:rsid w:val="00223D92"/>
    <w:rsid w:val="00226B7F"/>
    <w:rsid w:val="00230894"/>
    <w:rsid w:val="002311BA"/>
    <w:rsid w:val="00234CA3"/>
    <w:rsid w:val="002353AF"/>
    <w:rsid w:val="00235AE9"/>
    <w:rsid w:val="0023792F"/>
    <w:rsid w:val="002420D7"/>
    <w:rsid w:val="0024453E"/>
    <w:rsid w:val="00257CA1"/>
    <w:rsid w:val="00260098"/>
    <w:rsid w:val="00260636"/>
    <w:rsid w:val="002616AD"/>
    <w:rsid w:val="00262C87"/>
    <w:rsid w:val="00265B3A"/>
    <w:rsid w:val="00266562"/>
    <w:rsid w:val="00267A3A"/>
    <w:rsid w:val="00270959"/>
    <w:rsid w:val="002713A9"/>
    <w:rsid w:val="0027359C"/>
    <w:rsid w:val="0027465E"/>
    <w:rsid w:val="00275588"/>
    <w:rsid w:val="002770A0"/>
    <w:rsid w:val="00284AF7"/>
    <w:rsid w:val="002851C3"/>
    <w:rsid w:val="0028714D"/>
    <w:rsid w:val="00290215"/>
    <w:rsid w:val="00291F3F"/>
    <w:rsid w:val="00292994"/>
    <w:rsid w:val="002930E2"/>
    <w:rsid w:val="002942C3"/>
    <w:rsid w:val="002962AA"/>
    <w:rsid w:val="002A78F1"/>
    <w:rsid w:val="002B5161"/>
    <w:rsid w:val="002B55F0"/>
    <w:rsid w:val="002B69DA"/>
    <w:rsid w:val="002B78F0"/>
    <w:rsid w:val="002C06B2"/>
    <w:rsid w:val="002C25C7"/>
    <w:rsid w:val="002C3775"/>
    <w:rsid w:val="002C3DE5"/>
    <w:rsid w:val="002C6BB1"/>
    <w:rsid w:val="002C6F39"/>
    <w:rsid w:val="002C7D06"/>
    <w:rsid w:val="002D2304"/>
    <w:rsid w:val="002D2305"/>
    <w:rsid w:val="002D3282"/>
    <w:rsid w:val="002D4D59"/>
    <w:rsid w:val="002D6A7C"/>
    <w:rsid w:val="002D6B0F"/>
    <w:rsid w:val="002E51F2"/>
    <w:rsid w:val="002E6A4E"/>
    <w:rsid w:val="002F02D7"/>
    <w:rsid w:val="002F0F96"/>
    <w:rsid w:val="002F4330"/>
    <w:rsid w:val="002F633C"/>
    <w:rsid w:val="002F7971"/>
    <w:rsid w:val="0030050B"/>
    <w:rsid w:val="00300FA5"/>
    <w:rsid w:val="00301467"/>
    <w:rsid w:val="00302D67"/>
    <w:rsid w:val="00306169"/>
    <w:rsid w:val="003062C4"/>
    <w:rsid w:val="00312784"/>
    <w:rsid w:val="00312EE8"/>
    <w:rsid w:val="00312F3F"/>
    <w:rsid w:val="003145C5"/>
    <w:rsid w:val="00316677"/>
    <w:rsid w:val="00316E10"/>
    <w:rsid w:val="003173D3"/>
    <w:rsid w:val="0032121F"/>
    <w:rsid w:val="00321EFA"/>
    <w:rsid w:val="0032345D"/>
    <w:rsid w:val="00324279"/>
    <w:rsid w:val="00326512"/>
    <w:rsid w:val="003275FF"/>
    <w:rsid w:val="00331848"/>
    <w:rsid w:val="003329C7"/>
    <w:rsid w:val="00340488"/>
    <w:rsid w:val="00340619"/>
    <w:rsid w:val="00343CDE"/>
    <w:rsid w:val="00345880"/>
    <w:rsid w:val="00350374"/>
    <w:rsid w:val="00351BBA"/>
    <w:rsid w:val="003520CA"/>
    <w:rsid w:val="00355A03"/>
    <w:rsid w:val="00365EBB"/>
    <w:rsid w:val="003670CB"/>
    <w:rsid w:val="00373662"/>
    <w:rsid w:val="003737F5"/>
    <w:rsid w:val="00386164"/>
    <w:rsid w:val="00396723"/>
    <w:rsid w:val="003A05DF"/>
    <w:rsid w:val="003A0792"/>
    <w:rsid w:val="003A095A"/>
    <w:rsid w:val="003A2900"/>
    <w:rsid w:val="003A2D35"/>
    <w:rsid w:val="003A53C9"/>
    <w:rsid w:val="003A7C56"/>
    <w:rsid w:val="003B1F9A"/>
    <w:rsid w:val="003B3129"/>
    <w:rsid w:val="003B37FD"/>
    <w:rsid w:val="003B5A9F"/>
    <w:rsid w:val="003C3484"/>
    <w:rsid w:val="003C409B"/>
    <w:rsid w:val="003C50F5"/>
    <w:rsid w:val="003C5531"/>
    <w:rsid w:val="003D0915"/>
    <w:rsid w:val="003D24EC"/>
    <w:rsid w:val="003D2679"/>
    <w:rsid w:val="003D3709"/>
    <w:rsid w:val="003D4255"/>
    <w:rsid w:val="003D6416"/>
    <w:rsid w:val="003E58FE"/>
    <w:rsid w:val="003F36FB"/>
    <w:rsid w:val="003F4EB5"/>
    <w:rsid w:val="003F62CA"/>
    <w:rsid w:val="003F6312"/>
    <w:rsid w:val="00400247"/>
    <w:rsid w:val="004008AC"/>
    <w:rsid w:val="00400B01"/>
    <w:rsid w:val="0040103B"/>
    <w:rsid w:val="00405EAE"/>
    <w:rsid w:val="004063AC"/>
    <w:rsid w:val="00407059"/>
    <w:rsid w:val="00407E07"/>
    <w:rsid w:val="0041013A"/>
    <w:rsid w:val="00411078"/>
    <w:rsid w:val="004112C3"/>
    <w:rsid w:val="004131CE"/>
    <w:rsid w:val="0041679E"/>
    <w:rsid w:val="00420C0E"/>
    <w:rsid w:val="00422A5E"/>
    <w:rsid w:val="00422B2A"/>
    <w:rsid w:val="004242F4"/>
    <w:rsid w:val="0042458C"/>
    <w:rsid w:val="004252A4"/>
    <w:rsid w:val="00425B9D"/>
    <w:rsid w:val="00425F52"/>
    <w:rsid w:val="0042609A"/>
    <w:rsid w:val="0042633B"/>
    <w:rsid w:val="00427359"/>
    <w:rsid w:val="00430B85"/>
    <w:rsid w:val="00431239"/>
    <w:rsid w:val="004312A8"/>
    <w:rsid w:val="0043273C"/>
    <w:rsid w:val="00434DE9"/>
    <w:rsid w:val="00436A29"/>
    <w:rsid w:val="004371CD"/>
    <w:rsid w:val="004401D1"/>
    <w:rsid w:val="00440443"/>
    <w:rsid w:val="004405F9"/>
    <w:rsid w:val="004431F2"/>
    <w:rsid w:val="00444E57"/>
    <w:rsid w:val="00445BC9"/>
    <w:rsid w:val="00452E49"/>
    <w:rsid w:val="00452F88"/>
    <w:rsid w:val="00453DC0"/>
    <w:rsid w:val="00456927"/>
    <w:rsid w:val="00460784"/>
    <w:rsid w:val="004608FB"/>
    <w:rsid w:val="00461952"/>
    <w:rsid w:val="00466882"/>
    <w:rsid w:val="00467933"/>
    <w:rsid w:val="00467B07"/>
    <w:rsid w:val="00467FA1"/>
    <w:rsid w:val="0047150D"/>
    <w:rsid w:val="004756CB"/>
    <w:rsid w:val="00477746"/>
    <w:rsid w:val="00480DED"/>
    <w:rsid w:val="004813C6"/>
    <w:rsid w:val="00482EC0"/>
    <w:rsid w:val="0048323D"/>
    <w:rsid w:val="00487312"/>
    <w:rsid w:val="00487C34"/>
    <w:rsid w:val="004908F0"/>
    <w:rsid w:val="00493673"/>
    <w:rsid w:val="004936E4"/>
    <w:rsid w:val="0049701E"/>
    <w:rsid w:val="004A1F25"/>
    <w:rsid w:val="004A3C38"/>
    <w:rsid w:val="004A4785"/>
    <w:rsid w:val="004B1495"/>
    <w:rsid w:val="004B1CB4"/>
    <w:rsid w:val="004B3610"/>
    <w:rsid w:val="004B4165"/>
    <w:rsid w:val="004B48D2"/>
    <w:rsid w:val="004B4956"/>
    <w:rsid w:val="004C0044"/>
    <w:rsid w:val="004C3478"/>
    <w:rsid w:val="004C4615"/>
    <w:rsid w:val="004C4F3F"/>
    <w:rsid w:val="004C6767"/>
    <w:rsid w:val="004C76F1"/>
    <w:rsid w:val="004D1167"/>
    <w:rsid w:val="004D23FE"/>
    <w:rsid w:val="004D2F78"/>
    <w:rsid w:val="004D4152"/>
    <w:rsid w:val="004E049C"/>
    <w:rsid w:val="004E154B"/>
    <w:rsid w:val="004E381A"/>
    <w:rsid w:val="004E4258"/>
    <w:rsid w:val="004E5C65"/>
    <w:rsid w:val="004E5D49"/>
    <w:rsid w:val="004E7A6A"/>
    <w:rsid w:val="004F11AF"/>
    <w:rsid w:val="004F268F"/>
    <w:rsid w:val="004F2C58"/>
    <w:rsid w:val="004F7BFA"/>
    <w:rsid w:val="005005B2"/>
    <w:rsid w:val="0050091A"/>
    <w:rsid w:val="00504E76"/>
    <w:rsid w:val="00505C68"/>
    <w:rsid w:val="00505D83"/>
    <w:rsid w:val="005061E9"/>
    <w:rsid w:val="00506B4C"/>
    <w:rsid w:val="005079D8"/>
    <w:rsid w:val="00511183"/>
    <w:rsid w:val="00511E5D"/>
    <w:rsid w:val="00512335"/>
    <w:rsid w:val="005165CE"/>
    <w:rsid w:val="005175C4"/>
    <w:rsid w:val="00517FD0"/>
    <w:rsid w:val="0052156B"/>
    <w:rsid w:val="00521D48"/>
    <w:rsid w:val="00521F2C"/>
    <w:rsid w:val="00523D1D"/>
    <w:rsid w:val="00534F48"/>
    <w:rsid w:val="00537040"/>
    <w:rsid w:val="0054072C"/>
    <w:rsid w:val="005409B6"/>
    <w:rsid w:val="00540F7E"/>
    <w:rsid w:val="00542228"/>
    <w:rsid w:val="005437BC"/>
    <w:rsid w:val="00545E4D"/>
    <w:rsid w:val="00546688"/>
    <w:rsid w:val="00547279"/>
    <w:rsid w:val="00547CCA"/>
    <w:rsid w:val="005515DD"/>
    <w:rsid w:val="00552D24"/>
    <w:rsid w:val="00555416"/>
    <w:rsid w:val="0055660B"/>
    <w:rsid w:val="00556859"/>
    <w:rsid w:val="005571E3"/>
    <w:rsid w:val="005577DE"/>
    <w:rsid w:val="005601FB"/>
    <w:rsid w:val="005604A3"/>
    <w:rsid w:val="00561C7D"/>
    <w:rsid w:val="00562686"/>
    <w:rsid w:val="0056644C"/>
    <w:rsid w:val="0056730D"/>
    <w:rsid w:val="00570721"/>
    <w:rsid w:val="00571D4B"/>
    <w:rsid w:val="00574252"/>
    <w:rsid w:val="00574264"/>
    <w:rsid w:val="00580F7D"/>
    <w:rsid w:val="00581C58"/>
    <w:rsid w:val="00583530"/>
    <w:rsid w:val="00583CA9"/>
    <w:rsid w:val="00586605"/>
    <w:rsid w:val="00587C9D"/>
    <w:rsid w:val="0059238F"/>
    <w:rsid w:val="00593E63"/>
    <w:rsid w:val="00594406"/>
    <w:rsid w:val="005946C8"/>
    <w:rsid w:val="00596E93"/>
    <w:rsid w:val="00597278"/>
    <w:rsid w:val="005A0E3D"/>
    <w:rsid w:val="005A1265"/>
    <w:rsid w:val="005A2812"/>
    <w:rsid w:val="005A2C84"/>
    <w:rsid w:val="005A5781"/>
    <w:rsid w:val="005A630C"/>
    <w:rsid w:val="005B408D"/>
    <w:rsid w:val="005B71A6"/>
    <w:rsid w:val="005C0491"/>
    <w:rsid w:val="005C4540"/>
    <w:rsid w:val="005C460B"/>
    <w:rsid w:val="005C4E4E"/>
    <w:rsid w:val="005C51C3"/>
    <w:rsid w:val="005D097A"/>
    <w:rsid w:val="005D0D98"/>
    <w:rsid w:val="005D0E16"/>
    <w:rsid w:val="005D1470"/>
    <w:rsid w:val="005D3711"/>
    <w:rsid w:val="005E0005"/>
    <w:rsid w:val="005E019D"/>
    <w:rsid w:val="005E3F3C"/>
    <w:rsid w:val="005E578F"/>
    <w:rsid w:val="005E5B63"/>
    <w:rsid w:val="005F041B"/>
    <w:rsid w:val="005F259D"/>
    <w:rsid w:val="005F2CD7"/>
    <w:rsid w:val="005F3263"/>
    <w:rsid w:val="005F7BD3"/>
    <w:rsid w:val="006000D1"/>
    <w:rsid w:val="00600508"/>
    <w:rsid w:val="00600B0E"/>
    <w:rsid w:val="00601A66"/>
    <w:rsid w:val="00601E6A"/>
    <w:rsid w:val="0060217B"/>
    <w:rsid w:val="00604240"/>
    <w:rsid w:val="00606FB0"/>
    <w:rsid w:val="00611F5C"/>
    <w:rsid w:val="00612240"/>
    <w:rsid w:val="00613F2C"/>
    <w:rsid w:val="00616418"/>
    <w:rsid w:val="006174F3"/>
    <w:rsid w:val="006205C8"/>
    <w:rsid w:val="00623048"/>
    <w:rsid w:val="0062376C"/>
    <w:rsid w:val="0062510E"/>
    <w:rsid w:val="00626851"/>
    <w:rsid w:val="00626A4A"/>
    <w:rsid w:val="00632205"/>
    <w:rsid w:val="00633E9C"/>
    <w:rsid w:val="00634DC3"/>
    <w:rsid w:val="00636A05"/>
    <w:rsid w:val="00637529"/>
    <w:rsid w:val="006403A3"/>
    <w:rsid w:val="00640C77"/>
    <w:rsid w:val="00641E26"/>
    <w:rsid w:val="006421C0"/>
    <w:rsid w:val="006432FC"/>
    <w:rsid w:val="006478C9"/>
    <w:rsid w:val="00647B23"/>
    <w:rsid w:val="00650FAA"/>
    <w:rsid w:val="0065265D"/>
    <w:rsid w:val="00652913"/>
    <w:rsid w:val="00654960"/>
    <w:rsid w:val="006557EF"/>
    <w:rsid w:val="006573FD"/>
    <w:rsid w:val="0065756E"/>
    <w:rsid w:val="00663CCF"/>
    <w:rsid w:val="00663D32"/>
    <w:rsid w:val="00664ADF"/>
    <w:rsid w:val="0066538D"/>
    <w:rsid w:val="00666322"/>
    <w:rsid w:val="00670D0E"/>
    <w:rsid w:val="006710B8"/>
    <w:rsid w:val="006717F3"/>
    <w:rsid w:val="006742F5"/>
    <w:rsid w:val="006753BC"/>
    <w:rsid w:val="006762C2"/>
    <w:rsid w:val="00677C08"/>
    <w:rsid w:val="00681D9E"/>
    <w:rsid w:val="006849DA"/>
    <w:rsid w:val="0068559D"/>
    <w:rsid w:val="00690BAF"/>
    <w:rsid w:val="006914C9"/>
    <w:rsid w:val="00695E98"/>
    <w:rsid w:val="006A044B"/>
    <w:rsid w:val="006A14FD"/>
    <w:rsid w:val="006A1E7B"/>
    <w:rsid w:val="006A4890"/>
    <w:rsid w:val="006A69A5"/>
    <w:rsid w:val="006A7246"/>
    <w:rsid w:val="006C14CA"/>
    <w:rsid w:val="006C2E34"/>
    <w:rsid w:val="006C5913"/>
    <w:rsid w:val="006C68EB"/>
    <w:rsid w:val="006C75FF"/>
    <w:rsid w:val="006C7616"/>
    <w:rsid w:val="006D0F04"/>
    <w:rsid w:val="006D10A0"/>
    <w:rsid w:val="006D173C"/>
    <w:rsid w:val="006D275A"/>
    <w:rsid w:val="006D2A31"/>
    <w:rsid w:val="006D37FA"/>
    <w:rsid w:val="006D3EAC"/>
    <w:rsid w:val="006D5915"/>
    <w:rsid w:val="006D600F"/>
    <w:rsid w:val="006D6F3C"/>
    <w:rsid w:val="006E21D2"/>
    <w:rsid w:val="006E2F63"/>
    <w:rsid w:val="006E63F1"/>
    <w:rsid w:val="006E7B12"/>
    <w:rsid w:val="006F05CA"/>
    <w:rsid w:val="006F12B8"/>
    <w:rsid w:val="006F13A1"/>
    <w:rsid w:val="006F184B"/>
    <w:rsid w:val="006F4100"/>
    <w:rsid w:val="006F4912"/>
    <w:rsid w:val="006F639E"/>
    <w:rsid w:val="006F6808"/>
    <w:rsid w:val="006F702B"/>
    <w:rsid w:val="006F73CA"/>
    <w:rsid w:val="006F76AA"/>
    <w:rsid w:val="00700619"/>
    <w:rsid w:val="00702242"/>
    <w:rsid w:val="0070300E"/>
    <w:rsid w:val="00704C6C"/>
    <w:rsid w:val="007055EF"/>
    <w:rsid w:val="0070725F"/>
    <w:rsid w:val="007123CC"/>
    <w:rsid w:val="0071357C"/>
    <w:rsid w:val="007158E0"/>
    <w:rsid w:val="007168CD"/>
    <w:rsid w:val="00720FE2"/>
    <w:rsid w:val="007211B2"/>
    <w:rsid w:val="007219FA"/>
    <w:rsid w:val="0072238B"/>
    <w:rsid w:val="0072571D"/>
    <w:rsid w:val="00725AA5"/>
    <w:rsid w:val="00725B36"/>
    <w:rsid w:val="00725E81"/>
    <w:rsid w:val="00727E3F"/>
    <w:rsid w:val="00730B9B"/>
    <w:rsid w:val="00731B85"/>
    <w:rsid w:val="00731DF0"/>
    <w:rsid w:val="007330D1"/>
    <w:rsid w:val="00736A6B"/>
    <w:rsid w:val="0074065A"/>
    <w:rsid w:val="007416CA"/>
    <w:rsid w:val="00743C12"/>
    <w:rsid w:val="007471D4"/>
    <w:rsid w:val="00747F74"/>
    <w:rsid w:val="007530CA"/>
    <w:rsid w:val="0075371A"/>
    <w:rsid w:val="00754801"/>
    <w:rsid w:val="00755C88"/>
    <w:rsid w:val="00756512"/>
    <w:rsid w:val="00756AF8"/>
    <w:rsid w:val="007578D9"/>
    <w:rsid w:val="00761EA2"/>
    <w:rsid w:val="00763033"/>
    <w:rsid w:val="007643ED"/>
    <w:rsid w:val="00764AD8"/>
    <w:rsid w:val="0076515D"/>
    <w:rsid w:val="00765C2F"/>
    <w:rsid w:val="00765D51"/>
    <w:rsid w:val="00766979"/>
    <w:rsid w:val="00770DE2"/>
    <w:rsid w:val="00775344"/>
    <w:rsid w:val="00775936"/>
    <w:rsid w:val="00785552"/>
    <w:rsid w:val="00787F41"/>
    <w:rsid w:val="00790AFE"/>
    <w:rsid w:val="00795E97"/>
    <w:rsid w:val="00796D0D"/>
    <w:rsid w:val="007A02E5"/>
    <w:rsid w:val="007A516F"/>
    <w:rsid w:val="007A6B01"/>
    <w:rsid w:val="007B0C25"/>
    <w:rsid w:val="007B3733"/>
    <w:rsid w:val="007B3C91"/>
    <w:rsid w:val="007B44C3"/>
    <w:rsid w:val="007B50BC"/>
    <w:rsid w:val="007B5621"/>
    <w:rsid w:val="007B781A"/>
    <w:rsid w:val="007C0134"/>
    <w:rsid w:val="007C4E23"/>
    <w:rsid w:val="007D09BC"/>
    <w:rsid w:val="007D12B8"/>
    <w:rsid w:val="007D31E9"/>
    <w:rsid w:val="007D3E68"/>
    <w:rsid w:val="007D46A3"/>
    <w:rsid w:val="007D595A"/>
    <w:rsid w:val="007D71B5"/>
    <w:rsid w:val="007E29AB"/>
    <w:rsid w:val="007E3672"/>
    <w:rsid w:val="007E3813"/>
    <w:rsid w:val="007F08B5"/>
    <w:rsid w:val="007F115E"/>
    <w:rsid w:val="007F1E7F"/>
    <w:rsid w:val="007F4A41"/>
    <w:rsid w:val="007F4CFA"/>
    <w:rsid w:val="007F5A1D"/>
    <w:rsid w:val="007F5DA3"/>
    <w:rsid w:val="007F7F14"/>
    <w:rsid w:val="00802619"/>
    <w:rsid w:val="0080305F"/>
    <w:rsid w:val="00803F55"/>
    <w:rsid w:val="00810F2C"/>
    <w:rsid w:val="00812088"/>
    <w:rsid w:val="008139C2"/>
    <w:rsid w:val="00813BF8"/>
    <w:rsid w:val="00815329"/>
    <w:rsid w:val="008164F7"/>
    <w:rsid w:val="00816AA0"/>
    <w:rsid w:val="00817844"/>
    <w:rsid w:val="00820F71"/>
    <w:rsid w:val="00822176"/>
    <w:rsid w:val="008240E1"/>
    <w:rsid w:val="00824AEC"/>
    <w:rsid w:val="008262B4"/>
    <w:rsid w:val="0082708D"/>
    <w:rsid w:val="00835506"/>
    <w:rsid w:val="00840B54"/>
    <w:rsid w:val="0084251A"/>
    <w:rsid w:val="00845227"/>
    <w:rsid w:val="008460EF"/>
    <w:rsid w:val="00846996"/>
    <w:rsid w:val="00847274"/>
    <w:rsid w:val="00847D02"/>
    <w:rsid w:val="00851FBB"/>
    <w:rsid w:val="00852384"/>
    <w:rsid w:val="008534E2"/>
    <w:rsid w:val="00853A5B"/>
    <w:rsid w:val="0085647F"/>
    <w:rsid w:val="00861E2F"/>
    <w:rsid w:val="0086228C"/>
    <w:rsid w:val="008638CE"/>
    <w:rsid w:val="008640FC"/>
    <w:rsid w:val="00872221"/>
    <w:rsid w:val="00872E81"/>
    <w:rsid w:val="00873F65"/>
    <w:rsid w:val="008759C6"/>
    <w:rsid w:val="00875EAC"/>
    <w:rsid w:val="00877D5C"/>
    <w:rsid w:val="00880E97"/>
    <w:rsid w:val="00881824"/>
    <w:rsid w:val="008824FA"/>
    <w:rsid w:val="008846B2"/>
    <w:rsid w:val="00885B46"/>
    <w:rsid w:val="0088737E"/>
    <w:rsid w:val="00887ABC"/>
    <w:rsid w:val="00887AC9"/>
    <w:rsid w:val="008956A3"/>
    <w:rsid w:val="00895FD6"/>
    <w:rsid w:val="008A1252"/>
    <w:rsid w:val="008A1334"/>
    <w:rsid w:val="008B128C"/>
    <w:rsid w:val="008B3576"/>
    <w:rsid w:val="008B527F"/>
    <w:rsid w:val="008B6F2E"/>
    <w:rsid w:val="008B7146"/>
    <w:rsid w:val="008C125D"/>
    <w:rsid w:val="008C2A40"/>
    <w:rsid w:val="008C6016"/>
    <w:rsid w:val="008C6916"/>
    <w:rsid w:val="008C6D0E"/>
    <w:rsid w:val="008C765D"/>
    <w:rsid w:val="008E0EFD"/>
    <w:rsid w:val="008E29FE"/>
    <w:rsid w:val="008E3632"/>
    <w:rsid w:val="008E4DCD"/>
    <w:rsid w:val="008E5445"/>
    <w:rsid w:val="008F15EE"/>
    <w:rsid w:val="008F235C"/>
    <w:rsid w:val="008F239E"/>
    <w:rsid w:val="008F5B70"/>
    <w:rsid w:val="00901B84"/>
    <w:rsid w:val="009035F6"/>
    <w:rsid w:val="00907BC8"/>
    <w:rsid w:val="009103D7"/>
    <w:rsid w:val="00910A93"/>
    <w:rsid w:val="00912FA9"/>
    <w:rsid w:val="009156A9"/>
    <w:rsid w:val="00916B69"/>
    <w:rsid w:val="00917A93"/>
    <w:rsid w:val="009218CA"/>
    <w:rsid w:val="0092557A"/>
    <w:rsid w:val="009257E7"/>
    <w:rsid w:val="009304C0"/>
    <w:rsid w:val="0093200B"/>
    <w:rsid w:val="00936780"/>
    <w:rsid w:val="00937E08"/>
    <w:rsid w:val="00937F04"/>
    <w:rsid w:val="00943FF1"/>
    <w:rsid w:val="00944921"/>
    <w:rsid w:val="00946CBC"/>
    <w:rsid w:val="00947DF5"/>
    <w:rsid w:val="009511B4"/>
    <w:rsid w:val="009512B0"/>
    <w:rsid w:val="009513DA"/>
    <w:rsid w:val="009517D8"/>
    <w:rsid w:val="009537D7"/>
    <w:rsid w:val="00953A57"/>
    <w:rsid w:val="00953DE6"/>
    <w:rsid w:val="00954384"/>
    <w:rsid w:val="009549C8"/>
    <w:rsid w:val="009559D4"/>
    <w:rsid w:val="00955FF5"/>
    <w:rsid w:val="009566D6"/>
    <w:rsid w:val="009576B1"/>
    <w:rsid w:val="009577DC"/>
    <w:rsid w:val="00957A71"/>
    <w:rsid w:val="00960EE0"/>
    <w:rsid w:val="009625D3"/>
    <w:rsid w:val="00964A48"/>
    <w:rsid w:val="009660C8"/>
    <w:rsid w:val="00966B0D"/>
    <w:rsid w:val="00966C34"/>
    <w:rsid w:val="00970707"/>
    <w:rsid w:val="00973309"/>
    <w:rsid w:val="00976D63"/>
    <w:rsid w:val="009770EE"/>
    <w:rsid w:val="00977239"/>
    <w:rsid w:val="009779BC"/>
    <w:rsid w:val="009811A7"/>
    <w:rsid w:val="00981C2A"/>
    <w:rsid w:val="00984DE7"/>
    <w:rsid w:val="00987E2F"/>
    <w:rsid w:val="00992CC4"/>
    <w:rsid w:val="009930FF"/>
    <w:rsid w:val="009932D6"/>
    <w:rsid w:val="00995F33"/>
    <w:rsid w:val="009A1A63"/>
    <w:rsid w:val="009A6B4B"/>
    <w:rsid w:val="009B0567"/>
    <w:rsid w:val="009B28A3"/>
    <w:rsid w:val="009B41A5"/>
    <w:rsid w:val="009B448A"/>
    <w:rsid w:val="009B6897"/>
    <w:rsid w:val="009B6F62"/>
    <w:rsid w:val="009C0DF3"/>
    <w:rsid w:val="009C326B"/>
    <w:rsid w:val="009C3FDD"/>
    <w:rsid w:val="009C5D3F"/>
    <w:rsid w:val="009C5EFF"/>
    <w:rsid w:val="009D0423"/>
    <w:rsid w:val="009D746D"/>
    <w:rsid w:val="009D750C"/>
    <w:rsid w:val="009E0AF4"/>
    <w:rsid w:val="009E160C"/>
    <w:rsid w:val="009F00F9"/>
    <w:rsid w:val="009F0657"/>
    <w:rsid w:val="009F1748"/>
    <w:rsid w:val="009F2DD2"/>
    <w:rsid w:val="009F57B2"/>
    <w:rsid w:val="009F73EF"/>
    <w:rsid w:val="00A029BC"/>
    <w:rsid w:val="00A02B51"/>
    <w:rsid w:val="00A038FF"/>
    <w:rsid w:val="00A12E83"/>
    <w:rsid w:val="00A2256C"/>
    <w:rsid w:val="00A26A14"/>
    <w:rsid w:val="00A276E0"/>
    <w:rsid w:val="00A27C84"/>
    <w:rsid w:val="00A31430"/>
    <w:rsid w:val="00A46E7F"/>
    <w:rsid w:val="00A47330"/>
    <w:rsid w:val="00A50585"/>
    <w:rsid w:val="00A50710"/>
    <w:rsid w:val="00A52724"/>
    <w:rsid w:val="00A52FBE"/>
    <w:rsid w:val="00A53CC7"/>
    <w:rsid w:val="00A5439C"/>
    <w:rsid w:val="00A561F4"/>
    <w:rsid w:val="00A56A9E"/>
    <w:rsid w:val="00A56C99"/>
    <w:rsid w:val="00A615E9"/>
    <w:rsid w:val="00A634FC"/>
    <w:rsid w:val="00A63BC4"/>
    <w:rsid w:val="00A65661"/>
    <w:rsid w:val="00A72842"/>
    <w:rsid w:val="00A771CC"/>
    <w:rsid w:val="00A80191"/>
    <w:rsid w:val="00A81465"/>
    <w:rsid w:val="00A832A0"/>
    <w:rsid w:val="00A83ED1"/>
    <w:rsid w:val="00A86C98"/>
    <w:rsid w:val="00A91AA6"/>
    <w:rsid w:val="00A92759"/>
    <w:rsid w:val="00A95E8A"/>
    <w:rsid w:val="00A978ED"/>
    <w:rsid w:val="00AA3082"/>
    <w:rsid w:val="00AA3740"/>
    <w:rsid w:val="00AA57A2"/>
    <w:rsid w:val="00AA6C6F"/>
    <w:rsid w:val="00AB34B8"/>
    <w:rsid w:val="00AB3E2B"/>
    <w:rsid w:val="00AB5C4D"/>
    <w:rsid w:val="00AB68E8"/>
    <w:rsid w:val="00AB73C2"/>
    <w:rsid w:val="00AC1ADA"/>
    <w:rsid w:val="00AC28D5"/>
    <w:rsid w:val="00AC3CFC"/>
    <w:rsid w:val="00AC5DC3"/>
    <w:rsid w:val="00AD170B"/>
    <w:rsid w:val="00AD2BCE"/>
    <w:rsid w:val="00AD504C"/>
    <w:rsid w:val="00AD5C2E"/>
    <w:rsid w:val="00AE0790"/>
    <w:rsid w:val="00AE0B8C"/>
    <w:rsid w:val="00AE32FE"/>
    <w:rsid w:val="00AE3777"/>
    <w:rsid w:val="00AE4969"/>
    <w:rsid w:val="00AE4A53"/>
    <w:rsid w:val="00AE6729"/>
    <w:rsid w:val="00AF3929"/>
    <w:rsid w:val="00AF40C6"/>
    <w:rsid w:val="00AF5450"/>
    <w:rsid w:val="00AF560A"/>
    <w:rsid w:val="00B02A08"/>
    <w:rsid w:val="00B03CA8"/>
    <w:rsid w:val="00B040A6"/>
    <w:rsid w:val="00B04719"/>
    <w:rsid w:val="00B0544E"/>
    <w:rsid w:val="00B05527"/>
    <w:rsid w:val="00B05C4A"/>
    <w:rsid w:val="00B10694"/>
    <w:rsid w:val="00B1314D"/>
    <w:rsid w:val="00B13F99"/>
    <w:rsid w:val="00B1786A"/>
    <w:rsid w:val="00B202C1"/>
    <w:rsid w:val="00B2048A"/>
    <w:rsid w:val="00B235C0"/>
    <w:rsid w:val="00B2478D"/>
    <w:rsid w:val="00B30F74"/>
    <w:rsid w:val="00B32566"/>
    <w:rsid w:val="00B339B1"/>
    <w:rsid w:val="00B35649"/>
    <w:rsid w:val="00B36A2A"/>
    <w:rsid w:val="00B43B74"/>
    <w:rsid w:val="00B440B3"/>
    <w:rsid w:val="00B463A3"/>
    <w:rsid w:val="00B50914"/>
    <w:rsid w:val="00B51B95"/>
    <w:rsid w:val="00B53C17"/>
    <w:rsid w:val="00B552C1"/>
    <w:rsid w:val="00B578DD"/>
    <w:rsid w:val="00B6293A"/>
    <w:rsid w:val="00B66317"/>
    <w:rsid w:val="00B6676E"/>
    <w:rsid w:val="00B67976"/>
    <w:rsid w:val="00B71044"/>
    <w:rsid w:val="00B72811"/>
    <w:rsid w:val="00B7291D"/>
    <w:rsid w:val="00B74BD3"/>
    <w:rsid w:val="00B751A1"/>
    <w:rsid w:val="00B756BC"/>
    <w:rsid w:val="00B7730D"/>
    <w:rsid w:val="00B77EE0"/>
    <w:rsid w:val="00B85BDF"/>
    <w:rsid w:val="00B86A85"/>
    <w:rsid w:val="00B87B32"/>
    <w:rsid w:val="00B908AB"/>
    <w:rsid w:val="00B93EB8"/>
    <w:rsid w:val="00B94E98"/>
    <w:rsid w:val="00B97108"/>
    <w:rsid w:val="00B97961"/>
    <w:rsid w:val="00BA147A"/>
    <w:rsid w:val="00BA1574"/>
    <w:rsid w:val="00BA157E"/>
    <w:rsid w:val="00BA4EF8"/>
    <w:rsid w:val="00BA6866"/>
    <w:rsid w:val="00BB13E9"/>
    <w:rsid w:val="00BB2F3F"/>
    <w:rsid w:val="00BB3134"/>
    <w:rsid w:val="00BB5DB7"/>
    <w:rsid w:val="00BB700F"/>
    <w:rsid w:val="00BB79A6"/>
    <w:rsid w:val="00BC0F45"/>
    <w:rsid w:val="00BC1306"/>
    <w:rsid w:val="00BC46B5"/>
    <w:rsid w:val="00BC4E8B"/>
    <w:rsid w:val="00BC51A6"/>
    <w:rsid w:val="00BC5A3A"/>
    <w:rsid w:val="00BC5B2A"/>
    <w:rsid w:val="00BD132C"/>
    <w:rsid w:val="00BD4F43"/>
    <w:rsid w:val="00BD5406"/>
    <w:rsid w:val="00BD7EAF"/>
    <w:rsid w:val="00BE110A"/>
    <w:rsid w:val="00BE1952"/>
    <w:rsid w:val="00BE64F3"/>
    <w:rsid w:val="00BE7E84"/>
    <w:rsid w:val="00BF1169"/>
    <w:rsid w:val="00BF1919"/>
    <w:rsid w:val="00BF52B0"/>
    <w:rsid w:val="00BF70AB"/>
    <w:rsid w:val="00C01B9D"/>
    <w:rsid w:val="00C06C71"/>
    <w:rsid w:val="00C07696"/>
    <w:rsid w:val="00C07B00"/>
    <w:rsid w:val="00C11969"/>
    <w:rsid w:val="00C12584"/>
    <w:rsid w:val="00C12CFA"/>
    <w:rsid w:val="00C1497C"/>
    <w:rsid w:val="00C170D8"/>
    <w:rsid w:val="00C17768"/>
    <w:rsid w:val="00C177E9"/>
    <w:rsid w:val="00C17977"/>
    <w:rsid w:val="00C30341"/>
    <w:rsid w:val="00C34C7F"/>
    <w:rsid w:val="00C35C83"/>
    <w:rsid w:val="00C42567"/>
    <w:rsid w:val="00C42833"/>
    <w:rsid w:val="00C51AF4"/>
    <w:rsid w:val="00C529DF"/>
    <w:rsid w:val="00C53B81"/>
    <w:rsid w:val="00C57814"/>
    <w:rsid w:val="00C57C4D"/>
    <w:rsid w:val="00C6168F"/>
    <w:rsid w:val="00C671DB"/>
    <w:rsid w:val="00C7127F"/>
    <w:rsid w:val="00C71C34"/>
    <w:rsid w:val="00C763E3"/>
    <w:rsid w:val="00C8169A"/>
    <w:rsid w:val="00C81921"/>
    <w:rsid w:val="00C82B90"/>
    <w:rsid w:val="00C83A17"/>
    <w:rsid w:val="00C83BB2"/>
    <w:rsid w:val="00C85950"/>
    <w:rsid w:val="00C8682D"/>
    <w:rsid w:val="00C872F6"/>
    <w:rsid w:val="00C933A9"/>
    <w:rsid w:val="00C976F8"/>
    <w:rsid w:val="00CA1D21"/>
    <w:rsid w:val="00CA1E11"/>
    <w:rsid w:val="00CA263B"/>
    <w:rsid w:val="00CA52C7"/>
    <w:rsid w:val="00CA5353"/>
    <w:rsid w:val="00CA574B"/>
    <w:rsid w:val="00CB0BA0"/>
    <w:rsid w:val="00CB1D15"/>
    <w:rsid w:val="00CB1E5A"/>
    <w:rsid w:val="00CB3359"/>
    <w:rsid w:val="00CB61D3"/>
    <w:rsid w:val="00CB733F"/>
    <w:rsid w:val="00CC231F"/>
    <w:rsid w:val="00CC2773"/>
    <w:rsid w:val="00CC5FB4"/>
    <w:rsid w:val="00CC6DC7"/>
    <w:rsid w:val="00CD2779"/>
    <w:rsid w:val="00CD6233"/>
    <w:rsid w:val="00CD65C3"/>
    <w:rsid w:val="00CE12BF"/>
    <w:rsid w:val="00CE31D9"/>
    <w:rsid w:val="00CE3511"/>
    <w:rsid w:val="00CE3C9A"/>
    <w:rsid w:val="00CE4019"/>
    <w:rsid w:val="00CE5069"/>
    <w:rsid w:val="00CE57F1"/>
    <w:rsid w:val="00CE5D34"/>
    <w:rsid w:val="00CE6605"/>
    <w:rsid w:val="00CF0B95"/>
    <w:rsid w:val="00CF20D0"/>
    <w:rsid w:val="00CF3E9A"/>
    <w:rsid w:val="00CF5EE1"/>
    <w:rsid w:val="00D00121"/>
    <w:rsid w:val="00D00DF0"/>
    <w:rsid w:val="00D025F4"/>
    <w:rsid w:val="00D0314E"/>
    <w:rsid w:val="00D03636"/>
    <w:rsid w:val="00D041B6"/>
    <w:rsid w:val="00D04E34"/>
    <w:rsid w:val="00D06C1B"/>
    <w:rsid w:val="00D113F3"/>
    <w:rsid w:val="00D13B8E"/>
    <w:rsid w:val="00D13D8D"/>
    <w:rsid w:val="00D1494B"/>
    <w:rsid w:val="00D1620C"/>
    <w:rsid w:val="00D31375"/>
    <w:rsid w:val="00D33C81"/>
    <w:rsid w:val="00D348F8"/>
    <w:rsid w:val="00D40C41"/>
    <w:rsid w:val="00D41606"/>
    <w:rsid w:val="00D44081"/>
    <w:rsid w:val="00D44189"/>
    <w:rsid w:val="00D44840"/>
    <w:rsid w:val="00D45958"/>
    <w:rsid w:val="00D471AA"/>
    <w:rsid w:val="00D50235"/>
    <w:rsid w:val="00D5068D"/>
    <w:rsid w:val="00D5262F"/>
    <w:rsid w:val="00D53DB8"/>
    <w:rsid w:val="00D5723E"/>
    <w:rsid w:val="00D605FE"/>
    <w:rsid w:val="00D63928"/>
    <w:rsid w:val="00D64D17"/>
    <w:rsid w:val="00D662B0"/>
    <w:rsid w:val="00D66928"/>
    <w:rsid w:val="00D66A95"/>
    <w:rsid w:val="00D712D4"/>
    <w:rsid w:val="00D738B0"/>
    <w:rsid w:val="00D75DBA"/>
    <w:rsid w:val="00D76C7D"/>
    <w:rsid w:val="00D76F81"/>
    <w:rsid w:val="00D818ED"/>
    <w:rsid w:val="00D849D8"/>
    <w:rsid w:val="00D87305"/>
    <w:rsid w:val="00D87F02"/>
    <w:rsid w:val="00D90A29"/>
    <w:rsid w:val="00D90C69"/>
    <w:rsid w:val="00D91563"/>
    <w:rsid w:val="00D92CA5"/>
    <w:rsid w:val="00DA066D"/>
    <w:rsid w:val="00DA264E"/>
    <w:rsid w:val="00DA32AA"/>
    <w:rsid w:val="00DA6456"/>
    <w:rsid w:val="00DA6547"/>
    <w:rsid w:val="00DA7B04"/>
    <w:rsid w:val="00DB107C"/>
    <w:rsid w:val="00DB1721"/>
    <w:rsid w:val="00DB3C9E"/>
    <w:rsid w:val="00DB6501"/>
    <w:rsid w:val="00DB6647"/>
    <w:rsid w:val="00DB7C66"/>
    <w:rsid w:val="00DC0EDF"/>
    <w:rsid w:val="00DC1A9F"/>
    <w:rsid w:val="00DC1BB7"/>
    <w:rsid w:val="00DC1FC3"/>
    <w:rsid w:val="00DC2753"/>
    <w:rsid w:val="00DC325A"/>
    <w:rsid w:val="00DC4448"/>
    <w:rsid w:val="00DC497E"/>
    <w:rsid w:val="00DC7073"/>
    <w:rsid w:val="00DD05F5"/>
    <w:rsid w:val="00DD26DE"/>
    <w:rsid w:val="00DD56A2"/>
    <w:rsid w:val="00DD56B0"/>
    <w:rsid w:val="00DD7E35"/>
    <w:rsid w:val="00DE19BF"/>
    <w:rsid w:val="00DE21FA"/>
    <w:rsid w:val="00DE312B"/>
    <w:rsid w:val="00DE671F"/>
    <w:rsid w:val="00DF08FF"/>
    <w:rsid w:val="00DF1690"/>
    <w:rsid w:val="00DF399E"/>
    <w:rsid w:val="00DF5861"/>
    <w:rsid w:val="00E03691"/>
    <w:rsid w:val="00E079F2"/>
    <w:rsid w:val="00E07A5B"/>
    <w:rsid w:val="00E07CD9"/>
    <w:rsid w:val="00E10E9F"/>
    <w:rsid w:val="00E113A8"/>
    <w:rsid w:val="00E12FF9"/>
    <w:rsid w:val="00E155F0"/>
    <w:rsid w:val="00E20FC8"/>
    <w:rsid w:val="00E212B0"/>
    <w:rsid w:val="00E2221B"/>
    <w:rsid w:val="00E22D35"/>
    <w:rsid w:val="00E233AF"/>
    <w:rsid w:val="00E23F6D"/>
    <w:rsid w:val="00E25A30"/>
    <w:rsid w:val="00E25B8E"/>
    <w:rsid w:val="00E26B17"/>
    <w:rsid w:val="00E300F0"/>
    <w:rsid w:val="00E33155"/>
    <w:rsid w:val="00E40047"/>
    <w:rsid w:val="00E4232A"/>
    <w:rsid w:val="00E42A73"/>
    <w:rsid w:val="00E42F24"/>
    <w:rsid w:val="00E4357A"/>
    <w:rsid w:val="00E4365A"/>
    <w:rsid w:val="00E4456B"/>
    <w:rsid w:val="00E45106"/>
    <w:rsid w:val="00E46767"/>
    <w:rsid w:val="00E472E6"/>
    <w:rsid w:val="00E5086C"/>
    <w:rsid w:val="00E52506"/>
    <w:rsid w:val="00E56C2A"/>
    <w:rsid w:val="00E56E55"/>
    <w:rsid w:val="00E57680"/>
    <w:rsid w:val="00E57FC5"/>
    <w:rsid w:val="00E6063F"/>
    <w:rsid w:val="00E61B55"/>
    <w:rsid w:val="00E61C25"/>
    <w:rsid w:val="00E640D5"/>
    <w:rsid w:val="00E648F0"/>
    <w:rsid w:val="00E65144"/>
    <w:rsid w:val="00E66650"/>
    <w:rsid w:val="00E71B32"/>
    <w:rsid w:val="00E72554"/>
    <w:rsid w:val="00E72ED3"/>
    <w:rsid w:val="00E72F9D"/>
    <w:rsid w:val="00E73FA1"/>
    <w:rsid w:val="00E740D0"/>
    <w:rsid w:val="00E7507A"/>
    <w:rsid w:val="00E75D77"/>
    <w:rsid w:val="00E77654"/>
    <w:rsid w:val="00E801B4"/>
    <w:rsid w:val="00E80380"/>
    <w:rsid w:val="00E8190A"/>
    <w:rsid w:val="00E90DAC"/>
    <w:rsid w:val="00E93553"/>
    <w:rsid w:val="00E935B2"/>
    <w:rsid w:val="00E945E3"/>
    <w:rsid w:val="00EA33B9"/>
    <w:rsid w:val="00EA6922"/>
    <w:rsid w:val="00EB0B35"/>
    <w:rsid w:val="00EB41C6"/>
    <w:rsid w:val="00EB5259"/>
    <w:rsid w:val="00EB5D9F"/>
    <w:rsid w:val="00EB7FC2"/>
    <w:rsid w:val="00EC2655"/>
    <w:rsid w:val="00EC26BA"/>
    <w:rsid w:val="00EC2BB1"/>
    <w:rsid w:val="00EC3B81"/>
    <w:rsid w:val="00EC492C"/>
    <w:rsid w:val="00EC6B2F"/>
    <w:rsid w:val="00EC798A"/>
    <w:rsid w:val="00ED32FC"/>
    <w:rsid w:val="00ED3D2A"/>
    <w:rsid w:val="00ED4E4F"/>
    <w:rsid w:val="00ED4F4D"/>
    <w:rsid w:val="00ED77F0"/>
    <w:rsid w:val="00EE0C92"/>
    <w:rsid w:val="00EE1E19"/>
    <w:rsid w:val="00EE1E2A"/>
    <w:rsid w:val="00EE43F9"/>
    <w:rsid w:val="00EE670D"/>
    <w:rsid w:val="00EE70DE"/>
    <w:rsid w:val="00EF170F"/>
    <w:rsid w:val="00EF1CE7"/>
    <w:rsid w:val="00EF26EA"/>
    <w:rsid w:val="00EF3773"/>
    <w:rsid w:val="00EF5841"/>
    <w:rsid w:val="00F05315"/>
    <w:rsid w:val="00F0553C"/>
    <w:rsid w:val="00F1039E"/>
    <w:rsid w:val="00F12F09"/>
    <w:rsid w:val="00F1632B"/>
    <w:rsid w:val="00F17978"/>
    <w:rsid w:val="00F211AB"/>
    <w:rsid w:val="00F22C08"/>
    <w:rsid w:val="00F25C94"/>
    <w:rsid w:val="00F25E2D"/>
    <w:rsid w:val="00F3040A"/>
    <w:rsid w:val="00F30468"/>
    <w:rsid w:val="00F314EC"/>
    <w:rsid w:val="00F33009"/>
    <w:rsid w:val="00F3378B"/>
    <w:rsid w:val="00F34CA5"/>
    <w:rsid w:val="00F36230"/>
    <w:rsid w:val="00F374F9"/>
    <w:rsid w:val="00F3795D"/>
    <w:rsid w:val="00F37BC8"/>
    <w:rsid w:val="00F41229"/>
    <w:rsid w:val="00F419F6"/>
    <w:rsid w:val="00F44BCB"/>
    <w:rsid w:val="00F4546B"/>
    <w:rsid w:val="00F4789B"/>
    <w:rsid w:val="00F52193"/>
    <w:rsid w:val="00F53E55"/>
    <w:rsid w:val="00F54E31"/>
    <w:rsid w:val="00F56152"/>
    <w:rsid w:val="00F56B24"/>
    <w:rsid w:val="00F648A5"/>
    <w:rsid w:val="00F64C02"/>
    <w:rsid w:val="00F65EB8"/>
    <w:rsid w:val="00F711FF"/>
    <w:rsid w:val="00F75525"/>
    <w:rsid w:val="00F75848"/>
    <w:rsid w:val="00F76353"/>
    <w:rsid w:val="00F77960"/>
    <w:rsid w:val="00F83BD3"/>
    <w:rsid w:val="00F84069"/>
    <w:rsid w:val="00F84B54"/>
    <w:rsid w:val="00F8688B"/>
    <w:rsid w:val="00F87799"/>
    <w:rsid w:val="00F920FD"/>
    <w:rsid w:val="00F92D18"/>
    <w:rsid w:val="00F95947"/>
    <w:rsid w:val="00F95DC0"/>
    <w:rsid w:val="00F96035"/>
    <w:rsid w:val="00F9619E"/>
    <w:rsid w:val="00FA044D"/>
    <w:rsid w:val="00FA26DE"/>
    <w:rsid w:val="00FB0EE9"/>
    <w:rsid w:val="00FB3102"/>
    <w:rsid w:val="00FB47B0"/>
    <w:rsid w:val="00FB5EB9"/>
    <w:rsid w:val="00FB65F5"/>
    <w:rsid w:val="00FB6A3A"/>
    <w:rsid w:val="00FB748E"/>
    <w:rsid w:val="00FB75EA"/>
    <w:rsid w:val="00FC1779"/>
    <w:rsid w:val="00FC2819"/>
    <w:rsid w:val="00FC2C29"/>
    <w:rsid w:val="00FC4405"/>
    <w:rsid w:val="00FC4F9D"/>
    <w:rsid w:val="00FC6265"/>
    <w:rsid w:val="00FC6373"/>
    <w:rsid w:val="00FD1736"/>
    <w:rsid w:val="00FD19CA"/>
    <w:rsid w:val="00FD292C"/>
    <w:rsid w:val="00FE07D0"/>
    <w:rsid w:val="00FE23D2"/>
    <w:rsid w:val="00FE2404"/>
    <w:rsid w:val="00FE5536"/>
    <w:rsid w:val="00FE64AA"/>
    <w:rsid w:val="00FE6853"/>
    <w:rsid w:val="00FF1FEE"/>
    <w:rsid w:val="00FF260F"/>
    <w:rsid w:val="00FF52D4"/>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C13FC"/>
  <w15:chartTrackingRefBased/>
  <w15:docId w15:val="{8BC5C002-B8DF-2345-9AD4-8FC6FBBD1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42E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42E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42E3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42E3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42E3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42E3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2E3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2E3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2E3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2E3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42E3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42E3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42E3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42E3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42E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2E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2E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2E3B"/>
    <w:rPr>
      <w:rFonts w:eastAsiaTheme="majorEastAsia" w:cstheme="majorBidi"/>
      <w:color w:val="272727" w:themeColor="text1" w:themeTint="D8"/>
    </w:rPr>
  </w:style>
  <w:style w:type="paragraph" w:styleId="Title">
    <w:name w:val="Title"/>
    <w:basedOn w:val="Normal"/>
    <w:next w:val="Normal"/>
    <w:link w:val="TitleChar"/>
    <w:uiPriority w:val="10"/>
    <w:qFormat/>
    <w:rsid w:val="00042E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2E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2E3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2E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2E3B"/>
    <w:pPr>
      <w:spacing w:before="160"/>
      <w:jc w:val="center"/>
    </w:pPr>
    <w:rPr>
      <w:i/>
      <w:iCs/>
      <w:color w:val="404040" w:themeColor="text1" w:themeTint="BF"/>
    </w:rPr>
  </w:style>
  <w:style w:type="character" w:customStyle="1" w:styleId="QuoteChar">
    <w:name w:val="Quote Char"/>
    <w:basedOn w:val="DefaultParagraphFont"/>
    <w:link w:val="Quote"/>
    <w:uiPriority w:val="29"/>
    <w:rsid w:val="00042E3B"/>
    <w:rPr>
      <w:i/>
      <w:iCs/>
      <w:color w:val="404040" w:themeColor="text1" w:themeTint="BF"/>
    </w:rPr>
  </w:style>
  <w:style w:type="paragraph" w:styleId="ListParagraph">
    <w:name w:val="List Paragraph"/>
    <w:basedOn w:val="Normal"/>
    <w:uiPriority w:val="34"/>
    <w:qFormat/>
    <w:rsid w:val="00042E3B"/>
    <w:pPr>
      <w:ind w:left="720"/>
      <w:contextualSpacing/>
    </w:pPr>
  </w:style>
  <w:style w:type="character" w:styleId="IntenseEmphasis">
    <w:name w:val="Intense Emphasis"/>
    <w:basedOn w:val="DefaultParagraphFont"/>
    <w:uiPriority w:val="21"/>
    <w:qFormat/>
    <w:rsid w:val="00042E3B"/>
    <w:rPr>
      <w:i/>
      <w:iCs/>
      <w:color w:val="0F4761" w:themeColor="accent1" w:themeShade="BF"/>
    </w:rPr>
  </w:style>
  <w:style w:type="paragraph" w:styleId="IntenseQuote">
    <w:name w:val="Intense Quote"/>
    <w:basedOn w:val="Normal"/>
    <w:next w:val="Normal"/>
    <w:link w:val="IntenseQuoteChar"/>
    <w:uiPriority w:val="30"/>
    <w:qFormat/>
    <w:rsid w:val="00042E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42E3B"/>
    <w:rPr>
      <w:i/>
      <w:iCs/>
      <w:color w:val="0F4761" w:themeColor="accent1" w:themeShade="BF"/>
    </w:rPr>
  </w:style>
  <w:style w:type="character" w:styleId="IntenseReference">
    <w:name w:val="Intense Reference"/>
    <w:basedOn w:val="DefaultParagraphFont"/>
    <w:uiPriority w:val="32"/>
    <w:qFormat/>
    <w:rsid w:val="00042E3B"/>
    <w:rPr>
      <w:b/>
      <w:bCs/>
      <w:smallCaps/>
      <w:color w:val="0F4761" w:themeColor="accent1" w:themeShade="BF"/>
      <w:spacing w:val="5"/>
    </w:rPr>
  </w:style>
  <w:style w:type="paragraph" w:styleId="NormalWeb">
    <w:name w:val="Normal (Web)"/>
    <w:basedOn w:val="Normal"/>
    <w:uiPriority w:val="99"/>
    <w:unhideWhenUsed/>
    <w:rsid w:val="00042E3B"/>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042E3B"/>
    <w:rPr>
      <w:b/>
      <w:bCs/>
    </w:rPr>
  </w:style>
  <w:style w:type="paragraph" w:styleId="EndnoteText">
    <w:name w:val="endnote text"/>
    <w:basedOn w:val="Normal"/>
    <w:link w:val="EndnoteTextChar"/>
    <w:uiPriority w:val="99"/>
    <w:semiHidden/>
    <w:unhideWhenUsed/>
    <w:rsid w:val="00DB650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B6501"/>
    <w:rPr>
      <w:sz w:val="20"/>
      <w:szCs w:val="20"/>
    </w:rPr>
  </w:style>
  <w:style w:type="character" w:styleId="EndnoteReference">
    <w:name w:val="endnote reference"/>
    <w:basedOn w:val="DefaultParagraphFont"/>
    <w:uiPriority w:val="99"/>
    <w:semiHidden/>
    <w:unhideWhenUsed/>
    <w:rsid w:val="00DB6501"/>
    <w:rPr>
      <w:vertAlign w:val="superscript"/>
    </w:rPr>
  </w:style>
  <w:style w:type="paragraph" w:styleId="FootnoteText">
    <w:name w:val="footnote text"/>
    <w:basedOn w:val="Normal"/>
    <w:link w:val="FootnoteTextChar"/>
    <w:uiPriority w:val="99"/>
    <w:unhideWhenUsed/>
    <w:rsid w:val="00D041B6"/>
    <w:pPr>
      <w:spacing w:after="0" w:line="240" w:lineRule="auto"/>
    </w:pPr>
    <w:rPr>
      <w:sz w:val="20"/>
      <w:szCs w:val="20"/>
    </w:rPr>
  </w:style>
  <w:style w:type="character" w:customStyle="1" w:styleId="FootnoteTextChar">
    <w:name w:val="Footnote Text Char"/>
    <w:basedOn w:val="DefaultParagraphFont"/>
    <w:link w:val="FootnoteText"/>
    <w:uiPriority w:val="99"/>
    <w:rsid w:val="00D041B6"/>
    <w:rPr>
      <w:sz w:val="20"/>
      <w:szCs w:val="20"/>
    </w:rPr>
  </w:style>
  <w:style w:type="character" w:styleId="FootnoteReference">
    <w:name w:val="footnote reference"/>
    <w:basedOn w:val="DefaultParagraphFont"/>
    <w:uiPriority w:val="99"/>
    <w:semiHidden/>
    <w:unhideWhenUsed/>
    <w:rsid w:val="00D041B6"/>
    <w:rPr>
      <w:vertAlign w:val="superscript"/>
    </w:rPr>
  </w:style>
  <w:style w:type="character" w:styleId="Hyperlink">
    <w:name w:val="Hyperlink"/>
    <w:basedOn w:val="DefaultParagraphFont"/>
    <w:uiPriority w:val="99"/>
    <w:unhideWhenUsed/>
    <w:rsid w:val="00F920FD"/>
    <w:rPr>
      <w:rFonts w:ascii="Century Schoolbook" w:eastAsia="Times New Roman" w:hAnsi="Century Schoolbook" w:cs="Times New Roman"/>
      <w:color w:val="auto"/>
      <w:sz w:val="21"/>
      <w:szCs w:val="28"/>
      <w:u w:val="none"/>
    </w:rPr>
  </w:style>
  <w:style w:type="character" w:styleId="UnresolvedMention">
    <w:name w:val="Unresolved Mention"/>
    <w:basedOn w:val="DefaultParagraphFont"/>
    <w:uiPriority w:val="99"/>
    <w:semiHidden/>
    <w:unhideWhenUsed/>
    <w:rsid w:val="00BE7E84"/>
    <w:rPr>
      <w:color w:val="605E5C"/>
      <w:shd w:val="clear" w:color="auto" w:fill="E1DFDD"/>
    </w:rPr>
  </w:style>
  <w:style w:type="character" w:styleId="Emphasis">
    <w:name w:val="Emphasis"/>
    <w:basedOn w:val="DefaultParagraphFont"/>
    <w:uiPriority w:val="20"/>
    <w:qFormat/>
    <w:rsid w:val="00CA263B"/>
    <w:rPr>
      <w:i/>
      <w:iCs/>
    </w:rPr>
  </w:style>
  <w:style w:type="character" w:styleId="CommentReference">
    <w:name w:val="annotation reference"/>
    <w:basedOn w:val="DefaultParagraphFont"/>
    <w:uiPriority w:val="99"/>
    <w:semiHidden/>
    <w:unhideWhenUsed/>
    <w:rsid w:val="00422A5E"/>
    <w:rPr>
      <w:sz w:val="16"/>
      <w:szCs w:val="16"/>
    </w:rPr>
  </w:style>
  <w:style w:type="paragraph" w:styleId="CommentText">
    <w:name w:val="annotation text"/>
    <w:basedOn w:val="Normal"/>
    <w:link w:val="CommentTextChar"/>
    <w:uiPriority w:val="99"/>
    <w:semiHidden/>
    <w:unhideWhenUsed/>
    <w:rsid w:val="00422A5E"/>
    <w:pPr>
      <w:spacing w:line="240" w:lineRule="auto"/>
    </w:pPr>
    <w:rPr>
      <w:sz w:val="20"/>
      <w:szCs w:val="20"/>
    </w:rPr>
  </w:style>
  <w:style w:type="character" w:customStyle="1" w:styleId="CommentTextChar">
    <w:name w:val="Comment Text Char"/>
    <w:basedOn w:val="DefaultParagraphFont"/>
    <w:link w:val="CommentText"/>
    <w:uiPriority w:val="99"/>
    <w:semiHidden/>
    <w:rsid w:val="00422A5E"/>
    <w:rPr>
      <w:sz w:val="20"/>
      <w:szCs w:val="20"/>
    </w:rPr>
  </w:style>
  <w:style w:type="paragraph" w:styleId="CommentSubject">
    <w:name w:val="annotation subject"/>
    <w:basedOn w:val="CommentText"/>
    <w:next w:val="CommentText"/>
    <w:link w:val="CommentSubjectChar"/>
    <w:uiPriority w:val="99"/>
    <w:semiHidden/>
    <w:unhideWhenUsed/>
    <w:rsid w:val="00422A5E"/>
    <w:rPr>
      <w:b/>
      <w:bCs/>
    </w:rPr>
  </w:style>
  <w:style w:type="character" w:customStyle="1" w:styleId="CommentSubjectChar">
    <w:name w:val="Comment Subject Char"/>
    <w:basedOn w:val="CommentTextChar"/>
    <w:link w:val="CommentSubject"/>
    <w:uiPriority w:val="99"/>
    <w:semiHidden/>
    <w:rsid w:val="00422A5E"/>
    <w:rPr>
      <w:b/>
      <w:bCs/>
      <w:sz w:val="20"/>
      <w:szCs w:val="20"/>
    </w:rPr>
  </w:style>
  <w:style w:type="paragraph" w:customStyle="1" w:styleId="FNPara">
    <w:name w:val="FN Para"/>
    <w:qFormat/>
    <w:rsid w:val="008C125D"/>
    <w:pPr>
      <w:tabs>
        <w:tab w:val="left" w:pos="576"/>
      </w:tabs>
      <w:spacing w:after="40" w:line="180" w:lineRule="exact"/>
      <w:ind w:firstLine="331"/>
      <w:jc w:val="both"/>
    </w:pPr>
    <w:rPr>
      <w:rFonts w:ascii="Century Schoolbook" w:eastAsia="Times New Roman" w:hAnsi="Century Schoolbook" w:cs="Times New Roman"/>
      <w:kern w:val="0"/>
      <w:sz w:val="16"/>
      <w:lang w:val="en-US"/>
      <w14:ligatures w14:val="none"/>
    </w:rPr>
  </w:style>
  <w:style w:type="table" w:styleId="TableGrid">
    <w:name w:val="Table Grid"/>
    <w:basedOn w:val="TableNormal"/>
    <w:uiPriority w:val="39"/>
    <w:rsid w:val="00960E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5C4E4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26" Type="http://schemas.openxmlformats.org/officeDocument/2006/relationships/hyperlink" Target="https://www.westlaw.com/Document/Ibe01528ca31e11e28578f7ccc38dcbee/View/FullText.html?transitionType=Default&amp;contextData=(sc.Default)&amp;VR=3.0&amp;RS=da3.0" TargetMode="External"/><Relationship Id="rId21" Type="http://schemas.openxmlformats.org/officeDocument/2006/relationships/hyperlink" Target="https://www.westlaw.com/Document/Icf707c851b6111e38578f7ccc38dcbee/View/FullText.html?transitionType=Default&amp;contextData=(sc.Default)&amp;VR=3.0&amp;RS=da3.0&amp;fragmentIdentifier=co_pp_sp_195297_731" TargetMode="External"/><Relationship Id="rId42" Type="http://schemas.openxmlformats.org/officeDocument/2006/relationships/hyperlink" Target="https://www.westlaw.com/Document/Ic4dc34714a0111db99a18fc28eb0d9ae/View/FullText.html?transitionType=Default&amp;contextData=(sc.Default)&amp;VR=3.0&amp;RS=da3.0&amp;fragmentIdentifier=co_pp_sp_1151_7" TargetMode="External"/><Relationship Id="rId47" Type="http://schemas.openxmlformats.org/officeDocument/2006/relationships/hyperlink" Target="https://www.westlaw.com/Document/Ibdea92559c2511d9bc61beebb95be672/View/FullText.html?transitionType=Default&amp;contextData=(sc.Default)&amp;VR=3.0&amp;RS=da3.0&amp;fragmentIdentifier=co_pp_sp_780_527" TargetMode="External"/><Relationship Id="rId63" Type="http://schemas.openxmlformats.org/officeDocument/2006/relationships/hyperlink" Target="http://www.philanthropynewsdigest.org/news/women-of-color-pursue-change-strategies-with-limited-resources" TargetMode="External"/><Relationship Id="rId68" Type="http://schemas.openxmlformats.org/officeDocument/2006/relationships/hyperlink" Target="https://scholarworks.iupui.edu/bitstream/handle/1805/15117/giving-by-and-for-women-update180131.pdf" TargetMode="External"/><Relationship Id="rId84" Type="http://schemas.openxmlformats.org/officeDocument/2006/relationships/hyperlink" Target="https://www.westlaw.com/Document/I7673bc21351011e08b05fdf15589d8e8/View/FullText.html?transitionType=Default&amp;contextData=(sc.Default)&amp;VR=3.0&amp;RS=da3.0" TargetMode="External"/><Relationship Id="rId89" Type="http://schemas.openxmlformats.org/officeDocument/2006/relationships/hyperlink" Target="https://contratados.org/" TargetMode="External"/><Relationship Id="rId16" Type="http://schemas.openxmlformats.org/officeDocument/2006/relationships/hyperlink" Target="https://www.westlaw.com/Document/Ic2de18215ae411dbbd2dfa5ce1d08a25/View/FullText.html?transitionType=Default&amp;contextData=(sc.Default)&amp;VR=3.0&amp;RS=da3.0&amp;fragmentIdentifier=co_pp_sp_100483_32" TargetMode="External"/><Relationship Id="rId107" Type="http://schemas.openxmlformats.org/officeDocument/2006/relationships/hyperlink" Target="https://www.westlaw.com/Document/I92164661226b11dbbab99dfb880c57ae/View/FullText.html?transitionType=Default&amp;contextData=(sc.Default)&amp;VR=3.0&amp;RS=da3.0&amp;fragmentIdentifier=co_pp_sp_1087_258" TargetMode="External"/><Relationship Id="rId11" Type="http://schemas.openxmlformats.org/officeDocument/2006/relationships/hyperlink" Target="https://www.westlaw.com/Document/Ide32f56366f611e9adfea82903531a62/View/FullText.html?transitionType=Default&amp;contextData=(sc.Default)&amp;VR=3.0&amp;RS=da3.0" TargetMode="External"/><Relationship Id="rId32" Type="http://schemas.openxmlformats.org/officeDocument/2006/relationships/hyperlink" Target="https://www.westlaw.com/Document/I3017e4f136e311db8382aef8d8e33c97/View/FullText.html?transitionType=Default&amp;contextData=(sc.Default)&amp;VR=3.0&amp;RS=da3.0&amp;fragmentIdentifier=co_pp_sp_3039_639" TargetMode="External"/><Relationship Id="rId37" Type="http://schemas.openxmlformats.org/officeDocument/2006/relationships/hyperlink" Target="https://www.westlaw.com/Document/If41467c1228e11dbbab99dfb880c57ae/View/FullText.html?transitionType=Default&amp;contextData=(sc.Default)&amp;VR=3.0&amp;RS=da3.0&amp;fragmentIdentifier=co_pp_sp_148305_661%2c+677" TargetMode="External"/><Relationship Id="rId53" Type="http://schemas.openxmlformats.org/officeDocument/2006/relationships/hyperlink" Target="https://www.westlaw.com/Document/Ia4aa08ea69ef11de9b8c850332338889/View/FullText.html?transitionType=Default&amp;contextData=(sc.Default)&amp;VR=3.0&amp;RS=da3.0" TargetMode="External"/><Relationship Id="rId58" Type="http://schemas.openxmlformats.org/officeDocument/2006/relationships/hyperlink" Target="https://www.westlaw.com/Document/Ie870b0e15a2911dbbd2dfa5ce1d08a25/View/FullText.html?transitionType=Default&amp;contextData=(sc.Default)&amp;VR=3.0&amp;RS=da3.0" TargetMode="External"/><Relationship Id="rId74" Type="http://schemas.openxmlformats.org/officeDocument/2006/relationships/hyperlink" Target="http://www.fordfoundation.org/about/about-ford/mission/" TargetMode="External"/><Relationship Id="rId79" Type="http://schemas.openxmlformats.org/officeDocument/2006/relationships/hyperlink" Target="https://www.westlaw.com/Document/I797a88415c6411dbbd2dfa5ce1d08a25/View/FullText.html?transitionType=Default&amp;contextData=(sc.Default)&amp;VR=3.0&amp;RS=da3.0&amp;fragmentIdentifier=co_pp_sp_3194_1063%2c+1096" TargetMode="External"/><Relationship Id="rId102" Type="http://schemas.openxmlformats.org/officeDocument/2006/relationships/hyperlink" Target="https://www.westlaw.com/Document/Ia94ae7b14a4c11dba16d88fb847e95e5/View/FullText.html?transitionType=Default&amp;contextData=(sc.Default)&amp;VR=3.0&amp;RS=da3.0&amp;fragmentIdentifier=co_pp_sp_1232_339" TargetMode="External"/><Relationship Id="rId5" Type="http://schemas.openxmlformats.org/officeDocument/2006/relationships/hyperlink" Target="https://www.westlaw.com/Document/I333edad149e411dba16d88fb847e95e5/View/FullText.html?transitionType=Default&amp;contextData=(sc.Default)&amp;VR=3.0&amp;RS=da3.0&amp;fragmentIdentifier=co_pp_sp_101788_175" TargetMode="External"/><Relationship Id="rId90" Type="http://schemas.openxmlformats.org/officeDocument/2006/relationships/hyperlink" Target="http://www.sce.cornell.edu/ss/programs.php?v=STRATCORP&amp;s=Overview" TargetMode="External"/><Relationship Id="rId95" Type="http://schemas.openxmlformats.org/officeDocument/2006/relationships/hyperlink" Target="https://www.westlaw.com/Document/I9b3454714a6211dba16d88fb847e95e5/View/FullText.html?transitionType=Default&amp;contextData=(sc.Default)&amp;VR=3.0&amp;RS=da3.0" TargetMode="External"/><Relationship Id="rId22" Type="http://schemas.openxmlformats.org/officeDocument/2006/relationships/hyperlink" Target="https://www.westlaw.com/Document/I2f6eecca5cd811e8a7a8babcb3077f93/View/FullText.html?transitionType=Default&amp;contextData=(sc.Default)&amp;VR=3.0&amp;RS=da3.0" TargetMode="External"/><Relationship Id="rId27" Type="http://schemas.openxmlformats.org/officeDocument/2006/relationships/hyperlink" Target="http://www.billofrightsinstitute.org/founding-documents/primary-source-documents/the-federalist-papers/federalist-papers-no-10/" TargetMode="External"/><Relationship Id="rId43" Type="http://schemas.openxmlformats.org/officeDocument/2006/relationships/hyperlink" Target="https://www.westlaw.com/Document/I5389edb9c40e11e28578f7ccc38dcbee/View/FullText.html?transitionType=Default&amp;contextData=(sc.Default)&amp;VR=3.0&amp;RS=da3.0&amp;fragmentIdentifier=co_pp_sp_212315_786" TargetMode="External"/><Relationship Id="rId48" Type="http://schemas.openxmlformats.org/officeDocument/2006/relationships/hyperlink" Target="https://www.westlaw.com/Document/Idd1af0a049ff11dba16d88fb847e95e5/View/FullText.html?transitionType=Default&amp;contextData=(sc.Default)&amp;VR=3.0&amp;RS=da3.0&amp;fragmentIdentifier=co_pp_sp_1151_300" TargetMode="External"/><Relationship Id="rId64" Type="http://schemas.openxmlformats.org/officeDocument/2006/relationships/hyperlink" Target="http://www.nonprofitquarterly.org/report-lgbt-organizations-see-increase-in-funding/" TargetMode="External"/><Relationship Id="rId69" Type="http://schemas.openxmlformats.org/officeDocument/2006/relationships/hyperlink" Target="http://www.ncrp.org/wp-content/uploads/2016/11/LeveragingLimitedDollars.pdf" TargetMode="External"/><Relationship Id="rId80" Type="http://schemas.openxmlformats.org/officeDocument/2006/relationships/hyperlink" Target="https://www.westlaw.com/Document/I764874b1e36711de9b8c850332338889/View/FullText.html?transitionType=Default&amp;contextData=(sc.Default)&amp;VR=3.0&amp;RS=da3.0&amp;fragmentIdentifier=co_pp_sp_1104_1515" TargetMode="External"/><Relationship Id="rId85" Type="http://schemas.openxmlformats.org/officeDocument/2006/relationships/hyperlink" Target="https://www.westlaw.com/Document/I293118614b2811db99a18fc28eb0d9ae/View/FullText.html?transitionType=Default&amp;contextData=(sc.Default)&amp;VR=3.0&amp;RS=da3.0&amp;fragmentIdentifier=co_pp_sp_2779_1010%2c+1012%2c+1055" TargetMode="External"/><Relationship Id="rId12" Type="http://schemas.openxmlformats.org/officeDocument/2006/relationships/hyperlink" Target="https://www.westlaw.com/Document/I94d2938149b811db99a18fc28eb0d9ae/View/FullText.html?transitionType=Default&amp;contextData=(sc.Default)&amp;VR=3.0&amp;RS=da3.0&amp;fragmentIdentifier=co_pp_sp_1142_1937" TargetMode="External"/><Relationship Id="rId17" Type="http://schemas.openxmlformats.org/officeDocument/2006/relationships/hyperlink" Target="https://www.westlaw.com/Document/I238f8d07b0ff11eabea3f0dc9fb69570/View/FullText.html?transitionType=Default&amp;contextData=(sc.Default)&amp;VR=3.0&amp;RS=da3.0" TargetMode="External"/><Relationship Id="rId33" Type="http://schemas.openxmlformats.org/officeDocument/2006/relationships/hyperlink" Target="https://www.westlaw.com/Document/If6e762e2f1a511ddb055de4196f001f3/View/FullText.html?transitionType=Default&amp;contextData=(sc.Default)&amp;VR=3.0&amp;RS=da3.0" TargetMode="External"/><Relationship Id="rId38" Type="http://schemas.openxmlformats.org/officeDocument/2006/relationships/hyperlink" Target="https://www.westlaw.com/Document/I6f000d77cf2511e28578f7ccc38dcbee/View/FullText.html?transitionType=Default&amp;contextData=(sc.Default)&amp;VR=3.0&amp;RS=da3.0&amp;fragmentIdentifier=co_pp_sp_1142_3145%2c+3147%2c+3162" TargetMode="External"/><Relationship Id="rId59" Type="http://schemas.openxmlformats.org/officeDocument/2006/relationships/hyperlink" Target="http://lawschool.westlaw.com/shared/westlawRedirect.aspx?task=find&amp;cite=163+U.S.+537&amp;appflag=67.12" TargetMode="External"/><Relationship Id="rId103" Type="http://schemas.openxmlformats.org/officeDocument/2006/relationships/hyperlink" Target="http://www.organizingforpower.org/some-key-organizing-concepts/" TargetMode="External"/><Relationship Id="rId108" Type="http://schemas.openxmlformats.org/officeDocument/2006/relationships/hyperlink" Target="https://www.westlaw.com/Document/I00cd92012fc911e28578f7ccc38dcbee/View/FullText.html?transitionType=Default&amp;contextData=(sc.Default)&amp;VR=3.0&amp;RS=da3.0&amp;fragmentIdentifier=co_pp_sp_106706_400" TargetMode="External"/><Relationship Id="rId54" Type="http://schemas.openxmlformats.org/officeDocument/2006/relationships/hyperlink" Target="https://www.westlaw.com/Document/I7a38d4449ca211d9bdd1cfdd544ca3a4/View/FullText.html?transitionType=Default&amp;contextData=(sc.Default)&amp;VR=3.0&amp;RS=da3.0" TargetMode="External"/><Relationship Id="rId70" Type="http://schemas.openxmlformats.org/officeDocument/2006/relationships/hyperlink" Target="http://www.fundthepeople.org/toolkit/wp-content/uploads/2019/05/Talent-Justice-Report.pdf" TargetMode="External"/><Relationship Id="rId75" Type="http://schemas.openxmlformats.org/officeDocument/2006/relationships/hyperlink" Target="http://www.nonprofitquarterly.org/2019/01/10/the-philanthropy-we-need-ford-foundation-president-calls-for-transformation/?utm_source=email&amp;utm_medium=social&amp;utm_campaign=SocialWarfare" TargetMode="External"/><Relationship Id="rId91" Type="http://schemas.openxmlformats.org/officeDocument/2006/relationships/hyperlink" Target="http://www.corp-research.org/" TargetMode="External"/><Relationship Id="rId96" Type="http://schemas.openxmlformats.org/officeDocument/2006/relationships/hyperlink" Target="https://www.westlaw.com/Document/Ib4052b12800b11e38578f7ccc38dcbee/View/FullText.html?transitionType=Default&amp;contextData=(sc.Default)&amp;VR=3.0&amp;RS=da3.0&amp;fragmentIdentifier=co_pp_sp_125495_103" TargetMode="External"/><Relationship Id="rId1" Type="http://schemas.openxmlformats.org/officeDocument/2006/relationships/hyperlink" Target="https://www.westlaw.com/Document/I333edad149e411dba16d88fb847e95e5/View/FullText.html?transitionType=Default&amp;contextData=(sc.Default)&amp;VR=3.0&amp;RS=da3.0&amp;fragmentIdentifier=co_pp_sp_101788_175" TargetMode="External"/><Relationship Id="rId6" Type="http://schemas.openxmlformats.org/officeDocument/2006/relationships/hyperlink" Target="https://www.fbi.gov/news/testimony/worldwide-threats-to-the-homeland-091720" TargetMode="External"/><Relationship Id="rId15" Type="http://schemas.openxmlformats.org/officeDocument/2006/relationships/hyperlink" Target="https://www.westlaw.com/Document/I4191fb61c2ef11db909893dfdd4e329b/View/FullText.html?transitionType=Default&amp;contextData=(sc.Default)&amp;VR=3.0&amp;RS=da3.0&amp;fragmentIdentifier=co_pp_sp_3084_942" TargetMode="External"/><Relationship Id="rId23" Type="http://schemas.openxmlformats.org/officeDocument/2006/relationships/hyperlink" Target="https://www.westlaw.com/Document/I80e6e305d98c11e28502bda794601919/View/FullText.html?transitionType=Default&amp;contextData=(sc.Default)&amp;VR=3.0&amp;RS=da3.0" TargetMode="External"/><Relationship Id="rId28" Type="http://schemas.openxmlformats.org/officeDocument/2006/relationships/hyperlink" Target="https://www.westlaw.com/Document/Ibde366689c2511d9bc61beebb95be672/View/FullText.html?transitionType=Default&amp;contextData=(sc.Default)&amp;VR=3.0&amp;RS=da3.0" TargetMode="External"/><Relationship Id="rId36" Type="http://schemas.openxmlformats.org/officeDocument/2006/relationships/hyperlink" Target="https://www.westlaw.com/Document/Ic9ac61ccdf2d11e8a5b3e3d9e23d7429/View/FullText.html?transitionType=Default&amp;contextData=(sc.Default)&amp;VR=3.0&amp;RS=da3.0&amp;fragmentIdentifier=co_pp_sp_231399_476" TargetMode="External"/><Relationship Id="rId49" Type="http://schemas.openxmlformats.org/officeDocument/2006/relationships/hyperlink" Target="https://www.westlaw.com/Document/I0bd73a330b4b11dd86d5f687b7443f19/View/FullText.html?transitionType=Default&amp;contextData=(sc.Default)&amp;VR=3.0&amp;RS=da3.0&amp;fragmentIdentifier=co_pp_sp_106706_402" TargetMode="External"/><Relationship Id="rId57" Type="http://schemas.openxmlformats.org/officeDocument/2006/relationships/hyperlink" Target="https://www.westlaw.com/Document/Ib4f15c715a2811dbbd2dfa5ce1d08a25/View/FullText.html?transitionType=Default&amp;contextData=(sc.Default)&amp;VR=3.0&amp;RS=da3.0" TargetMode="External"/><Relationship Id="rId106" Type="http://schemas.openxmlformats.org/officeDocument/2006/relationships/hyperlink" Target="https://www.westlaw.com/Document/Ia639c54a5fb011de9b8c850332338889/View/FullText.html?transitionType=Default&amp;contextData=(sc.Default)&amp;VR=3.0&amp;RS=da3.0&amp;fragmentIdentifier=co_pp_sp_112136_299" TargetMode="External"/><Relationship Id="rId10" Type="http://schemas.openxmlformats.org/officeDocument/2006/relationships/hyperlink" Target="https://www.westlaw.com/Document/Ie82655b8860c11df9b8c850332338889/View/FullText.html?transitionType=Default&amp;contextData=(sc.Default)&amp;VR=3.0&amp;RS=da3.0&amp;fragmentIdentifier=co_pp_sp_1464_87" TargetMode="External"/><Relationship Id="rId31" Type="http://schemas.openxmlformats.org/officeDocument/2006/relationships/hyperlink" Target="http://www.law.virginia.edu/static/uvalawyer/html/alumni/uvalawyer/s03/opinion.htm" TargetMode="External"/><Relationship Id="rId44" Type="http://schemas.openxmlformats.org/officeDocument/2006/relationships/hyperlink" Target="https://www.westlaw.com/Document/Ia4db6ab04a6f11db99a18fc28eb0d9ae/View/FullText.html?transitionType=Default&amp;contextData=(sc.Default)&amp;VR=3.0&amp;RS=da3.0" TargetMode="External"/><Relationship Id="rId52" Type="http://schemas.openxmlformats.org/officeDocument/2006/relationships/hyperlink" Target="https://www.westlaw.com/Document/I82df25e136e311db8382aef8d8e33c97/View/FullText.html?transitionType=Default&amp;contextData=(sc.Default)&amp;VR=3.0&amp;RS=da3.0&amp;fragmentIdentifier=co_pp_sp_1111_1055" TargetMode="External"/><Relationship Id="rId60" Type="http://schemas.openxmlformats.org/officeDocument/2006/relationships/hyperlink" Target="http://www.huffingtonpost.com/entry/how-to-help-flint-water-crisis_us_569e8e78e4b0cd99679b9541" TargetMode="External"/><Relationship Id="rId65" Type="http://schemas.openxmlformats.org/officeDocument/2006/relationships/hyperlink" Target="http://www.firstnations.org/publications/we-need-to-change-how-we-think-perspectives-on-philanthropys-underfunding-of-native-communities-and-causes/" TargetMode="External"/><Relationship Id="rId73" Type="http://schemas.openxmlformats.org/officeDocument/2006/relationships/hyperlink" Target="http://www.washingtonpost.com/business/2020/02/04/workers-are-forming-unions-nonprofits-thinktanks-their-bosses-arent-always-happy/" TargetMode="External"/><Relationship Id="rId78" Type="http://schemas.openxmlformats.org/officeDocument/2006/relationships/hyperlink" Target="http://www.roadmapconsulting.org/resource/weathering-the-storm/" TargetMode="External"/><Relationship Id="rId81" Type="http://schemas.openxmlformats.org/officeDocument/2006/relationships/hyperlink" Target="https://www.westlaw.com/Document/Ibf9c0ff10a1111dc8685db793b4c52aa/View/FullText.html?transitionType=Default&amp;contextData=(sc.Default)&amp;VR=3.0&amp;RS=da3.0&amp;fragmentIdentifier=co_pp_sp_100332_319" TargetMode="External"/><Relationship Id="rId86" Type="http://schemas.openxmlformats.org/officeDocument/2006/relationships/hyperlink" Target="http://www.saytheirnames.io/" TargetMode="External"/><Relationship Id="rId94" Type="http://schemas.openxmlformats.org/officeDocument/2006/relationships/hyperlink" Target="http://www.littlesis.org/toolkit/what_is_up" TargetMode="External"/><Relationship Id="rId99" Type="http://schemas.openxmlformats.org/officeDocument/2006/relationships/hyperlink" Target="https://www.westlaw.com/Document/I55c5dfc14a7211db99a18fc28eb0d9ae/View/FullText.html?transitionType=Default&amp;contextData=(sc.Default)&amp;VR=3.0&amp;RS=da3.0&amp;fragmentIdentifier=co_pp_sp_1239_400" TargetMode="External"/><Relationship Id="rId101" Type="http://schemas.openxmlformats.org/officeDocument/2006/relationships/hyperlink" Target="https://www.westlaw.com/Document/Ia68472b14a6211dba16d88fb847e95e5/View/FullText.html?transitionType=Default&amp;contextData=(sc.Default)&amp;VR=3.0&amp;RS=da3.0&amp;fragmentIdentifier=co_pp_sp_106706_217" TargetMode="External"/><Relationship Id="rId4" Type="http://schemas.openxmlformats.org/officeDocument/2006/relationships/hyperlink" Target="https://www.westlaw.com/Document/I53ec73814b3011dba16d88fb847e95e5/View/FullText.html?transitionType=Default&amp;contextData=(sc.Default)&amp;VR=3.0&amp;RS=da3.0&amp;fragmentIdentifier=co_pp_sp_127507_112" TargetMode="External"/><Relationship Id="rId9" Type="http://schemas.openxmlformats.org/officeDocument/2006/relationships/hyperlink" Target="https://www.loc.gov/rr/program/bib/ourdocs/monroe.html" TargetMode="External"/><Relationship Id="rId13" Type="http://schemas.openxmlformats.org/officeDocument/2006/relationships/hyperlink" Target="https://www.westlaw.com/Document/If4a38fe14a8411db99a18fc28eb0d9ae/View/FullText.html?transitionType=Default&amp;contextData=(sc.Default)&amp;VR=3.0&amp;RS=da3.0&amp;fragmentIdentifier=co_pp_sp_1234_1205" TargetMode="External"/><Relationship Id="rId18" Type="http://schemas.openxmlformats.org/officeDocument/2006/relationships/hyperlink" Target="https://www.westlaw.com/Document/I8efbff1e500811e89bf199c0ee06c731/View/FullText.html?transitionType=Default&amp;contextData=(sc.Default)&amp;VR=3.0&amp;RS=da3.0&amp;fragmentIdentifier=co_pp_sp_1142_2113" TargetMode="External"/><Relationship Id="rId39" Type="http://schemas.openxmlformats.org/officeDocument/2006/relationships/hyperlink" Target="https://www.westlaw.com/Document/I5a8477ad0b9b11dd86d5f687b7443f19/View/FullText.html?transitionType=Default&amp;contextData=(sc.Default)&amp;VR=3.0&amp;RS=da3.0" TargetMode="External"/><Relationship Id="rId109" Type="http://schemas.openxmlformats.org/officeDocument/2006/relationships/hyperlink" Target="https://www.westlaw.com/Document/Ice051f71643811db8a54a698991202fa/View/FullText.html?transitionType=Default&amp;contextData=(sc.Default)&amp;VR=3.0&amp;RS=da3.0&amp;fragmentIdentifier=co_pp_sp_1143_809" TargetMode="External"/><Relationship Id="rId34" Type="http://schemas.openxmlformats.org/officeDocument/2006/relationships/hyperlink" Target="https://www.westlaw.com/Document/I017dd6115c9811dbbe1cf2d29fe2afe6/View/FullText.html?transitionType=Default&amp;contextData=(sc.Default)&amp;VR=3.0&amp;RS=da3.0" TargetMode="External"/><Relationship Id="rId50" Type="http://schemas.openxmlformats.org/officeDocument/2006/relationships/hyperlink" Target="https://www.westlaw.com/Document/I79b69c5dcf7b11dcb846e04bd075d680/View/FullText.html?transitionType=Default&amp;contextData=(sc.Default)&amp;VR=3.0&amp;RS=da3.0&amp;fragmentIdentifier=co_pp_sp_1107_2135" TargetMode="External"/><Relationship Id="rId55" Type="http://schemas.openxmlformats.org/officeDocument/2006/relationships/hyperlink" Target="http://www.taxprof.typepad.com/taxprof_blog/2020/09/deans-of-all-five-university-of-california-law-schools-defend-critical-race-theory-against-trumps-at.html" TargetMode="External"/><Relationship Id="rId76" Type="http://schemas.openxmlformats.org/officeDocument/2006/relationships/hyperlink" Target="http://www.insidephilanthropy.com/home/2018/1/10/systemic-failure-four-reasons-philanthropy-keeps-losing-the-battle-against-inequality" TargetMode="External"/><Relationship Id="rId97" Type="http://schemas.openxmlformats.org/officeDocument/2006/relationships/hyperlink" Target="https://www.westlaw.com/Document/Ia639c54a5fb011de9b8c850332338889/View/FullText.html?transitionType=Default&amp;contextData=(sc.Default)&amp;VR=3.0&amp;RS=da3.0&amp;fragmentIdentifier=co_pp_sp_112136_303" TargetMode="External"/><Relationship Id="rId104" Type="http://schemas.openxmlformats.org/officeDocument/2006/relationships/hyperlink" Target="https://organizing.work/2021/01/you-cant-win-without-a-fight-why-worker-cooperatives-are-a-bad-strategy/?fbclid=IwAR1GuDwaUWq37SZU2U5xxmMTwa5VndnKMoNQGrqQAWdQo5CVVZL-r7p-q1c" TargetMode="External"/><Relationship Id="rId7" Type="http://schemas.openxmlformats.org/officeDocument/2006/relationships/hyperlink" Target="https://www.whitehouse.gov/briefing-room/speeches-remarks/2021/01/20/inaugural-address-by-president-joseph-r-biden-jr/" TargetMode="External"/><Relationship Id="rId71" Type="http://schemas.openxmlformats.org/officeDocument/2006/relationships/hyperlink" Target="http://www.racetolead.org/women-of-color/" TargetMode="External"/><Relationship Id="rId92" Type="http://schemas.openxmlformats.org/officeDocument/2006/relationships/hyperlink" Target="http://www.corp-research.org/dddresearchguide3" TargetMode="External"/><Relationship Id="rId2" Type="http://schemas.openxmlformats.org/officeDocument/2006/relationships/hyperlink" Target="https://www.americanbar.org/advocacy/rule_of_law/what-is-the-rule-of-law/" TargetMode="External"/><Relationship Id="rId29" Type="http://schemas.openxmlformats.org/officeDocument/2006/relationships/hyperlink" Target="https://www.westlaw.com/Document/I1094fd815a1e11dbbd2dfa5ce1d08a25/View/FullText.html?transitionType=Default&amp;contextData=(sc.Default)&amp;VR=3.0&amp;RS=da3.0&amp;fragmentIdentifier=co_pp_sp_1199_1496" TargetMode="External"/><Relationship Id="rId24" Type="http://schemas.openxmlformats.org/officeDocument/2006/relationships/hyperlink" Target="https://www.westlaw.com/Document/I2cd0aa5870bc11e0a34df17ea74c323f/View/FullText.html?transitionType=Default&amp;contextData=(sc.Default)&amp;VR=3.0&amp;RS=da3.0" TargetMode="External"/><Relationship Id="rId40" Type="http://schemas.openxmlformats.org/officeDocument/2006/relationships/hyperlink" Target="https://www.westlaw.com/Document/Ia16d967b8f9c11e28578f7ccc38dcbee/View/FullText.html?transitionType=Default&amp;contextData=(sc.Default)&amp;VR=3.0&amp;RS=da3.0&amp;fragmentIdentifier=co_pp_sp_119645_748%2c+751%2c+755" TargetMode="External"/><Relationship Id="rId45" Type="http://schemas.openxmlformats.org/officeDocument/2006/relationships/hyperlink" Target="https://www.westlaw.com/Document/I9c2c5e114b2811db99a18fc28eb0d9ae/View/FullText.html?transitionType=Default&amp;contextData=(sc.Default)&amp;VR=3.0&amp;RS=da3.0" TargetMode="External"/><Relationship Id="rId66" Type="http://schemas.openxmlformats.org/officeDocument/2006/relationships/hyperlink" Target="https://nativephilanthropy.candid.org" TargetMode="External"/><Relationship Id="rId87" Type="http://schemas.openxmlformats.org/officeDocument/2006/relationships/hyperlink" Target="http://www.sayevery.name/" TargetMode="External"/><Relationship Id="rId110" Type="http://schemas.openxmlformats.org/officeDocument/2006/relationships/hyperlink" Target="https://www.westlaw.com/Document/I3c376bb14a6c11db99a18fc28eb0d9ae/View/FullText.html?transitionType=Default&amp;contextData=(sc.Default)&amp;VR=3.0&amp;RS=da3.0&amp;fragmentIdentifier=co_pp_sp_107340_69" TargetMode="External"/><Relationship Id="rId61" Type="http://schemas.openxmlformats.org/officeDocument/2006/relationships/hyperlink" Target="https://www.westlaw.com/Document/Ib40a32614b2211dba16d88fb847e95e5/View/FullText.html?transitionType=Default&amp;contextData=(sc.Default)&amp;VR=3.0&amp;RS=da3.0&amp;fragmentIdentifier=co_pp_sp_1277_1802" TargetMode="External"/><Relationship Id="rId82" Type="http://schemas.openxmlformats.org/officeDocument/2006/relationships/hyperlink" Target="https://www.westlaw.com/Document/I154eb5b14a5f11dba16d88fb847e95e5/View/FullText.html?transitionType=Default&amp;contextData=(sc.Default)&amp;VR=3.0&amp;RS=da3.0&amp;fragmentIdentifier=co_pp_sp_1239_222" TargetMode="External"/><Relationship Id="rId19" Type="http://schemas.openxmlformats.org/officeDocument/2006/relationships/hyperlink" Target="https://www.westlaw.com/Document/I6505211a9c9711d9bc61beebb95be672/View/FullText.html?transitionType=Default&amp;contextData=(sc.Default)&amp;VR=3.0&amp;RS=da3.0" TargetMode="External"/><Relationship Id="rId14" Type="http://schemas.openxmlformats.org/officeDocument/2006/relationships/hyperlink" Target="https://www.westlaw.com/Document/I4191fb61c2ef11db909893dfdd4e329b/View/FullText.html?transitionType=Default&amp;contextData=(sc.Default)&amp;VR=3.0&amp;RS=da3.0" TargetMode="External"/><Relationship Id="rId30" Type="http://schemas.openxmlformats.org/officeDocument/2006/relationships/hyperlink" Target="https://www.westlaw.com/Document/I8aef6dd75f8511df9b8c850332338889/View/FullText.html?transitionType=Default&amp;contextData=(sc.Default)&amp;VR=3.0&amp;RS=da3.0" TargetMode="External"/><Relationship Id="rId35" Type="http://schemas.openxmlformats.org/officeDocument/2006/relationships/hyperlink" Target="https://www.westlaw.com/Document/Ibde16a9d462c11e598dc8b09b4f043e0/View/FullText.html?transitionType=Default&amp;contextData=(sc.Default)&amp;VR=3.0&amp;RS=da3.0" TargetMode="External"/><Relationship Id="rId56" Type="http://schemas.openxmlformats.org/officeDocument/2006/relationships/hyperlink" Target="https://www.westlaw.com/Document/I5c931925121311e498db8b09b4f043e0/View/FullText.html?transitionType=Default&amp;contextData=(sc.Default)&amp;VR=3.0&amp;RS=da3.0" TargetMode="External"/><Relationship Id="rId77" Type="http://schemas.openxmlformats.org/officeDocument/2006/relationships/hyperlink" Target="https://www.westlaw.com/Document/Ib715bf014a0111db99a18fc28eb0d9ae/View/FullText.html?transitionType=Default&amp;contextData=(sc.Default)&amp;VR=3.0&amp;RS=da3.0&amp;fragmentIdentifier=co_pp_sp_1151_325" TargetMode="External"/><Relationship Id="rId100" Type="http://schemas.openxmlformats.org/officeDocument/2006/relationships/hyperlink" Target="https://d3n8a8pro7vhmx.cloudfront.net/climateplan/pages/44/attachments/original/1509077040/Marcantonio__Tepperman-Gelfant_Clearinghouse_Article_Oct__2015.pdf?1509077040" TargetMode="External"/><Relationship Id="rId105" Type="http://schemas.openxmlformats.org/officeDocument/2006/relationships/hyperlink" Target="https://www.westlaw.com/Document/Id25876f14a0011db99a18fc28eb0d9ae/View/FullText.html?transitionType=Default&amp;contextData=(sc.Default)&amp;VR=3.0&amp;RS=da3.0&amp;fragmentIdentifier=co_pp_sp_1151_443" TargetMode="External"/><Relationship Id="rId8" Type="http://schemas.openxmlformats.org/officeDocument/2006/relationships/hyperlink" Target="https://www.westlaw.com/Document/I765536914b0411db99a18fc28eb0d9ae/View/FullText.html?transitionType=Default&amp;contextData=(sc.Default)&amp;VR=3.0&amp;RS=da3.0&amp;fragmentIdentifier=co_pp_sp_1268_358%2c+407" TargetMode="External"/><Relationship Id="rId51" Type="http://schemas.openxmlformats.org/officeDocument/2006/relationships/hyperlink" Target="https://www.westlaw.com/Document/Icc1e77015a2511dbbe1cf2d29fe2afe6/View/FullText.html?transitionType=Default&amp;contextData=(sc.Default)&amp;VR=3.0&amp;RS=da3.0&amp;fragmentIdentifier=co_pp_sp_1215_456" TargetMode="External"/><Relationship Id="rId72" Type="http://schemas.openxmlformats.org/officeDocument/2006/relationships/hyperlink" Target="https://crg-stemm.ucsd.edu/_files/articles/GenderinLegalProfessionsCaseStudy.pdf" TargetMode="External"/><Relationship Id="rId93" Type="http://schemas.openxmlformats.org/officeDocument/2006/relationships/hyperlink" Target="http://www.littlesis.org/oligrapher" TargetMode="External"/><Relationship Id="rId98" Type="http://schemas.openxmlformats.org/officeDocument/2006/relationships/hyperlink" Target="https://www.westlaw.com/Document/Ia15fd1e14b0611db99a18fc28eb0d9ae/View/FullText.html?transitionType=Default&amp;contextData=(sc.Default)&amp;VR=3.0&amp;RS=da3.0&amp;fragmentIdentifier=co_pp_sp_1290_378" TargetMode="External"/><Relationship Id="rId3" Type="http://schemas.openxmlformats.org/officeDocument/2006/relationships/hyperlink" Target="https://www.westlaw.com/Document/I9ef0f93136d811db8382aef8d8e33c97/View/FullText.html?transitionType=Default&amp;contextData=(sc.Default)&amp;VR=3.0&amp;RS=da3.0&amp;fragmentIdentifier=co_pp_sp_1111_522" TargetMode="External"/><Relationship Id="rId25" Type="http://schemas.openxmlformats.org/officeDocument/2006/relationships/hyperlink" Target="https://www.westlaw.com/Document/Iec8096a1f5cd11e79bf099c0ee06c731/View/FullText.html?transitionType=Default&amp;contextData=(sc.Default)&amp;VR=3.0&amp;RS=da3.0&amp;fragmentIdentifier=co_pp_sp_101925_815" TargetMode="External"/><Relationship Id="rId46" Type="http://schemas.openxmlformats.org/officeDocument/2006/relationships/hyperlink" Target="https://www.westlaw.com/Document/I5891bb015a0a11dbbe1cf2d29fe2afe6/View/FullText.html?transitionType=Default&amp;contextData=(sc.Default)&amp;VR=3.0&amp;RS=da3.0&amp;fragmentIdentifier=co_pp_sp_1239_2442" TargetMode="External"/><Relationship Id="rId67" Type="http://schemas.openxmlformats.org/officeDocument/2006/relationships/hyperlink" Target="http://www.foundationcenter.issuelab.org/resources/12839/12839.pdf" TargetMode="External"/><Relationship Id="rId20" Type="http://schemas.openxmlformats.org/officeDocument/2006/relationships/hyperlink" Target="https://www.westlaw.com/Document/I1a7b61a14a0f11dba16d88fb847e95e5/View/FullText.html?transitionType=Default&amp;contextData=(sc.Default)&amp;VR=3.0&amp;RS=da3.0" TargetMode="External"/><Relationship Id="rId41" Type="http://schemas.openxmlformats.org/officeDocument/2006/relationships/hyperlink" Target="https://www.westlaw.com/Document/I2c9d9c0af29111df9b8c850332338889/View/FullText.html?transitionType=Default&amp;contextData=(sc.Default)&amp;VR=3.0&amp;RS=da3.0&amp;fragmentIdentifier=co_pp_sp_100947_609" TargetMode="External"/><Relationship Id="rId62" Type="http://schemas.openxmlformats.org/officeDocument/2006/relationships/hyperlink" Target="https://news.bloomberglaw.com/business-and-practice/skadden-foundation-chief-resigns-in-wake-of-firms-trump-deal" TargetMode="External"/><Relationship Id="rId83" Type="http://schemas.openxmlformats.org/officeDocument/2006/relationships/hyperlink" Target="https://www.westlaw.com/Document/I7673bc1b351011e08b05fdf15589d8e8/View/FullText.html?transitionType=Default&amp;contextData=(sc.Default)&amp;VR=3.0&amp;RS=da3.0" TargetMode="External"/><Relationship Id="rId88" Type="http://schemas.openxmlformats.org/officeDocument/2006/relationships/hyperlink" Target="http://www.prnewswire.com/news-releases/dcp-entertainment-launches-say-their-name-a-podcast-series-memorializing-black-people-who-have-been-assaulted-or-killed-by-police-30111161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E8DA6C-3C92-844B-9200-BDCF0B9762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271</Pages>
  <Words>122970</Words>
  <Characters>700932</Characters>
  <Application>Microsoft Office Word</Application>
  <DocSecurity>0</DocSecurity>
  <Lines>5841</Lines>
  <Paragraphs>1644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822258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Esther Rodriguez</dc:creator>
  <cp:keywords/>
  <dc:description/>
  <cp:lastModifiedBy>Steven Bender</cp:lastModifiedBy>
  <cp:revision>2</cp:revision>
  <cp:lastPrinted>2026-05-28T19:49:00Z</cp:lastPrinted>
  <dcterms:created xsi:type="dcterms:W3CDTF">2026-10-02T22:50:00Z</dcterms:created>
  <dcterms:modified xsi:type="dcterms:W3CDTF">2026-10-02T22:50:00Z</dcterms:modified>
</cp:coreProperties>
</file>