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6CAA4" w14:textId="77777777" w:rsidR="00175D19" w:rsidRPr="00E719CE" w:rsidRDefault="00175D19" w:rsidP="00232C52">
      <w:pPr>
        <w:spacing w:after="0" w:line="240" w:lineRule="auto"/>
        <w:jc w:val="center"/>
        <w:rPr>
          <w:rFonts w:ascii="Times New Roman" w:eastAsiaTheme="majorEastAsia" w:hAnsi="Times New Roman" w:cs="Times New Roman"/>
          <w:bCs/>
          <w:caps/>
          <w:color w:val="242424"/>
          <w:spacing w:val="-10"/>
          <w:w w:val="105"/>
          <w:kern w:val="28"/>
        </w:rPr>
      </w:pPr>
      <w:r w:rsidRPr="00E719CE">
        <w:rPr>
          <w:rFonts w:ascii="Times New Roman" w:eastAsiaTheme="majorEastAsia" w:hAnsi="Times New Roman" w:cs="Times New Roman"/>
          <w:b/>
          <w:bCs/>
          <w:caps/>
          <w:color w:val="242424"/>
          <w:spacing w:val="-10"/>
          <w:w w:val="105"/>
          <w:kern w:val="28"/>
          <w:lang w:val="uz-Cyrl-UZ"/>
        </w:rPr>
        <w:t>Cultura, "Kulturkampf" y más allá: El principio de antidiscriminación bajo la jurisprudencia del retroceso</w:t>
      </w:r>
      <w:r w:rsidRPr="00E719CE">
        <w:rPr>
          <w:rFonts w:ascii="Times New Roman" w:eastAsiaTheme="majorEastAsia" w:hAnsi="Times New Roman" w:cs="Times New Roman"/>
          <w:bCs/>
          <w:caps/>
          <w:color w:val="242424"/>
          <w:spacing w:val="-10"/>
          <w:w w:val="105"/>
          <w:kern w:val="28"/>
        </w:rPr>
        <w:t xml:space="preserve"> </w:t>
      </w:r>
    </w:p>
    <w:p w14:paraId="42CD7548" w14:textId="19C55567" w:rsidR="002F62AC" w:rsidRPr="00E719CE" w:rsidRDefault="002F62AC" w:rsidP="00232C52">
      <w:pPr>
        <w:spacing w:after="0" w:line="240" w:lineRule="auto"/>
        <w:jc w:val="center"/>
        <w:rPr>
          <w:rFonts w:ascii="Times New Roman" w:hAnsi="Times New Roman" w:cs="Times New Roman"/>
        </w:rPr>
      </w:pPr>
      <w:r w:rsidRPr="00E719CE">
        <w:rPr>
          <w:rFonts w:ascii="Times New Roman" w:hAnsi="Times New Roman" w:cs="Times New Roman"/>
        </w:rPr>
        <w:t>Francisco Vald</w:t>
      </w:r>
      <w:r w:rsidR="00175D19" w:rsidRPr="00E719CE">
        <w:rPr>
          <w:rFonts w:ascii="Times New Roman" w:hAnsi="Times New Roman" w:cs="Times New Roman"/>
        </w:rPr>
        <w:t>é</w:t>
      </w:r>
      <w:r w:rsidRPr="00E719CE">
        <w:rPr>
          <w:rFonts w:ascii="Times New Roman" w:hAnsi="Times New Roman" w:cs="Times New Roman"/>
        </w:rPr>
        <w:t>s</w:t>
      </w:r>
    </w:p>
    <w:p w14:paraId="3752E1F7" w14:textId="5441019A" w:rsidR="00232C52" w:rsidRPr="00E719CE" w:rsidRDefault="000F4712" w:rsidP="00232C52">
      <w:pPr>
        <w:spacing w:after="0"/>
        <w:jc w:val="center"/>
        <w:rPr>
          <w:rFonts w:ascii="Times New Roman" w:hAnsi="Times New Roman" w:cs="Times New Roman"/>
        </w:rPr>
      </w:pPr>
      <w:r w:rsidRPr="00E719CE">
        <w:rPr>
          <w:rFonts w:ascii="Times New Roman" w:hAnsi="Times New Roman" w:cs="Times New Roman"/>
          <w:smallCaps/>
          <w:szCs w:val="22"/>
        </w:rPr>
        <w:t>The Blackwell Companion to Law and Society</w:t>
      </w:r>
      <w:r w:rsidRPr="00E719CE">
        <w:rPr>
          <w:rFonts w:ascii="Times New Roman" w:hAnsi="Times New Roman" w:cs="Times New Roman"/>
          <w:szCs w:val="22"/>
        </w:rPr>
        <w:t xml:space="preserve"> </w:t>
      </w:r>
      <w:r w:rsidR="001167E9">
        <w:rPr>
          <w:rFonts w:ascii="Times New Roman" w:hAnsi="Times New Roman" w:cs="Times New Roman"/>
          <w:szCs w:val="22"/>
        </w:rPr>
        <w:t xml:space="preserve">247 </w:t>
      </w:r>
      <w:bookmarkStart w:id="0" w:name="_GoBack"/>
      <w:bookmarkEnd w:id="0"/>
      <w:r w:rsidRPr="00E719CE">
        <w:rPr>
          <w:rFonts w:ascii="Times New Roman" w:hAnsi="Times New Roman" w:cs="Times New Roman"/>
          <w:szCs w:val="22"/>
        </w:rPr>
        <w:t>(Austin Sarat ed</w:t>
      </w:r>
      <w:r w:rsidR="00E47DF3" w:rsidRPr="00E719CE">
        <w:rPr>
          <w:rFonts w:ascii="Times New Roman" w:hAnsi="Times New Roman" w:cs="Times New Roman"/>
          <w:szCs w:val="22"/>
        </w:rPr>
        <w:t>.,</w:t>
      </w:r>
      <w:r w:rsidRPr="00E719CE">
        <w:rPr>
          <w:rFonts w:ascii="Times New Roman" w:hAnsi="Times New Roman" w:cs="Times New Roman"/>
          <w:szCs w:val="22"/>
        </w:rPr>
        <w:t xml:space="preserve"> 2003)</w:t>
      </w:r>
    </w:p>
    <w:p w14:paraId="01B38811" w14:textId="77777777" w:rsidR="00232C52" w:rsidRPr="00E719CE" w:rsidRDefault="00232C52" w:rsidP="00232C52">
      <w:pPr>
        <w:spacing w:after="0"/>
        <w:jc w:val="center"/>
        <w:rPr>
          <w:rFonts w:ascii="Times New Roman" w:hAnsi="Times New Roman" w:cs="Times New Roman"/>
        </w:rPr>
      </w:pPr>
    </w:p>
    <w:p w14:paraId="56CA7B6A" w14:textId="786B350D" w:rsidR="007004E3" w:rsidRPr="00E719CE" w:rsidRDefault="002F62AC" w:rsidP="007004E3">
      <w:pPr>
        <w:spacing w:after="0" w:line="240" w:lineRule="auto"/>
        <w:rPr>
          <w:rFonts w:ascii="Times New Roman" w:hAnsi="Times New Roman" w:cs="Times New Roman"/>
          <w:b/>
          <w:bCs/>
          <w:u w:val="single"/>
        </w:rPr>
      </w:pPr>
      <w:r w:rsidRPr="00E719CE">
        <w:rPr>
          <w:rFonts w:ascii="Times New Roman" w:hAnsi="Times New Roman" w:cs="Times New Roman"/>
          <w:b/>
          <w:bCs/>
          <w:u w:val="single"/>
        </w:rPr>
        <w:t>Introduc</w:t>
      </w:r>
      <w:r w:rsidR="00175D19" w:rsidRPr="00E719CE">
        <w:rPr>
          <w:rFonts w:ascii="Times New Roman" w:hAnsi="Times New Roman" w:cs="Times New Roman"/>
          <w:b/>
          <w:bCs/>
          <w:u w:val="single"/>
        </w:rPr>
        <w:t>ción</w:t>
      </w:r>
    </w:p>
    <w:p w14:paraId="74265A8C" w14:textId="77777777" w:rsidR="002A2463" w:rsidRPr="00E719CE" w:rsidRDefault="00C16809" w:rsidP="002A2463">
      <w:pPr>
        <w:spacing w:before="100" w:beforeAutospacing="1" w:after="100" w:afterAutospacing="1" w:line="240" w:lineRule="auto"/>
        <w:ind w:firstLine="720"/>
        <w:rPr>
          <w:rFonts w:ascii="Times New Roman" w:eastAsia="Times New Roman" w:hAnsi="Times New Roman" w:cs="Times New Roman"/>
          <w:kern w:val="0"/>
          <w:lang w:val="uz-Cyrl-UZ"/>
          <w14:ligatures w14:val="none"/>
        </w:rPr>
      </w:pPr>
      <w:r w:rsidRPr="00C16809">
        <w:rPr>
          <w:rFonts w:ascii="Times New Roman" w:eastAsia="Times New Roman" w:hAnsi="Times New Roman" w:cs="Times New Roman"/>
          <w:kern w:val="0"/>
          <w:lang w:val="uz-Cyrl-UZ"/>
          <w14:ligatures w14:val="none"/>
        </w:rPr>
        <w:t>El arco de la historia es largo, como observó una vez Martin Luther King, Jr., y no le corresponde a una sola generación ver cumplidas sus esperanzas.</w:t>
      </w:r>
      <w:r w:rsidR="00A97CE8"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Pero el arco de la historia nunca es lineal</w:t>
      </w:r>
      <w:r w:rsidR="00A97CE8" w:rsidRPr="00E719CE">
        <w:rPr>
          <w:rFonts w:ascii="Times New Roman" w:eastAsia="Times New Roman" w:hAnsi="Times New Roman" w:cs="Times New Roman"/>
          <w:kern w:val="0"/>
          <w:lang w:val="uz-Cyrl-UZ"/>
          <w14:ligatures w14:val="none"/>
        </w:rPr>
        <w:t>; t</w:t>
      </w:r>
      <w:r w:rsidRPr="00C16809">
        <w:rPr>
          <w:rFonts w:ascii="Times New Roman" w:eastAsia="Times New Roman" w:hAnsi="Times New Roman" w:cs="Times New Roman"/>
          <w:kern w:val="0"/>
          <w:lang w:val="uz-Cyrl-UZ"/>
          <w14:ligatures w14:val="none"/>
        </w:rPr>
        <w:t>iene dimensiones</w:t>
      </w:r>
      <w:r w:rsidR="00A97CE8" w:rsidRPr="00E719CE">
        <w:rPr>
          <w:rFonts w:ascii="Times New Roman" w:eastAsia="Times New Roman" w:hAnsi="Times New Roman" w:cs="Times New Roman"/>
          <w:kern w:val="0"/>
          <w:lang w:val="uz-Cyrl-UZ"/>
          <w14:ligatures w14:val="none"/>
        </w:rPr>
        <w:t xml:space="preserve"> </w:t>
      </w:r>
      <w:r w:rsidR="00A97CE8" w:rsidRPr="00C16809">
        <w:rPr>
          <w:rFonts w:ascii="Times New Roman" w:eastAsia="Times New Roman" w:hAnsi="Times New Roman" w:cs="Times New Roman"/>
          <w:kern w:val="0"/>
          <w:lang w:val="uz-Cyrl-UZ"/>
          <w14:ligatures w14:val="none"/>
        </w:rPr>
        <w:t>múltiples</w:t>
      </w:r>
      <w:r w:rsidR="00A97CE8" w:rsidRPr="00E719CE">
        <w:rPr>
          <w:rFonts w:ascii="Times New Roman" w:eastAsia="Times New Roman" w:hAnsi="Times New Roman" w:cs="Times New Roman"/>
          <w:kern w:val="0"/>
          <w:lang w:val="uz-Cyrl-UZ"/>
          <w14:ligatures w14:val="none"/>
        </w:rPr>
        <w:t>; e</w:t>
      </w:r>
      <w:r w:rsidRPr="00C16809">
        <w:rPr>
          <w:rFonts w:ascii="Times New Roman" w:eastAsia="Times New Roman" w:hAnsi="Times New Roman" w:cs="Times New Roman"/>
          <w:kern w:val="0"/>
          <w:lang w:val="uz-Cyrl-UZ"/>
          <w14:ligatures w14:val="none"/>
        </w:rPr>
        <w:t>stá lleno de contradicciones e interrupciones</w:t>
      </w:r>
      <w:r w:rsidR="00EB25CE" w:rsidRPr="00E719CE">
        <w:rPr>
          <w:rFonts w:ascii="Times New Roman" w:eastAsia="Times New Roman" w:hAnsi="Times New Roman" w:cs="Times New Roman"/>
          <w:kern w:val="0"/>
          <w:lang w:val="uz-Cyrl-UZ"/>
          <w14:ligatures w14:val="none"/>
        </w:rPr>
        <w:t>; s</w:t>
      </w:r>
      <w:r w:rsidRPr="00C16809">
        <w:rPr>
          <w:rFonts w:ascii="Times New Roman" w:eastAsia="Times New Roman" w:hAnsi="Times New Roman" w:cs="Times New Roman"/>
          <w:kern w:val="0"/>
          <w:lang w:val="uz-Cyrl-UZ"/>
          <w14:ligatures w14:val="none"/>
        </w:rPr>
        <w:t>e despliega de forma irregular</w:t>
      </w:r>
      <w:r w:rsidR="00EB25CE" w:rsidRPr="00E719CE">
        <w:rPr>
          <w:rFonts w:ascii="Times New Roman" w:eastAsia="Times New Roman" w:hAnsi="Times New Roman" w:cs="Times New Roman"/>
          <w:kern w:val="0"/>
          <w:lang w:val="uz-Cyrl-UZ"/>
          <w14:ligatures w14:val="none"/>
        </w:rPr>
        <w:t>; y s</w:t>
      </w:r>
      <w:r w:rsidRPr="00C16809">
        <w:rPr>
          <w:rFonts w:ascii="Times New Roman" w:eastAsia="Times New Roman" w:hAnsi="Times New Roman" w:cs="Times New Roman"/>
          <w:kern w:val="0"/>
          <w:lang w:val="uz-Cyrl-UZ"/>
          <w14:ligatures w14:val="none"/>
        </w:rPr>
        <w:t>iempre depende del contexto</w:t>
      </w:r>
      <w:r w:rsidR="00EB25CE"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Está en cambio constante.</w:t>
      </w:r>
      <w:r w:rsidR="00EB25CE"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 xml:space="preserve">El </w:t>
      </w:r>
      <w:r w:rsidR="00EB25CE"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arco</w:t>
      </w:r>
      <w:r w:rsidR="00EB25CE"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 xml:space="preserve"> de la historia no es un destino predeterminado.</w:t>
      </w:r>
      <w:r w:rsidR="00EB25CE"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Es la suma momentánea de la experiencia social, más un sentido de trayectoria contextualizado</w:t>
      </w:r>
      <w:r w:rsidR="00B97335"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 xml:space="preserve"> desde una perspectiva intergeneracional.</w:t>
      </w:r>
      <w:r w:rsidR="00B97335"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Durante los últimos dos siglos, más o menos, el arco de la historia ha trazado un desplazamiento nacional lento y difícil.</w:t>
      </w:r>
      <w:r w:rsidR="00B97335"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Ese desplazamiento va desde la subordinación formal hacia la igualdad formal.</w:t>
      </w:r>
      <w:r w:rsidR="00B97335" w:rsidRPr="00E719CE">
        <w:rPr>
          <w:rFonts w:ascii="Times New Roman" w:eastAsia="Times New Roman" w:hAnsi="Times New Roman" w:cs="Times New Roman"/>
          <w:kern w:val="0"/>
          <w:lang w:val="uz-Cyrl-UZ"/>
          <w14:ligatures w14:val="none"/>
        </w:rPr>
        <w:t xml:space="preserve"> </w:t>
      </w:r>
      <w:r w:rsidRPr="00C16809">
        <w:rPr>
          <w:rFonts w:ascii="Times New Roman" w:eastAsia="Times New Roman" w:hAnsi="Times New Roman" w:cs="Times New Roman"/>
          <w:kern w:val="0"/>
          <w:lang w:val="uz-Cyrl-UZ"/>
          <w14:ligatures w14:val="none"/>
        </w:rPr>
        <w:t>Culmina en la adopción formal del principio antidiscriminatorio</w:t>
      </w:r>
      <w:r w:rsidR="00B97335"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 xml:space="preserve"> durante las décadas centrales y finales del siglo veinte, bajo la concepción liberal —y la promesa— de la "</w:t>
      </w:r>
      <w:r w:rsidR="00B97335"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gualdad de oportunidades</w:t>
      </w:r>
      <w:r w:rsidR="00B97335" w:rsidRPr="00E719CE">
        <w:rPr>
          <w:rFonts w:ascii="Times New Roman" w:eastAsia="Times New Roman" w:hAnsi="Times New Roman" w:cs="Times New Roman"/>
          <w:kern w:val="0"/>
          <w:lang w:val="uz-Cyrl-UZ"/>
          <w14:ligatures w14:val="none"/>
        </w:rPr>
        <w:t>”</w:t>
      </w:r>
      <w:r w:rsidRPr="00C16809">
        <w:rPr>
          <w:rFonts w:ascii="Times New Roman" w:eastAsia="Times New Roman" w:hAnsi="Times New Roman" w:cs="Times New Roman"/>
          <w:kern w:val="0"/>
          <w:lang w:val="uz-Cyrl-UZ"/>
          <w14:ligatures w14:val="none"/>
        </w:rPr>
        <w:t>.</w:t>
      </w:r>
    </w:p>
    <w:p w14:paraId="102ECE88" w14:textId="0C0698F3" w:rsidR="001E1CEA" w:rsidRPr="00E719CE" w:rsidRDefault="001E1CEA" w:rsidP="002A2463">
      <w:pPr>
        <w:spacing w:before="100" w:beforeAutospacing="1" w:after="100" w:afterAutospacing="1" w:line="240" w:lineRule="auto"/>
        <w:ind w:firstLine="720"/>
        <w:rPr>
          <w:rFonts w:ascii="Times New Roman" w:eastAsia="Times New Roman" w:hAnsi="Times New Roman" w:cs="Times New Roman"/>
          <w:kern w:val="0"/>
          <w:lang w:val="uz-Cyrl-UZ"/>
          <w14:ligatures w14:val="none"/>
        </w:rPr>
      </w:pPr>
      <w:r w:rsidRPr="00E719CE">
        <w:rPr>
          <w:rFonts w:ascii="Times New Roman" w:hAnsi="Times New Roman" w:cs="Times New Roman"/>
        </w:rPr>
        <w:t>Contra este trasfondo histórico, quizás el desarrollo más notable en el derecho constitucional reciente sobre “igualdad” y “antidiscriminación” (dentro de los Estados Unidos) ha sido la aparición paralela de las jurisprudencias de la “periferia” (</w:t>
      </w:r>
      <w:r w:rsidRPr="00E719CE">
        <w:rPr>
          <w:rStyle w:val="Emphasis"/>
          <w:rFonts w:ascii="Times New Roman" w:hAnsi="Times New Roman" w:cs="Times New Roman"/>
        </w:rPr>
        <w:t>outsider</w:t>
      </w:r>
      <w:r w:rsidRPr="00E719CE">
        <w:rPr>
          <w:rFonts w:ascii="Times New Roman" w:hAnsi="Times New Roman" w:cs="Times New Roman"/>
        </w:rPr>
        <w:t>) y de la “reacción” (</w:t>
      </w:r>
      <w:r w:rsidRPr="00E719CE">
        <w:rPr>
          <w:rStyle w:val="Emphasis"/>
          <w:rFonts w:ascii="Times New Roman" w:hAnsi="Times New Roman" w:cs="Times New Roman"/>
        </w:rPr>
        <w:t>backlash</w:t>
      </w:r>
      <w:r w:rsidRPr="00E719CE">
        <w:rPr>
          <w:rFonts w:ascii="Times New Roman" w:hAnsi="Times New Roman" w:cs="Times New Roman"/>
        </w:rPr>
        <w:t>)</w:t>
      </w:r>
      <w:r w:rsidR="00E305FF" w:rsidRPr="00E719CE">
        <w:rPr>
          <w:rFonts w:ascii="Times New Roman" w:hAnsi="Times New Roman" w:cs="Times New Roman"/>
        </w:rPr>
        <w:t>,</w:t>
      </w:r>
      <w:r w:rsidRPr="00E719CE">
        <w:rPr>
          <w:rFonts w:ascii="Times New Roman" w:hAnsi="Times New Roman" w:cs="Times New Roman"/>
        </w:rPr>
        <w:t xml:space="preserve"> desde la academia jurídica. Ambas responden a las promesas sociológicas y jurídicas del liberalismo, y también a sus realidades. Aunque en este periodo </w:t>
      </w:r>
      <w:r w:rsidR="00E305FF" w:rsidRPr="00E719CE">
        <w:rPr>
          <w:rFonts w:ascii="Times New Roman" w:hAnsi="Times New Roman" w:cs="Times New Roman"/>
        </w:rPr>
        <w:t>surgieron</w:t>
      </w:r>
      <w:r w:rsidRPr="00E719CE">
        <w:rPr>
          <w:rFonts w:ascii="Times New Roman" w:hAnsi="Times New Roman" w:cs="Times New Roman"/>
        </w:rPr>
        <w:t xml:space="preserve"> muchas otras corrientes vivas y agudas, tanto dentro como fuera del ámbito jurídico académico, estas dos representan las descripciones más</w:t>
      </w:r>
      <w:r w:rsidR="00E305FF" w:rsidRPr="00E719CE">
        <w:rPr>
          <w:rFonts w:ascii="Times New Roman" w:hAnsi="Times New Roman" w:cs="Times New Roman"/>
        </w:rPr>
        <w:t>,</w:t>
      </w:r>
      <w:r w:rsidRPr="00E719CE">
        <w:rPr>
          <w:rFonts w:ascii="Times New Roman" w:hAnsi="Times New Roman" w:cs="Times New Roman"/>
        </w:rPr>
        <w:t xml:space="preserve"> marcadamente contrastantes</w:t>
      </w:r>
      <w:r w:rsidR="00E305FF" w:rsidRPr="00E719CE">
        <w:rPr>
          <w:rFonts w:ascii="Times New Roman" w:hAnsi="Times New Roman" w:cs="Times New Roman"/>
        </w:rPr>
        <w:t>,</w:t>
      </w:r>
      <w:r w:rsidRPr="00E719CE">
        <w:rPr>
          <w:rFonts w:ascii="Times New Roman" w:hAnsi="Times New Roman" w:cs="Times New Roman"/>
        </w:rPr>
        <w:t xml:space="preserve"> del liberalismo, así como las propuestas jurisprudenciales más divergentes sobre los pasos siguientes</w:t>
      </w:r>
      <w:r w:rsidR="002A2463" w:rsidRPr="00E719CE">
        <w:rPr>
          <w:rFonts w:ascii="Times New Roman" w:hAnsi="Times New Roman" w:cs="Times New Roman"/>
        </w:rPr>
        <w:t>,</w:t>
      </w:r>
      <w:r w:rsidRPr="00E719CE">
        <w:rPr>
          <w:rFonts w:ascii="Times New Roman" w:hAnsi="Times New Roman" w:cs="Times New Roman"/>
        </w:rPr>
        <w:t xml:space="preserve"> ante el legado problemático del liberalismo en materia de antidiscriminación.</w:t>
      </w:r>
    </w:p>
    <w:p w14:paraId="2A5482BE" w14:textId="40D2A44A" w:rsidR="00BC5213" w:rsidRPr="00E719CE" w:rsidRDefault="00544741" w:rsidP="00697AAC">
      <w:pPr>
        <w:pStyle w:val="NormalWeb"/>
        <w:ind w:firstLine="720"/>
      </w:pPr>
      <w:r w:rsidRPr="00E719CE">
        <w:t>Hoy en día, estas dos formaciones jurisprudenciales se encuentran enfrascadas en una lucha</w:t>
      </w:r>
      <w:r w:rsidR="00B9740A" w:rsidRPr="00E719CE">
        <w:t xml:space="preserve"> </w:t>
      </w:r>
      <w:r w:rsidRPr="00E719CE">
        <w:t>decidida por el rumbo del arco de la historia</w:t>
      </w:r>
      <w:r w:rsidR="00B9740A" w:rsidRPr="00E719CE">
        <w:t>,</w:t>
      </w:r>
      <w:r w:rsidRPr="00E719CE">
        <w:t xml:space="preserve"> en la articulación nacional (e internacional) de los valores “liberales”</w:t>
      </w:r>
      <w:r w:rsidR="00995729" w:rsidRPr="00E719CE">
        <w:t>. Estos valores</w:t>
      </w:r>
      <w:r w:rsidR="00B9740A" w:rsidRPr="00E719CE">
        <w:t>,</w:t>
      </w:r>
      <w:r w:rsidRPr="00E719CE">
        <w:t xml:space="preserve"> que surgieron en la segunda mitad del siglo veinte</w:t>
      </w:r>
      <w:r w:rsidR="00B9740A" w:rsidRPr="00E719CE">
        <w:t>,</w:t>
      </w:r>
      <w:r w:rsidRPr="00E719CE">
        <w:t xml:space="preserve"> tras la Segunda Guerra Mundial, en Estados Unidos </w:t>
      </w:r>
      <w:r w:rsidR="00995729" w:rsidRPr="00E719CE">
        <w:t>se conocen</w:t>
      </w:r>
      <w:r w:rsidRPr="00E719CE">
        <w:t xml:space="preserve"> como el “principio antidiscriminatorio” o los valores de antidiscriminación</w:t>
      </w:r>
      <w:r w:rsidR="00671B2C" w:rsidRPr="00E719CE">
        <w:rPr>
          <w:rStyle w:val="FootnoteReference"/>
        </w:rPr>
        <w:footnoteReference w:id="1"/>
      </w:r>
      <w:r w:rsidRPr="00E719CE">
        <w:t>. Sin embargo, ambos campos se encuentran ubicados de forma muy distinta en términos estructurales y políticos. En las últimas dos décadas, la jurisprudencia de reacción ha salido de sus orígenes en la academia jurídica nacional y hoy ocupa los tribunales federales</w:t>
      </w:r>
      <w:r w:rsidR="00995729" w:rsidRPr="00E719CE">
        <w:t>. D</w:t>
      </w:r>
      <w:r w:rsidRPr="00E719CE">
        <w:t xml:space="preserve">esde </w:t>
      </w:r>
      <w:r w:rsidR="00995729" w:rsidRPr="00E719CE">
        <w:t xml:space="preserve">allí inscriben </w:t>
      </w:r>
      <w:r w:rsidRPr="00E719CE">
        <w:t>sus preferencias en el derecho. La jurisprudencia periférica, por su parte, permanece principalmente en la academia</w:t>
      </w:r>
      <w:r w:rsidR="00671B2C" w:rsidRPr="00E719CE">
        <w:t>.</w:t>
      </w:r>
      <w:r w:rsidRPr="00E719CE">
        <w:t xml:space="preserve"> </w:t>
      </w:r>
      <w:r w:rsidR="00671B2C" w:rsidRPr="00E719CE">
        <w:t>D</w:t>
      </w:r>
      <w:r w:rsidRPr="00E719CE">
        <w:t xml:space="preserve">esde </w:t>
      </w:r>
      <w:r w:rsidR="00671B2C" w:rsidRPr="00E719CE">
        <w:t xml:space="preserve">allí, elaboran </w:t>
      </w:r>
      <w:r w:rsidRPr="00E719CE">
        <w:t xml:space="preserve">los saberes, </w:t>
      </w:r>
      <w:r w:rsidR="00671B2C" w:rsidRPr="00E719CE">
        <w:t xml:space="preserve">los </w:t>
      </w:r>
      <w:r w:rsidRPr="00E719CE">
        <w:t xml:space="preserve">métodos y </w:t>
      </w:r>
      <w:r w:rsidR="00671B2C" w:rsidRPr="00E719CE">
        <w:t xml:space="preserve">los </w:t>
      </w:r>
      <w:r w:rsidRPr="00E719CE">
        <w:t>principios</w:t>
      </w:r>
      <w:r w:rsidR="00671B2C" w:rsidRPr="00E719CE">
        <w:t>,</w:t>
      </w:r>
      <w:r w:rsidRPr="00E719CE">
        <w:t xml:space="preserve"> que podrían orientar un resurgimiento jurídico de la igualdad</w:t>
      </w:r>
      <w:r w:rsidR="00671B2C" w:rsidRPr="00E719CE">
        <w:t>,</w:t>
      </w:r>
      <w:r w:rsidRPr="00E719CE">
        <w:t xml:space="preserve"> en algún momento del futuro.</w:t>
      </w:r>
    </w:p>
    <w:p w14:paraId="15C89983" w14:textId="28E06143" w:rsidR="00004239" w:rsidRPr="00E719CE" w:rsidRDefault="00BC5213" w:rsidP="00C84DD5">
      <w:pPr>
        <w:pStyle w:val="NormalWeb"/>
        <w:ind w:firstLine="720"/>
      </w:pPr>
      <w:r w:rsidRPr="00E719CE">
        <w:t xml:space="preserve">La pregunta fundamental, sobre la que ambos campos giran, es si la marcha histórica de la nación debe continuar o retroceder. Para quienes representan la reacción, el imperativo es un </w:t>
      </w:r>
      <w:r w:rsidRPr="00E719CE">
        <w:lastRenderedPageBreak/>
        <w:t>retorno a la “tradición”, mientras que para quienes se sitúan en la periferia, la necesidad es un cambio social orientado a la “antipriorización” o antisubordinación. En cuanto a sus fundamentos normativos y orientaciones doctrinales, el primer grupo mira hacia el pasado, mientras que el segundo dirige su mirada hacia los márgenes. Estos desarrollos jurisprudenciales paralelos representan así un proceso simultáneo y en tensión</w:t>
      </w:r>
      <w:r w:rsidR="00697AAC" w:rsidRPr="00E719CE">
        <w:t>,</w:t>
      </w:r>
      <w:r w:rsidRPr="00E719CE">
        <w:t xml:space="preserve"> de expansión teórica y contracción doctrinal, que refleja un fenómeno sociopolítico más amplio y volátil.</w:t>
      </w:r>
    </w:p>
    <w:p w14:paraId="6D8AA05B" w14:textId="477BC46B" w:rsidR="00004239" w:rsidRPr="00E719CE" w:rsidRDefault="00004239" w:rsidP="00004239">
      <w:pPr>
        <w:pStyle w:val="NormalWeb"/>
        <w:ind w:firstLine="720"/>
      </w:pPr>
      <w:r w:rsidRPr="00E719CE">
        <w:t>Este fenómeno más amplio —denominado</w:t>
      </w:r>
      <w:r w:rsidR="00CC49BB" w:rsidRPr="00E719CE">
        <w:t>,</w:t>
      </w:r>
      <w:r w:rsidRPr="00E719CE">
        <w:t xml:space="preserve"> explícitamente</w:t>
      </w:r>
      <w:r w:rsidR="00CC49BB" w:rsidRPr="00E719CE">
        <w:t>,</w:t>
      </w:r>
      <w:r w:rsidRPr="00E719CE">
        <w:t xml:space="preserve"> </w:t>
      </w:r>
      <w:r w:rsidRPr="00E719CE">
        <w:rPr>
          <w:rStyle w:val="Emphasis"/>
          <w:rFonts w:eastAsiaTheme="majorEastAsia"/>
        </w:rPr>
        <w:t>kulturkampf</w:t>
      </w:r>
      <w:r w:rsidR="00CC49BB" w:rsidRPr="00E719CE">
        <w:t xml:space="preserve">, </w:t>
      </w:r>
      <w:r w:rsidRPr="00E719CE">
        <w:t>por Antonin Scalia</w:t>
      </w:r>
      <w:r w:rsidR="00CC49BB" w:rsidRPr="00E719CE">
        <w:t>,</w:t>
      </w:r>
      <w:r w:rsidRPr="00E719CE">
        <w:t xml:space="preserve"> en su disenso frente al fallo del Tribunal Supremo en </w:t>
      </w:r>
      <w:r w:rsidRPr="00E719CE">
        <w:rPr>
          <w:rStyle w:val="Emphasis"/>
          <w:rFonts w:eastAsiaTheme="majorEastAsia"/>
        </w:rPr>
        <w:t>Romer v. Evans</w:t>
      </w:r>
      <w:r w:rsidR="00CC49BB" w:rsidRPr="00E719CE">
        <w:rPr>
          <w:rStyle w:val="FootnoteReference"/>
        </w:rPr>
        <w:footnoteReference w:id="2"/>
      </w:r>
      <w:r w:rsidRPr="00E719CE">
        <w:t xml:space="preserve">— </w:t>
      </w:r>
      <w:r w:rsidR="00CC49BB" w:rsidRPr="00E719CE">
        <w:t>se ha</w:t>
      </w:r>
      <w:r w:rsidRPr="00E719CE">
        <w:t xml:space="preserve"> descrito</w:t>
      </w:r>
      <w:r w:rsidR="00CC49BB" w:rsidRPr="00E719CE">
        <w:t>,</w:t>
      </w:r>
      <w:r w:rsidRPr="00E719CE">
        <w:t xml:space="preserve"> de forma más general y frecuente</w:t>
      </w:r>
      <w:r w:rsidR="00CC49BB" w:rsidRPr="00E719CE">
        <w:t>,</w:t>
      </w:r>
      <w:r w:rsidRPr="00E719CE">
        <w:t xml:space="preserve"> como las “guerras culturales”</w:t>
      </w:r>
      <w:r w:rsidR="00421D64" w:rsidRPr="00E719CE">
        <w:rPr>
          <w:rStyle w:val="FootnoteReference"/>
        </w:rPr>
        <w:t xml:space="preserve"> </w:t>
      </w:r>
      <w:r w:rsidR="00421D64" w:rsidRPr="00E719CE">
        <w:rPr>
          <w:rStyle w:val="FootnoteReference"/>
        </w:rPr>
        <w:footnoteReference w:id="3"/>
      </w:r>
      <w:r w:rsidRPr="00E719CE">
        <w:t xml:space="preserve"> de las últimas décadas. Estas guerras culturales, complejas y multidimensionales, se libran con el reconocimiento manifiesto de que la cultura siempre implica poder</w:t>
      </w:r>
      <w:r w:rsidR="00CC49BB" w:rsidRPr="00E719CE">
        <w:t>. P</w:t>
      </w:r>
      <w:r w:rsidRPr="00E719CE">
        <w:t xml:space="preserve">or </w:t>
      </w:r>
      <w:r w:rsidR="00CC49BB" w:rsidRPr="00E719CE">
        <w:t xml:space="preserve">lo </w:t>
      </w:r>
      <w:r w:rsidRPr="00E719CE">
        <w:t>tanto</w:t>
      </w:r>
      <w:r w:rsidR="00CC49BB" w:rsidRPr="00E719CE">
        <w:t>,</w:t>
      </w:r>
      <w:r w:rsidRPr="00E719CE">
        <w:t xml:space="preserve"> es</w:t>
      </w:r>
      <w:r w:rsidR="00435E64" w:rsidRPr="00E719CE">
        <w:t>,</w:t>
      </w:r>
      <w:r w:rsidRPr="00E719CE">
        <w:t xml:space="preserve"> parcialmente</w:t>
      </w:r>
      <w:r w:rsidR="00435E64" w:rsidRPr="00E719CE">
        <w:t>,</w:t>
      </w:r>
      <w:r w:rsidRPr="00E719CE">
        <w:t xml:space="preserve"> responsable de las diferencias en la capacidad de los individuos y los grupos para definir y satisfacer sus necesidades. Estas guerras culturales se presentan como una disputa por el “alma” de la nación: en efecto, por el poder de establecer normas, parámetros y resultados</w:t>
      </w:r>
      <w:r w:rsidR="00020A44" w:rsidRPr="00E719CE">
        <w:t>,</w:t>
      </w:r>
      <w:r w:rsidRPr="00E719CE">
        <w:t xml:space="preserve"> entre y a través de los distintos grupos sociales, con el fin de resucitar castas identitarias repudiadas e ideologías supremacistas. Estas guerras culturales —</w:t>
      </w:r>
      <w:r w:rsidR="00421D64" w:rsidRPr="00E719CE">
        <w:t>que incluyen</w:t>
      </w:r>
      <w:r w:rsidRPr="00E719CE">
        <w:t xml:space="preserve"> su dimensión jurisprudencial</w:t>
      </w:r>
      <w:r w:rsidR="00421D64" w:rsidRPr="00E719CE">
        <w:t xml:space="preserve"> y denominamos </w:t>
      </w:r>
      <w:r w:rsidRPr="00E719CE">
        <w:t>“jurisprudencia de re</w:t>
      </w:r>
      <w:r w:rsidR="00020A44" w:rsidRPr="00E719CE">
        <w:t>troceso</w:t>
      </w:r>
      <w:r w:rsidRPr="00E719CE">
        <w:t>”— representan una contrarrevolución jurídica, ideológica y cultural</w:t>
      </w:r>
      <w:r w:rsidR="00421D64" w:rsidRPr="00E719CE">
        <w:t xml:space="preserve">. Esta </w:t>
      </w:r>
      <w:r w:rsidRPr="00E719CE">
        <w:t xml:space="preserve">busca reafirmar los “valores tradicionales” eurocéntricos, basados en imperativos coloniales que </w:t>
      </w:r>
      <w:r w:rsidR="002A3D7A" w:rsidRPr="00E719CE">
        <w:t xml:space="preserve">ya </w:t>
      </w:r>
      <w:r w:rsidRPr="00E719CE">
        <w:t>fueron cuestionados</w:t>
      </w:r>
      <w:r w:rsidR="002A3D7A" w:rsidRPr="00E719CE">
        <w:t>,</w:t>
      </w:r>
      <w:r w:rsidRPr="00E719CE">
        <w:t xml:space="preserve"> durante la segunda mitad del siglo veinte</w:t>
      </w:r>
      <w:r w:rsidR="00421D64" w:rsidRPr="00E719CE">
        <w:t>,</w:t>
      </w:r>
      <w:r w:rsidRPr="00E719CE">
        <w:t xml:space="preserve"> por las reformas liberales que facilitaron y permitieron un cambio social limitado</w:t>
      </w:r>
      <w:r w:rsidR="00421D64" w:rsidRPr="00E719CE">
        <w:rPr>
          <w:rStyle w:val="FootnoteReference"/>
        </w:rPr>
        <w:footnoteReference w:id="4"/>
      </w:r>
      <w:r w:rsidRPr="00E719CE">
        <w:t>.</w:t>
      </w:r>
    </w:p>
    <w:p w14:paraId="4C6536E0" w14:textId="77777777" w:rsidR="000E6CCB" w:rsidRPr="00E719CE" w:rsidRDefault="001D7FB1" w:rsidP="000E6CCB">
      <w:pPr>
        <w:pStyle w:val="NormalWeb"/>
        <w:ind w:firstLine="720"/>
      </w:pPr>
      <w:r w:rsidRPr="00E719CE">
        <w:t xml:space="preserve">En gran medida, el llamado “principio antidiscriminatorio” en el derecho constitucional —en su pasado, presente y futuro— </w:t>
      </w:r>
      <w:r w:rsidR="00AC0A81" w:rsidRPr="00E719CE">
        <w:t>es</w:t>
      </w:r>
      <w:r w:rsidRPr="00E719CE">
        <w:t xml:space="preserve"> el escenario de muchos de los temas y </w:t>
      </w:r>
      <w:r w:rsidR="00AC0A81" w:rsidRPr="00E719CE">
        <w:t xml:space="preserve">los </w:t>
      </w:r>
      <w:r w:rsidRPr="00E719CE">
        <w:t>combates que configuran las guerras culturales. Este principio prohíbe la discriminación invidiosa, o el ánimo hostil, contra cualquier persona con base en identidades sociales como la raza, el sexo y otras semejantes. Sin embargo, esas identidades sociales fueron el fundamento del derecho y de la sociedad coloniales</w:t>
      </w:r>
      <w:r w:rsidR="00AC0A81" w:rsidRPr="00E719CE">
        <w:t>. Es importante notar que</w:t>
      </w:r>
      <w:r w:rsidR="00C75B19" w:rsidRPr="00E719CE">
        <w:t xml:space="preserve"> </w:t>
      </w:r>
      <w:r w:rsidRPr="00E719CE">
        <w:t>fueron</w:t>
      </w:r>
      <w:r w:rsidR="00AC0A81" w:rsidRPr="00E719CE">
        <w:t>,</w:t>
      </w:r>
      <w:r w:rsidRPr="00E719CE">
        <w:t xml:space="preserve"> formalmente</w:t>
      </w:r>
      <w:r w:rsidR="00AC0A81" w:rsidRPr="00E719CE">
        <w:t>,</w:t>
      </w:r>
      <w:r w:rsidRPr="00E719CE">
        <w:t xml:space="preserve"> repudiadas como derecho</w:t>
      </w:r>
      <w:r w:rsidR="00AC0A81" w:rsidRPr="00E719CE">
        <w:t>,</w:t>
      </w:r>
      <w:r w:rsidRPr="00E719CE">
        <w:t xml:space="preserve"> con la promulgación de las Enmiendas de la Reconstrucción, incluida la garantía de “igual protección” de la Decimocuarta Enmienda. No obstante, las agendas reaccionarias de las guerras culturales promueven un “regreso” a una “tradición” que valoriza las castas identitarias coloniales</w:t>
      </w:r>
      <w:r w:rsidR="00C75B19" w:rsidRPr="00E719CE">
        <w:t>,</w:t>
      </w:r>
      <w:r w:rsidRPr="00E719CE">
        <w:t xml:space="preserve"> basadas en la supremacía blanca, el patriarcado y otras ideologías similares. El principio antidiscriminatorio, aun con sus límites, se interpone ante esas agendas tradicionalistas y sus jerarquías sociojurídicas. Así, aunque se pueden utilizar enfoques </w:t>
      </w:r>
      <w:r w:rsidR="00C75B19" w:rsidRPr="00E719CE">
        <w:t xml:space="preserve">múltiples </w:t>
      </w:r>
      <w:r w:rsidRPr="00E719CE">
        <w:t>para comprender los desarrollos recientes en el derecho, la política y la jurisprudencia de la antidiscriminación, las guerras culturales en curso en los Estados Unidos ofrecen un marco social con un poder explicativo</w:t>
      </w:r>
      <w:r w:rsidR="00923B00" w:rsidRPr="00E719CE">
        <w:t xml:space="preserve"> fuerte</w:t>
      </w:r>
      <w:r w:rsidRPr="00E719CE">
        <w:t>.</w:t>
      </w:r>
      <w:r w:rsidR="00C75B19" w:rsidRPr="00E719CE">
        <w:t xml:space="preserve"> </w:t>
      </w:r>
    </w:p>
    <w:p w14:paraId="631766FD" w14:textId="694D0242" w:rsidR="000E6CCB" w:rsidRPr="00E719CE" w:rsidRDefault="000E6CCB" w:rsidP="0048314F">
      <w:pPr>
        <w:pStyle w:val="NormalWeb"/>
        <w:ind w:firstLine="720"/>
      </w:pPr>
      <w:r w:rsidRPr="00E719CE">
        <w:t xml:space="preserve">Contra este trasfondo histórico, y en el contexto contemporáneo, el estado actual de la jurisprudencia puede describirse, en términos generales, como la coexistencia de tres </w:t>
      </w:r>
      <w:r w:rsidRPr="00E719CE">
        <w:lastRenderedPageBreak/>
        <w:t>concepciones básicas de la “igualdad” —o de una sociedad socialmente justa— a través del derecho y la política de “antidiscriminación”:</w:t>
      </w:r>
    </w:p>
    <w:p w14:paraId="12E7E34F" w14:textId="7BEC00C0" w:rsidR="00625A25" w:rsidRPr="00E719CE" w:rsidRDefault="00625A25" w:rsidP="00625A25">
      <w:pPr>
        <w:pStyle w:val="ListParagraph"/>
        <w:numPr>
          <w:ilvl w:val="0"/>
          <w:numId w:val="1"/>
        </w:numPr>
        <w:spacing w:after="0" w:line="240" w:lineRule="auto"/>
        <w:rPr>
          <w:rFonts w:ascii="Times New Roman" w:hAnsi="Times New Roman" w:cs="Times New Roman"/>
        </w:rPr>
      </w:pPr>
      <w:proofErr w:type="gramStart"/>
      <w:r w:rsidRPr="00E719CE">
        <w:rPr>
          <w:rFonts w:ascii="Times New Roman" w:hAnsi="Times New Roman" w:cs="Times New Roman"/>
        </w:rPr>
        <w:t>la</w:t>
      </w:r>
      <w:proofErr w:type="gramEnd"/>
      <w:r w:rsidRPr="00E719CE">
        <w:rPr>
          <w:rFonts w:ascii="Times New Roman" w:hAnsi="Times New Roman" w:cs="Times New Roman"/>
        </w:rPr>
        <w:t xml:space="preserve"> concepción de “igualdad formal” propia de la jurisprudencia liberal, que triunfó entre las décadas de 1930 y 1970, al afirmar el rechazo de la discriminación </w:t>
      </w:r>
      <w:r w:rsidRPr="00E719CE">
        <w:rPr>
          <w:rStyle w:val="Emphasis"/>
          <w:rFonts w:ascii="Times New Roman" w:hAnsi="Times New Roman" w:cs="Times New Roman"/>
        </w:rPr>
        <w:t>de jure</w:t>
      </w:r>
      <w:r w:rsidRPr="00E719CE">
        <w:rPr>
          <w:rFonts w:ascii="Times New Roman" w:hAnsi="Times New Roman" w:cs="Times New Roman"/>
        </w:rPr>
        <w:t xml:space="preserve"> y que, aunque sigue generalmente presente en el entramado jurídico, se encuentra cada vez menos arraigada;</w:t>
      </w:r>
    </w:p>
    <w:p w14:paraId="0D74EAD4" w14:textId="77777777" w:rsidR="00022DB4" w:rsidRPr="00E719CE" w:rsidRDefault="000C3B55" w:rsidP="00022DB4">
      <w:pPr>
        <w:pStyle w:val="ListParagraph"/>
        <w:numPr>
          <w:ilvl w:val="0"/>
          <w:numId w:val="1"/>
        </w:numPr>
        <w:spacing w:after="0" w:line="240" w:lineRule="auto"/>
        <w:rPr>
          <w:rFonts w:ascii="Times New Roman" w:hAnsi="Times New Roman" w:cs="Times New Roman"/>
        </w:rPr>
      </w:pPr>
      <w:r w:rsidRPr="00E719CE">
        <w:rPr>
          <w:rFonts w:ascii="Times New Roman" w:hAnsi="Times New Roman" w:cs="Times New Roman"/>
        </w:rPr>
        <w:t xml:space="preserve">la concepción neocolonialista, “originalista” o tradicionalista de la jurisprudencia de retroceso, que surge en las décadas de 1970 y 1980, con el propósito de “revertir” los efectos sociales —reales y percibidos— de los triunfos formales del liberalism. Esta hoy logra, de forma creciente, derogar o debilitar los legados jurídicos y sociales del liberalismo en materia de antidiscriminación, como parte de una guerra cultural más amplia y reaccionaria contra el progreso alcanzado desde el </w:t>
      </w:r>
      <w:r w:rsidRPr="00E719CE">
        <w:rPr>
          <w:rStyle w:val="Emphasis"/>
          <w:rFonts w:ascii="Times New Roman" w:hAnsi="Times New Roman" w:cs="Times New Roman"/>
        </w:rPr>
        <w:t>New Deal</w:t>
      </w:r>
      <w:r w:rsidRPr="00E719CE">
        <w:rPr>
          <w:rFonts w:ascii="Times New Roman" w:hAnsi="Times New Roman" w:cs="Times New Roman"/>
        </w:rPr>
        <w:t>;</w:t>
      </w:r>
      <w:r w:rsidR="005B768C" w:rsidRPr="00E719CE">
        <w:rPr>
          <w:rFonts w:ascii="Times New Roman" w:hAnsi="Times New Roman" w:cs="Times New Roman"/>
        </w:rPr>
        <w:t xml:space="preserve"> y</w:t>
      </w:r>
    </w:p>
    <w:p w14:paraId="13890FD3" w14:textId="59616C8E" w:rsidR="003A5C2C" w:rsidRPr="00E719CE" w:rsidRDefault="005B768C" w:rsidP="00022DB4">
      <w:pPr>
        <w:pStyle w:val="ListParagraph"/>
        <w:numPr>
          <w:ilvl w:val="0"/>
          <w:numId w:val="1"/>
        </w:numPr>
        <w:spacing w:after="0" w:line="240" w:lineRule="auto"/>
        <w:rPr>
          <w:rFonts w:ascii="Times New Roman" w:hAnsi="Times New Roman" w:cs="Times New Roman"/>
        </w:rPr>
      </w:pPr>
      <w:r w:rsidRPr="00E719CE">
        <w:rPr>
          <w:rFonts w:ascii="Times New Roman" w:hAnsi="Times New Roman" w:cs="Times New Roman"/>
        </w:rPr>
        <w:t>la concepción de “antisubordinación” de la jurisprudencia crítica periférica, que emergió en la década de 1980</w:t>
      </w:r>
      <w:r w:rsidR="00D266C3" w:rsidRPr="00E719CE">
        <w:rPr>
          <w:rFonts w:ascii="Times New Roman" w:hAnsi="Times New Roman" w:cs="Times New Roman"/>
        </w:rPr>
        <w:t>. Esta</w:t>
      </w:r>
      <w:r w:rsidRPr="00E719CE">
        <w:rPr>
          <w:rFonts w:ascii="Times New Roman" w:hAnsi="Times New Roman" w:cs="Times New Roman"/>
        </w:rPr>
        <w:t xml:space="preserve"> busca ampliar las conquistas del liberalismo para superar sus limitaciones, tanto sociales como materiales</w:t>
      </w:r>
      <w:r w:rsidR="00D266C3" w:rsidRPr="00E719CE">
        <w:rPr>
          <w:rFonts w:ascii="Times New Roman" w:hAnsi="Times New Roman" w:cs="Times New Roman"/>
        </w:rPr>
        <w:t>. Al mismo</w:t>
      </w:r>
      <w:r w:rsidRPr="00E719CE">
        <w:rPr>
          <w:rFonts w:ascii="Times New Roman" w:hAnsi="Times New Roman" w:cs="Times New Roman"/>
        </w:rPr>
        <w:t xml:space="preserve"> </w:t>
      </w:r>
      <w:proofErr w:type="gramStart"/>
      <w:r w:rsidRPr="00E719CE">
        <w:rPr>
          <w:rFonts w:ascii="Times New Roman" w:hAnsi="Times New Roman" w:cs="Times New Roman"/>
        </w:rPr>
        <w:t xml:space="preserve">tiempo </w:t>
      </w:r>
      <w:r w:rsidR="00D266C3" w:rsidRPr="00E719CE">
        <w:rPr>
          <w:rFonts w:ascii="Times New Roman" w:hAnsi="Times New Roman" w:cs="Times New Roman"/>
        </w:rPr>
        <w:t>,</w:t>
      </w:r>
      <w:proofErr w:type="gramEnd"/>
      <w:r w:rsidR="00D266C3" w:rsidRPr="00E719CE">
        <w:rPr>
          <w:rFonts w:ascii="Times New Roman" w:hAnsi="Times New Roman" w:cs="Times New Roman"/>
        </w:rPr>
        <w:t xml:space="preserve"> </w:t>
      </w:r>
      <w:r w:rsidRPr="00E719CE">
        <w:rPr>
          <w:rFonts w:ascii="Times New Roman" w:hAnsi="Times New Roman" w:cs="Times New Roman"/>
        </w:rPr>
        <w:t>resiste el ascenso de la reacción y la contracción del derecho</w:t>
      </w:r>
      <w:r w:rsidR="00D266C3" w:rsidRPr="00E719CE">
        <w:rPr>
          <w:rFonts w:ascii="Times New Roman" w:hAnsi="Times New Roman" w:cs="Times New Roman"/>
        </w:rPr>
        <w:t>,</w:t>
      </w:r>
      <w:r w:rsidRPr="00E719CE">
        <w:rPr>
          <w:rFonts w:ascii="Times New Roman" w:hAnsi="Times New Roman" w:cs="Times New Roman"/>
        </w:rPr>
        <w:t xml:space="preserve"> que amenaza con revertir los avances sociales en materia de antidiscriminación.</w:t>
      </w:r>
    </w:p>
    <w:p w14:paraId="35A5D024" w14:textId="030B8728" w:rsidR="00022DB4" w:rsidRPr="00E719CE" w:rsidRDefault="0048314F" w:rsidP="003A5C2C">
      <w:pPr>
        <w:spacing w:after="0" w:line="240" w:lineRule="auto"/>
        <w:rPr>
          <w:rFonts w:ascii="Times New Roman" w:hAnsi="Times New Roman" w:cs="Times New Roman"/>
        </w:rPr>
      </w:pPr>
      <w:r w:rsidRPr="00E719CE">
        <w:rPr>
          <w:rFonts w:ascii="Times New Roman" w:hAnsi="Times New Roman" w:cs="Times New Roman"/>
        </w:rPr>
        <w:br/>
      </w:r>
      <w:r w:rsidR="00022DB4" w:rsidRPr="00E719CE">
        <w:rPr>
          <w:rFonts w:ascii="Times New Roman" w:hAnsi="Times New Roman" w:cs="Times New Roman"/>
        </w:rPr>
        <w:t xml:space="preserve">Con las guerras culturales como telón de fondo, este ensayo presenta y describe el estado actual. Nos enfocamos en estas tres “escuelas” </w:t>
      </w:r>
      <w:r w:rsidRPr="00E719CE">
        <w:rPr>
          <w:rFonts w:ascii="Times New Roman" w:hAnsi="Times New Roman" w:cs="Times New Roman"/>
        </w:rPr>
        <w:t xml:space="preserve">principales </w:t>
      </w:r>
      <w:r w:rsidR="00022DB4" w:rsidRPr="00E719CE">
        <w:rPr>
          <w:rFonts w:ascii="Times New Roman" w:hAnsi="Times New Roman" w:cs="Times New Roman"/>
        </w:rPr>
        <w:t>del pensamiento antidiscriminatorio</w:t>
      </w:r>
      <w:r w:rsidRPr="00E719CE">
        <w:rPr>
          <w:rFonts w:ascii="Times New Roman" w:hAnsi="Times New Roman" w:cs="Times New Roman"/>
        </w:rPr>
        <w:t xml:space="preserve">, </w:t>
      </w:r>
      <w:r w:rsidR="00022DB4" w:rsidRPr="00E719CE">
        <w:rPr>
          <w:rFonts w:ascii="Times New Roman" w:hAnsi="Times New Roman" w:cs="Times New Roman"/>
        </w:rPr>
        <w:t>en los Estados Unidos</w:t>
      </w:r>
      <w:r w:rsidRPr="00E719CE">
        <w:rPr>
          <w:rFonts w:ascii="Times New Roman" w:hAnsi="Times New Roman" w:cs="Times New Roman"/>
        </w:rPr>
        <w:t xml:space="preserve">; </w:t>
      </w:r>
      <w:r w:rsidR="00022DB4" w:rsidRPr="00E719CE">
        <w:rPr>
          <w:rFonts w:ascii="Times New Roman" w:hAnsi="Times New Roman" w:cs="Times New Roman"/>
        </w:rPr>
        <w:t>especialmente</w:t>
      </w:r>
      <w:r w:rsidRPr="00E719CE">
        <w:rPr>
          <w:rFonts w:ascii="Times New Roman" w:hAnsi="Times New Roman" w:cs="Times New Roman"/>
        </w:rPr>
        <w:t>,</w:t>
      </w:r>
      <w:r w:rsidR="00022DB4" w:rsidRPr="00E719CE">
        <w:rPr>
          <w:rFonts w:ascii="Times New Roman" w:hAnsi="Times New Roman" w:cs="Times New Roman"/>
        </w:rPr>
        <w:t xml:space="preserve"> según se reflejan en las re/interpretaciones constitucionales de la “igualdad” en diversos contextos sociales y jurídicos.</w:t>
      </w:r>
    </w:p>
    <w:p w14:paraId="5F78EF77" w14:textId="77777777" w:rsidR="007C5BB7" w:rsidRPr="00E719CE" w:rsidRDefault="007C5BB7" w:rsidP="007C5BB7">
      <w:pPr>
        <w:spacing w:after="0" w:line="240" w:lineRule="auto"/>
        <w:ind w:firstLine="720"/>
        <w:rPr>
          <w:rFonts w:ascii="Times New Roman" w:hAnsi="Times New Roman" w:cs="Times New Roman"/>
        </w:rPr>
      </w:pPr>
    </w:p>
    <w:p w14:paraId="117A29ED" w14:textId="72450813" w:rsidR="003106F6" w:rsidRPr="00E719CE" w:rsidRDefault="003106F6" w:rsidP="003106F6">
      <w:pPr>
        <w:spacing w:after="0" w:line="240" w:lineRule="auto"/>
        <w:rPr>
          <w:rFonts w:ascii="Times New Roman" w:hAnsi="Times New Roman" w:cs="Times New Roman"/>
          <w:b/>
          <w:u w:val="single"/>
          <w:lang w:val="uz-Cyrl-UZ"/>
        </w:rPr>
      </w:pPr>
      <w:r w:rsidRPr="003106F6">
        <w:rPr>
          <w:rFonts w:ascii="Times New Roman" w:hAnsi="Times New Roman" w:cs="Times New Roman"/>
          <w:b/>
          <w:u w:val="single"/>
          <w:lang w:val="uz-Cyrl-UZ"/>
        </w:rPr>
        <w:t>La promesa constitucional del liberalismo:</w:t>
      </w:r>
      <w:r w:rsidRPr="00E719CE">
        <w:rPr>
          <w:rFonts w:ascii="Times New Roman" w:hAnsi="Times New Roman" w:cs="Times New Roman"/>
          <w:b/>
          <w:u w:val="single"/>
          <w:lang w:val="uz-Cyrl-UZ"/>
        </w:rPr>
        <w:t xml:space="preserve"> ¿</w:t>
      </w:r>
      <w:r w:rsidRPr="003106F6">
        <w:rPr>
          <w:rFonts w:ascii="Times New Roman" w:hAnsi="Times New Roman" w:cs="Times New Roman"/>
          <w:b/>
          <w:u w:val="single"/>
          <w:lang w:val="uz-Cyrl-UZ"/>
        </w:rPr>
        <w:t>igualdad de oportunidades, acción afirmativa y ... ?</w:t>
      </w:r>
    </w:p>
    <w:p w14:paraId="7C5066C6" w14:textId="302F2BC1" w:rsidR="00F5411A" w:rsidRPr="00E719CE" w:rsidRDefault="00F5411A" w:rsidP="00537895">
      <w:pPr>
        <w:pStyle w:val="NormalWeb"/>
        <w:ind w:firstLine="720"/>
      </w:pPr>
      <w:r w:rsidRPr="00E719CE">
        <w:t>El trasfondo del estado actual del derecho antidiscriminatorio está marcado por la coincidencia entre el predominio relativamente constante del liberalismo</w:t>
      </w:r>
      <w:r w:rsidR="00023073" w:rsidRPr="00E719CE">
        <w:rPr>
          <w:rStyle w:val="FootnoteReference"/>
        </w:rPr>
        <w:footnoteReference w:id="5"/>
      </w:r>
      <w:r w:rsidR="00023073" w:rsidRPr="00E719CE">
        <w:t xml:space="preserve"> </w:t>
      </w:r>
      <w:r w:rsidRPr="00E719CE">
        <w:t xml:space="preserve"> en el Congreso federal, el Poder Ejecutivo y el Tribunal Supremo</w:t>
      </w:r>
      <w:r w:rsidR="00023073" w:rsidRPr="00E719CE">
        <w:t>,</w:t>
      </w:r>
      <w:r w:rsidRPr="00E719CE">
        <w:t xml:space="preserve"> durante las décadas de 1930 a 1980</w:t>
      </w:r>
      <w:r w:rsidR="00023073" w:rsidRPr="00E719CE">
        <w:t xml:space="preserve">. </w:t>
      </w:r>
      <w:r w:rsidR="003F3CE0" w:rsidRPr="00E719CE">
        <w:t xml:space="preserve">Además de </w:t>
      </w:r>
      <w:r w:rsidRPr="00E719CE">
        <w:t>un periodo de agitación nacional caracterizado por movimientos de “liberación” como el movimiento obrero, el movimiento por los derechos civiles, el movimiento por los derechos de las mujeres, el movimiento estudiantil contra la guerra, el movimiento de liberación gay, lésbico y bisexual, y el movimiento ambientalista</w:t>
      </w:r>
      <w:r w:rsidR="003F3CE0" w:rsidRPr="00E719CE">
        <w:rPr>
          <w:rStyle w:val="FootnoteReference"/>
        </w:rPr>
        <w:footnoteReference w:id="6"/>
      </w:r>
      <w:r w:rsidRPr="00E719CE">
        <w:t>.</w:t>
      </w:r>
      <w:r w:rsidR="00AD17F0" w:rsidRPr="00E719CE">
        <w:t xml:space="preserve"> </w:t>
      </w:r>
      <w:r w:rsidRPr="00E719CE">
        <w:t>Esa coincidencia histórica dio lugar a la llamada “segunda Reconstrucción”: un conjunto de leyes federales, órdenes ejecutivas y precedentes constitucionales que, en conjunto, representaron el rechazo formal más reciente del respaldo jurídico federal</w:t>
      </w:r>
      <w:r w:rsidR="002616F6" w:rsidRPr="00E719CE">
        <w:t>,</w:t>
      </w:r>
      <w:r w:rsidRPr="00E719CE">
        <w:t xml:space="preserve"> a las estructuras neocoloniales</w:t>
      </w:r>
      <w:r w:rsidR="002616F6" w:rsidRPr="00E719CE">
        <w:t>,</w:t>
      </w:r>
      <w:r w:rsidRPr="00E719CE">
        <w:t xml:space="preserve"> de subordinación sistémica</w:t>
      </w:r>
      <w:r w:rsidR="00AD17F0" w:rsidRPr="00E719CE">
        <w:rPr>
          <w:rStyle w:val="FootnoteReference"/>
        </w:rPr>
        <w:footnoteReference w:id="7"/>
      </w:r>
      <w:r w:rsidRPr="00E719CE">
        <w:t>.</w:t>
      </w:r>
    </w:p>
    <w:p w14:paraId="73A96A32" w14:textId="500CA44A" w:rsidR="00740584" w:rsidRPr="00E719CE" w:rsidRDefault="00F5411A" w:rsidP="005959BF">
      <w:pPr>
        <w:pStyle w:val="NormalWeb"/>
        <w:ind w:firstLine="720"/>
      </w:pPr>
      <w:r w:rsidRPr="00E719CE">
        <w:lastRenderedPageBreak/>
        <w:t xml:space="preserve">Ese rechazo se centró, en gran medida, en categorías como “raza, color, credo, origen nacional y sexo”: algunos de los ejes identitarios </w:t>
      </w:r>
      <w:r w:rsidR="00AD17F0" w:rsidRPr="00E719CE">
        <w:t xml:space="preserve">principales </w:t>
      </w:r>
      <w:r w:rsidRPr="00E719CE">
        <w:t>que, a lo largo de la historia del país, se habían utilizado jurídica y culturalmente</w:t>
      </w:r>
      <w:r w:rsidR="00AD17F0" w:rsidRPr="00E719CE">
        <w:t>,</w:t>
      </w:r>
      <w:r w:rsidRPr="00E719CE">
        <w:t xml:space="preserve"> para elevar por encima del resto de la sociedad a aquellas personas y grupos vinculados con ciertos sectores de los inmigrantes “originales”</w:t>
      </w:r>
      <w:r w:rsidR="00AD17F0" w:rsidRPr="00E719CE">
        <w:t>,</w:t>
      </w:r>
      <w:r w:rsidRPr="00E719CE">
        <w:t xml:space="preserve"> que colonizaron América del Norte y los territorios circundantes.</w:t>
      </w:r>
      <w:r w:rsidR="00AD17F0" w:rsidRPr="00E719CE">
        <w:t xml:space="preserve"> </w:t>
      </w:r>
      <w:r w:rsidRPr="00E719CE">
        <w:t>Sin embargo, las luchas necesarias para lograr ese rechazo —nacional, gradual y aún inconcluso— dieron lugar a una conciencia nueva y más amplia, de carácter “crítico”, sobre la “identidad” y la “diferencia” en su relación con el derecho y la igualdad.</w:t>
      </w:r>
      <w:r w:rsidR="00AD17F0" w:rsidRPr="00E719CE">
        <w:t xml:space="preserve"> </w:t>
      </w:r>
      <w:r w:rsidRPr="00E719CE">
        <w:t>Esa conciencia contribuye a explicar tanto la jurisprudencia periférica como la jurisprudencia de reacción.</w:t>
      </w:r>
    </w:p>
    <w:p w14:paraId="0E03FD38" w14:textId="6C9EA8F5" w:rsidR="00740584" w:rsidRPr="00E719CE" w:rsidRDefault="00740584" w:rsidP="00080F5B">
      <w:pPr>
        <w:pStyle w:val="NormalWeb"/>
        <w:ind w:firstLine="720"/>
      </w:pPr>
      <w:r w:rsidRPr="00E719CE">
        <w:t>Por ejemplo, el enfoque formal y normativo en la “igualdad de oportunidades”, como objetivo de la reforma jurídica liberal, separó, efectivamente, la “oportunidad” teórica de la realidad social. Esto permitió a los grupos dominantes calmar la conciencia nacional</w:t>
      </w:r>
      <w:r w:rsidR="00080F5B" w:rsidRPr="00E719CE">
        <w:t>,</w:t>
      </w:r>
      <w:r w:rsidRPr="00E719CE">
        <w:t xml:space="preserve"> sin necesidad de renunciar</w:t>
      </w:r>
      <w:r w:rsidR="00080F5B" w:rsidRPr="00E719CE">
        <w:t>,</w:t>
      </w:r>
      <w:r w:rsidRPr="00E719CE">
        <w:t xml:space="preserve"> materialmente</w:t>
      </w:r>
      <w:r w:rsidR="00080F5B" w:rsidRPr="00E719CE">
        <w:t>,</w:t>
      </w:r>
      <w:r w:rsidRPr="00E719CE">
        <w:t xml:space="preserve"> a beneficios obtenidos de manera ilegítima</w:t>
      </w:r>
      <w:r w:rsidR="001932E2" w:rsidRPr="00E719CE">
        <w:rPr>
          <w:rStyle w:val="FootnoteReference"/>
        </w:rPr>
        <w:footnoteReference w:id="8"/>
      </w:r>
      <w:r w:rsidRPr="00E719CE">
        <w:t>.</w:t>
      </w:r>
      <w:r w:rsidR="00080F5B" w:rsidRPr="00E719CE">
        <w:t xml:space="preserve"> </w:t>
      </w:r>
      <w:r w:rsidRPr="00E719CE">
        <w:t>De forma similar, la aceptación doctrinal y jurisprudencial del “daltonismo jurídico”</w:t>
      </w:r>
      <w:r w:rsidR="00080F5B" w:rsidRPr="00E719CE">
        <w:t>,</w:t>
      </w:r>
      <w:r w:rsidRPr="00E719CE">
        <w:t xml:space="preserve"> como respuesta ideal a generaciones de subordinación </w:t>
      </w:r>
      <w:r w:rsidRPr="00E719CE">
        <w:rPr>
          <w:rStyle w:val="Emphasis"/>
          <w:rFonts w:eastAsiaTheme="majorEastAsia"/>
        </w:rPr>
        <w:t>de jure</w:t>
      </w:r>
      <w:r w:rsidR="00080F5B" w:rsidRPr="00E719CE">
        <w:t xml:space="preserve">, </w:t>
      </w:r>
      <w:r w:rsidRPr="00E719CE">
        <w:t>cegó al derecho frente a desigualdades arraigadas y realidades sociales concretas. Así se creó una brecha profunda entre las ficciones jurídicas de “igualdad formal” —las palabras sobre el papel— y la experiencia vivida</w:t>
      </w:r>
      <w:r w:rsidR="00DF6805" w:rsidRPr="00E719CE">
        <w:t>,</w:t>
      </w:r>
      <w:r w:rsidRPr="00E719CE">
        <w:t xml:space="preserve"> de las personas reales</w:t>
      </w:r>
      <w:r w:rsidR="00080F5B" w:rsidRPr="00E719CE">
        <w:t>,</w:t>
      </w:r>
      <w:r w:rsidRPr="00E719CE">
        <w:t xml:space="preserve"> en su vida cotidiana</w:t>
      </w:r>
      <w:r w:rsidR="001932E2" w:rsidRPr="00E719CE">
        <w:rPr>
          <w:rStyle w:val="FootnoteReference"/>
        </w:rPr>
        <w:footnoteReference w:id="9"/>
      </w:r>
      <w:r w:rsidRPr="00E719CE">
        <w:t>.</w:t>
      </w:r>
    </w:p>
    <w:p w14:paraId="5BAB42C9" w14:textId="1EA0865A" w:rsidR="007C5BB7" w:rsidRPr="00E719CE" w:rsidRDefault="00740584" w:rsidP="00D41E19">
      <w:pPr>
        <w:pStyle w:val="NormalWeb"/>
        <w:ind w:firstLine="720"/>
      </w:pPr>
      <w:r w:rsidRPr="00E719CE">
        <w:t>En estas condiciones, se produce una disociación entre el derecho escrito y el derecho vivido en la sociedad: el daltonismo formal del derecho no le permite “ver” la conciencia racial</w:t>
      </w:r>
      <w:r w:rsidR="00DF6805" w:rsidRPr="00E719CE">
        <w:t>,</w:t>
      </w:r>
      <w:r w:rsidRPr="00E719CE">
        <w:t xml:space="preserve"> que existe en la vida social</w:t>
      </w:r>
      <w:r w:rsidR="001932E2" w:rsidRPr="00E719CE">
        <w:rPr>
          <w:rStyle w:val="FootnoteReference"/>
        </w:rPr>
        <w:footnoteReference w:id="10"/>
      </w:r>
      <w:r w:rsidRPr="00E719CE">
        <w:t>.</w:t>
      </w:r>
      <w:r w:rsidR="00DF6805" w:rsidRPr="00E719CE">
        <w:t xml:space="preserve"> </w:t>
      </w:r>
      <w:r w:rsidRPr="00E719CE">
        <w:t xml:space="preserve">Como resultado, la igualdad formal bajo el principio antidiscriminatorio no </w:t>
      </w:r>
      <w:r w:rsidR="00DF6805" w:rsidRPr="00E719CE">
        <w:t>logra</w:t>
      </w:r>
      <w:r w:rsidRPr="00E719CE">
        <w:t xml:space="preserve"> generar transformación social. En lugar de eso, la “igualdad de oportunidades” en el empleo, la educación y otras esferas se convirtió en una invocación legalmente exigida y bien intencionada en todas las instituciones, tanto públicas como privadas, aun cuando el statu quo de desigualdades grupales normalizadas y basadas en la identidad permanecía evidente y, no pocas veces, se agravaba</w:t>
      </w:r>
      <w:r w:rsidR="005959BF" w:rsidRPr="00E719CE">
        <w:rPr>
          <w:rStyle w:val="FootnoteReference"/>
        </w:rPr>
        <w:footnoteReference w:id="11"/>
      </w:r>
      <w:r w:rsidRPr="00E719CE">
        <w:t>.</w:t>
      </w:r>
      <w:r w:rsidR="00DF6805" w:rsidRPr="00E719CE">
        <w:t xml:space="preserve"> </w:t>
      </w:r>
      <w:r w:rsidRPr="00E719CE">
        <w:t>La persistencia de desigualdades estructurales y sistémicas —así como de desigualdades cotidianas—</w:t>
      </w:r>
      <w:r w:rsidR="00102B20" w:rsidRPr="00E719CE">
        <w:t xml:space="preserve">, </w:t>
      </w:r>
      <w:r w:rsidRPr="00E719CE">
        <w:t xml:space="preserve">basadas en antiguas castas </w:t>
      </w:r>
      <w:r w:rsidRPr="00E719CE">
        <w:lastRenderedPageBreak/>
        <w:t>identitarias</w:t>
      </w:r>
      <w:r w:rsidR="00102B20" w:rsidRPr="00E719CE">
        <w:t>,</w:t>
      </w:r>
      <w:r w:rsidR="001932E2" w:rsidRPr="00E719CE">
        <w:t xml:space="preserve"> </w:t>
      </w:r>
      <w:r w:rsidRPr="00E719CE">
        <w:t>dio lugar, con el tiempo, a la aparición de académicas y académicos “periféricos” dedicados a explicar, o deconstruir, esa persistencia desconcertante.</w:t>
      </w:r>
    </w:p>
    <w:p w14:paraId="30F2DA9A" w14:textId="77777777" w:rsidR="00D41E19" w:rsidRPr="00D41E19" w:rsidRDefault="00D41E19" w:rsidP="00D41E19">
      <w:pPr>
        <w:spacing w:after="0" w:line="240" w:lineRule="auto"/>
        <w:rPr>
          <w:rFonts w:ascii="Times New Roman" w:hAnsi="Times New Roman" w:cs="Times New Roman"/>
          <w:b/>
          <w:u w:val="single"/>
          <w:lang w:val="uz-Cyrl-UZ"/>
        </w:rPr>
      </w:pPr>
      <w:r w:rsidRPr="00D41E19">
        <w:rPr>
          <w:rFonts w:ascii="Times New Roman" w:hAnsi="Times New Roman" w:cs="Times New Roman"/>
          <w:b/>
          <w:u w:val="single"/>
          <w:lang w:val="uz-Cyrl-UZ"/>
        </w:rPr>
        <w:t>Jurisprudencia crítica desde fuera: Antisubordinación y Transformación-los «OutCrits»</w:t>
      </w:r>
    </w:p>
    <w:p w14:paraId="4F09D520" w14:textId="665C8AFC" w:rsidR="00817606" w:rsidRPr="00E719CE" w:rsidRDefault="00817606" w:rsidP="005131D1">
      <w:pPr>
        <w:pStyle w:val="NormalWeb"/>
        <w:ind w:firstLine="720"/>
      </w:pPr>
      <w:r w:rsidRPr="00E719CE">
        <w:t>A comienzos y mediados de la década de 1980, académicas y académicos periféricos se sintieron atraídos por las conferencias de estudios jurídicos críticos (</w:t>
      </w:r>
      <w:r w:rsidRPr="00E719CE">
        <w:rPr>
          <w:rStyle w:val="Emphasis"/>
          <w:rFonts w:eastAsiaTheme="majorEastAsia"/>
        </w:rPr>
        <w:t>critical legal studies</w:t>
      </w:r>
      <w:r w:rsidRPr="00E719CE">
        <w:t xml:space="preserve">) y por las redes “posliberales” afines, con el fin de explorar la estratificación socioeconómica </w:t>
      </w:r>
      <w:r w:rsidR="00384816" w:rsidRPr="00E719CE">
        <w:t xml:space="preserve">persistente </w:t>
      </w:r>
      <w:r w:rsidRPr="00E719CE">
        <w:t>de la sociedad estadounidense, a pesar de décadas de reformas legales.</w:t>
      </w:r>
      <w:r w:rsidR="00384816" w:rsidRPr="00E719CE">
        <w:t xml:space="preserve"> </w:t>
      </w:r>
      <w:r w:rsidRPr="00E719CE">
        <w:t xml:space="preserve">Sin embargo, el enfoque de los estudios jurídicos críticos en torno a la “clase” no permitía incorporar fácilmente el estudio de las “intersecciones”: es decir, la interacción entre ejes de posicionamiento sociológico y jurídico </w:t>
      </w:r>
      <w:r w:rsidR="00384816" w:rsidRPr="00E719CE">
        <w:t xml:space="preserve">múltiples </w:t>
      </w:r>
      <w:r w:rsidRPr="00E719CE">
        <w:t>que, en conjunto, producen patrones complejos de privilegio o subordinación</w:t>
      </w:r>
      <w:r w:rsidR="00384816" w:rsidRPr="00E719CE">
        <w:t>,</w:t>
      </w:r>
      <w:r w:rsidRPr="00E719CE">
        <w:t xml:space="preserve"> basados en la “identidad”. Entre esos ejes se encuentran, por ejemplo, las interacciones entre identidades basadas en clase, raza, género y orientación sexual.</w:t>
      </w:r>
    </w:p>
    <w:p w14:paraId="0F3DC112" w14:textId="06F878AA" w:rsidR="00817606" w:rsidRPr="00E719CE" w:rsidRDefault="00817606" w:rsidP="005A1CFC">
      <w:pPr>
        <w:pStyle w:val="NormalWeb"/>
        <w:ind w:firstLine="720"/>
      </w:pPr>
      <w:r w:rsidRPr="00E719CE">
        <w:t>Debido al énfasis marcado en la “clase”</w:t>
      </w:r>
      <w:r w:rsidR="00F86B44" w:rsidRPr="00E719CE">
        <w:t>,</w:t>
      </w:r>
      <w:r w:rsidRPr="00E719CE">
        <w:t xml:space="preserve"> dentro de las redes críticas de aquel momento, el estudio crítico de otras desigualdades basadas en la identidad pasó a un segundo plano</w:t>
      </w:r>
      <w:r w:rsidR="00F86B44" w:rsidRPr="00E719CE">
        <w:t>. Los académicos periféricos cuestionaros esta</w:t>
      </w:r>
      <w:r w:rsidRPr="00E719CE">
        <w:t xml:space="preserve"> situación</w:t>
      </w:r>
      <w:r w:rsidR="00F86B44" w:rsidRPr="00E719CE">
        <w:t xml:space="preserve">. </w:t>
      </w:r>
      <w:r w:rsidRPr="00E719CE">
        <w:t>Como consecuencia, hacia mediados y finales de los años ochenta</w:t>
      </w:r>
      <w:r w:rsidR="00F86B44" w:rsidRPr="00E719CE">
        <w:t>,</w:t>
      </w:r>
      <w:r w:rsidRPr="00E719CE">
        <w:t xml:space="preserve"> se produjo una “ruptura” entre los estudios jurídicos críticos y las y los académicos periféricos</w:t>
      </w:r>
      <w:r w:rsidR="005A1CFC" w:rsidRPr="00E719CE">
        <w:t>,</w:t>
      </w:r>
      <w:r w:rsidRPr="00E719CE">
        <w:t xml:space="preserve"> vinculados al movimiento </w:t>
      </w:r>
      <w:r w:rsidRPr="00E719CE">
        <w:rPr>
          <w:rStyle w:val="Emphasis"/>
          <w:rFonts w:eastAsiaTheme="majorEastAsia"/>
        </w:rPr>
        <w:t>Crit</w:t>
      </w:r>
      <w:r w:rsidRPr="00E719CE">
        <w:t>, en su mayoría mujeres y personas pertenecientes a minorías raciales y étnicas</w:t>
      </w:r>
      <w:r w:rsidR="005A1CFC" w:rsidRPr="00E719CE">
        <w:rPr>
          <w:rStyle w:val="FootnoteReference"/>
        </w:rPr>
        <w:footnoteReference w:id="12"/>
      </w:r>
      <w:r w:rsidRPr="00E719CE">
        <w:t>.</w:t>
      </w:r>
      <w:r w:rsidR="005A1CFC" w:rsidRPr="00E719CE">
        <w:t xml:space="preserve"> </w:t>
      </w:r>
      <w:r w:rsidRPr="00E719CE">
        <w:t>Estas personas fueron quienes, desde entonces, fundaron el campo que hoy se conoce como jurisprudencia crítica periférica (</w:t>
      </w:r>
      <w:r w:rsidRPr="00E719CE">
        <w:rPr>
          <w:rStyle w:val="Emphasis"/>
          <w:rFonts w:eastAsiaTheme="majorEastAsia"/>
        </w:rPr>
        <w:t>critical outsider jurisprudence</w:t>
      </w:r>
      <w:r w:rsidRPr="00E719CE">
        <w:t>), compuesto por distintos cuerpos de literatura que se superponen y que se enfocan en diversas identidades y en sus interacciones</w:t>
      </w:r>
      <w:r w:rsidR="005131D1" w:rsidRPr="00E719CE">
        <w:t>. Todo esto</w:t>
      </w:r>
      <w:r w:rsidRPr="00E719CE">
        <w:t xml:space="preserve"> con el fin de analizar cómo esas intersecciones crean o perpetúan sistemas de castas identitarias, a pesar de más de un siglo de reformas.</w:t>
      </w:r>
    </w:p>
    <w:p w14:paraId="49CE41EC" w14:textId="6968D253" w:rsidR="0083652E" w:rsidRPr="00E719CE" w:rsidRDefault="0083652E" w:rsidP="002436C6">
      <w:pPr>
        <w:pStyle w:val="NormalWeb"/>
        <w:ind w:firstLine="720"/>
      </w:pPr>
      <w:r w:rsidRPr="00E719CE">
        <w:t>Al ampliar el enfoque jurídico crítico centrado en la clase, las académicas feministas</w:t>
      </w:r>
      <w:r w:rsidR="0038382A" w:rsidRPr="00E719CE">
        <w:t>,</w:t>
      </w:r>
      <w:r w:rsidRPr="00E719CE">
        <w:t xml:space="preserve"> de principios y mediados de la década de 1980</w:t>
      </w:r>
      <w:r w:rsidR="0038382A" w:rsidRPr="00E719CE">
        <w:t>,</w:t>
      </w:r>
      <w:r w:rsidRPr="00E719CE">
        <w:t xml:space="preserve"> colocaron el sexo y el género en el centro del análisis</w:t>
      </w:r>
      <w:r w:rsidR="0038382A" w:rsidRPr="00E719CE">
        <w:t>. Por su parte, las</w:t>
      </w:r>
      <w:r w:rsidRPr="00E719CE">
        <w:t xml:space="preserve"> académicas y </w:t>
      </w:r>
      <w:r w:rsidR="0038382A" w:rsidRPr="00E719CE">
        <w:t xml:space="preserve">los </w:t>
      </w:r>
      <w:r w:rsidRPr="00E719CE">
        <w:t>académicos de color inauguraron</w:t>
      </w:r>
      <w:r w:rsidR="0038382A" w:rsidRPr="00E719CE">
        <w:t>,</w:t>
      </w:r>
      <w:r w:rsidRPr="00E719CE">
        <w:t xml:space="preserve"> en 1989</w:t>
      </w:r>
      <w:r w:rsidR="0038382A" w:rsidRPr="00E719CE">
        <w:t>,</w:t>
      </w:r>
      <w:r w:rsidRPr="00E719CE">
        <w:t xml:space="preserve"> los talleres de verano de teoría crítica racial, con el propósito de recuperar el impulso por la justicia racial</w:t>
      </w:r>
      <w:r w:rsidR="0038382A" w:rsidRPr="00E719CE">
        <w:t>,</w:t>
      </w:r>
      <w:r w:rsidRPr="00E719CE">
        <w:t xml:space="preserve"> ante los efectos sociales limitados de la igualdad formal. De ese proceso también surgió el feminismo crítico racial</w:t>
      </w:r>
      <w:r w:rsidR="0038382A" w:rsidRPr="00E719CE">
        <w:rPr>
          <w:rStyle w:val="FootnoteReference"/>
        </w:rPr>
        <w:footnoteReference w:id="13"/>
      </w:r>
      <w:r w:rsidRPr="00E719CE">
        <w:t>.</w:t>
      </w:r>
      <w:r w:rsidR="00445447" w:rsidRPr="00E719CE">
        <w:t xml:space="preserve"> </w:t>
      </w:r>
      <w:r w:rsidRPr="00E719CE">
        <w:t>Durante esos años, también emergieron otras escuelas o géneros de jurisprudencia crítica periférica, con el fin de visibilizar desigualdades ignoradas</w:t>
      </w:r>
      <w:r w:rsidR="00E91134" w:rsidRPr="00E719CE">
        <w:t>, prolongadamente,</w:t>
      </w:r>
      <w:r w:rsidRPr="00E719CE">
        <w:t xml:space="preserve"> basadas en identidades sociales, condiciones históricas y trayectorias colectivas. Entre ellas se encuentran los inicios de la producción jurídica asiático-estadounidense, las conferencias anuales </w:t>
      </w:r>
      <w:r w:rsidRPr="00E719CE">
        <w:rPr>
          <w:rStyle w:val="Emphasis"/>
          <w:rFonts w:eastAsiaTheme="majorEastAsia"/>
        </w:rPr>
        <w:t>LatCrit</w:t>
      </w:r>
      <w:r w:rsidRPr="00E719CE">
        <w:t xml:space="preserve"> y los estudios jurídicos </w:t>
      </w:r>
      <w:r w:rsidRPr="00E719CE">
        <w:rPr>
          <w:rStyle w:val="Emphasis"/>
          <w:rFonts w:eastAsiaTheme="majorEastAsia"/>
        </w:rPr>
        <w:t>Queer</w:t>
      </w:r>
      <w:r w:rsidRPr="00E719CE">
        <w:t>.</w:t>
      </w:r>
      <w:r w:rsidR="002436C6" w:rsidRPr="00E719CE">
        <w:t xml:space="preserve"> </w:t>
      </w:r>
      <w:r w:rsidRPr="00E719CE">
        <w:t xml:space="preserve">En conjunto, </w:t>
      </w:r>
      <w:r w:rsidRPr="00E719CE">
        <w:lastRenderedPageBreak/>
        <w:t xml:space="preserve">estas corrientes de académicas y académicos </w:t>
      </w:r>
      <w:r w:rsidRPr="00E719CE">
        <w:rPr>
          <w:rStyle w:val="Emphasis"/>
          <w:rFonts w:eastAsiaTheme="majorEastAsia"/>
        </w:rPr>
        <w:t>OutCrit</w:t>
      </w:r>
      <w:r w:rsidR="000E1FE7" w:rsidRPr="00E719CE">
        <w:rPr>
          <w:rStyle w:val="FootnoteReference"/>
        </w:rPr>
        <w:footnoteReference w:id="14"/>
      </w:r>
      <w:r w:rsidR="000E1FE7" w:rsidRPr="00E719CE">
        <w:t xml:space="preserve"> </w:t>
      </w:r>
      <w:r w:rsidRPr="00E719CE">
        <w:t>aspiran a transformar las castas identitarias arraigadas, y no simplemente a reformarlas</w:t>
      </w:r>
      <w:r w:rsidR="000E1FE7" w:rsidRPr="00E719CE">
        <w:rPr>
          <w:rStyle w:val="FootnoteReference"/>
        </w:rPr>
        <w:footnoteReference w:id="15"/>
      </w:r>
      <w:r w:rsidRPr="00E719CE">
        <w:t>.</w:t>
      </w:r>
    </w:p>
    <w:p w14:paraId="63E2DBA3" w14:textId="07EFCE46" w:rsidR="00AA3911" w:rsidRPr="00E719CE" w:rsidRDefault="00E02056" w:rsidP="00707D55">
      <w:pPr>
        <w:pStyle w:val="NormalWeb"/>
        <w:ind w:firstLine="720"/>
      </w:pPr>
      <w:r w:rsidRPr="00E719CE">
        <w:t xml:space="preserve">Como sugiere, el término </w:t>
      </w:r>
      <w:r w:rsidRPr="00E719CE">
        <w:rPr>
          <w:rStyle w:val="Emphasis"/>
          <w:rFonts w:eastAsiaTheme="majorEastAsia"/>
        </w:rPr>
        <w:t>OutCrit</w:t>
      </w:r>
      <w:r w:rsidRPr="00E719CE">
        <w:t xml:space="preserve"> señala tanto la posición social (periférica) como la postura analítica (crítica) de estas formaciones múltiples y diversas, frente al derecho y la cultura. Sin embargo, cada género o vertiente de la jurisprudencia periférica surgió a su manera, a través de una serie de encuentros y conferencias diversos, a veces superpuestos</w:t>
      </w:r>
      <w:r w:rsidR="0085247F" w:rsidRPr="00E719CE">
        <w:t>;</w:t>
      </w:r>
      <w:r w:rsidRPr="00E719CE">
        <w:t xml:space="preserve"> algunos de los cuales continúan hasta hoy y otros que ya no se celebran.</w:t>
      </w:r>
      <w:r w:rsidR="0085247F" w:rsidRPr="00E719CE">
        <w:t xml:space="preserve"> </w:t>
      </w:r>
      <w:r w:rsidRPr="00E719CE">
        <w:t>Aunque sus orígenes pueden vincularse a eventos específicos, la jurisprudencia crítica periférica inició entonces un proceso de expansión y evolución que continúa hasta el presente, a pesar de las condiciones hostiles</w:t>
      </w:r>
      <w:r w:rsidR="0085247F" w:rsidRPr="00E719CE">
        <w:t>,</w:t>
      </w:r>
      <w:r w:rsidRPr="00E719CE">
        <w:t xml:space="preserve"> tanto en el ámbito jurídico como en la sociedad.</w:t>
      </w:r>
    </w:p>
    <w:p w14:paraId="479DD9A9" w14:textId="57F355C7" w:rsidR="00B53765" w:rsidRPr="00E719CE" w:rsidRDefault="00AA3911" w:rsidP="00B53765">
      <w:pPr>
        <w:pStyle w:val="NormalWeb"/>
        <w:ind w:firstLine="720"/>
      </w:pPr>
      <w:r w:rsidRPr="00E719CE">
        <w:t xml:space="preserve">Por ejemplo, a fines de la década de 1980, cuando comenzaba a gestarse la jurisprudencia periférica, dos tercios de todas las facultades de derecho tenían uno o ningún profesor racializado: el 30 por ciento de las escuelas de derecho no contaba con docentes de color y otro 34 por ciento incluía solamente uno. Una encuesta, ampliamente citada, de la </w:t>
      </w:r>
      <w:r w:rsidRPr="00E719CE">
        <w:rPr>
          <w:rStyle w:val="Emphasis"/>
          <w:rFonts w:eastAsiaTheme="majorEastAsia"/>
        </w:rPr>
        <w:t>Society of American Law Teachers</w:t>
      </w:r>
      <w:r w:rsidRPr="00E719CE">
        <w:t>, que analizó los patrones raciales y de género en la contratación, retención y despido de profesorado jurídico en Estados Unidos, informó en 1988 —quizás el momento histórico preciso en que se consolidaba la jurisprudencia periférica— que una “facultad típica de derecho contaba con treinta y un integrantes, incluyendo quienes enseñaban en aulas o clínicas, así como quienes ocupaban cargos de bibliotecarios principales o decanos académicos. De esas treinta y una personas… una era negra, hispana u otra minoría [y] cinco eran mujeres”.</w:t>
      </w:r>
      <w:r w:rsidR="00B53765" w:rsidRPr="00E719CE">
        <w:t xml:space="preserve"> </w:t>
      </w:r>
      <w:r w:rsidRPr="00E719CE">
        <w:t>Este escenario institucional dio lugar a las llamadas “sociedades de uno”, que caracterizaron la representación del profesorado no blanco en las facultades “típicas” durante los años ochenta. Hacia mediados de la década de 1990, las facultades de derecho promediaban 3.4 docentes de color y 16.7 mujeres por escuela</w:t>
      </w:r>
      <w:r w:rsidR="0055689B" w:rsidRPr="00E719CE">
        <w:rPr>
          <w:rStyle w:val="FootnoteReference"/>
        </w:rPr>
        <w:footnoteReference w:id="16"/>
      </w:r>
      <w:r w:rsidRPr="00E719CE">
        <w:t>.</w:t>
      </w:r>
      <w:r w:rsidR="0055689B" w:rsidRPr="00E719CE">
        <w:t xml:space="preserve"> </w:t>
      </w:r>
    </w:p>
    <w:p w14:paraId="42A2BFC2" w14:textId="45E503B5" w:rsidR="005C3FB5" w:rsidRPr="00E719CE" w:rsidRDefault="00AA3911" w:rsidP="00BA260C">
      <w:pPr>
        <w:pStyle w:val="NormalWeb"/>
        <w:ind w:firstLine="720"/>
      </w:pPr>
      <w:r w:rsidRPr="00E719CE">
        <w:t>A pesar del siglo previo de mandatos de igualdad formal, la experiencia vivida por los grupos</w:t>
      </w:r>
      <w:r w:rsidR="00B53765" w:rsidRPr="00E719CE">
        <w:t>,</w:t>
      </w:r>
      <w:r w:rsidRPr="00E719CE">
        <w:t xml:space="preserve"> tradicionalmente</w:t>
      </w:r>
      <w:r w:rsidR="00B53765" w:rsidRPr="00E719CE">
        <w:t>,</w:t>
      </w:r>
      <w:r w:rsidRPr="00E719CE">
        <w:t xml:space="preserve"> subordinados hacia el final del siglo veinte —según se refleja tanto en los relatos jurídicos de las y los académicos periféricos</w:t>
      </w:r>
      <w:r w:rsidR="00B53765" w:rsidRPr="00E719CE">
        <w:t>,</w:t>
      </w:r>
      <w:r w:rsidRPr="00E719CE">
        <w:t xml:space="preserve"> como en los datos estadísticos de estudios gubernamentales y otras investigaciones— seguía estancada en los legados del siglo XVIII y del siglo XIX.</w:t>
      </w:r>
      <w:r w:rsidR="00B53765" w:rsidRPr="00E719CE">
        <w:t xml:space="preserve"> </w:t>
      </w:r>
      <w:r w:rsidRPr="00E719CE">
        <w:t>Dada la hegemonía casi absoluta de estos hechos sociales y profesionales, no sorprende que la narrativa se convirtiera en una de las primeras técnicas críticas utilizadas por quienes fundaron la jurisprudencia periférica.</w:t>
      </w:r>
      <w:r w:rsidR="00B53765" w:rsidRPr="00E719CE">
        <w:t xml:space="preserve"> </w:t>
      </w:r>
      <w:r w:rsidRPr="00E719CE">
        <w:t>A través de la narrativa</w:t>
      </w:r>
      <w:r w:rsidR="00707D55" w:rsidRPr="00E719CE">
        <w:t>,</w:t>
      </w:r>
      <w:r w:rsidRPr="00E719CE">
        <w:t xml:space="preserve"> nombraban y documentaban una realidad social y personal negada: la persistencia generalizada de una discriminación con estructuras de casta, a pesar de décadas de igualdad formal y del abundante discurso social e institucional sobre el “progreso.”</w:t>
      </w:r>
    </w:p>
    <w:p w14:paraId="133BCA2B" w14:textId="6E7D32CF" w:rsidR="00E719CE" w:rsidRPr="00E719CE" w:rsidRDefault="005C3FB5" w:rsidP="009E2647">
      <w:pPr>
        <w:pStyle w:val="NormalWeb"/>
        <w:ind w:firstLine="720"/>
      </w:pPr>
      <w:r w:rsidRPr="00E719CE">
        <w:t xml:space="preserve">Aunque la narrativa jurídica crítica comenzó con anécdotas personales, profesionales y sociales, las y los académicos periféricos reconocieron el carácter estructural y sistémico de los </w:t>
      </w:r>
      <w:r w:rsidRPr="00E719CE">
        <w:lastRenderedPageBreak/>
        <w:t>guiones sociales reflejados en esas experiencias</w:t>
      </w:r>
      <w:r w:rsidRPr="00E719CE">
        <w:rPr>
          <w:rStyle w:val="FootnoteReference"/>
        </w:rPr>
        <w:footnoteReference w:id="17"/>
      </w:r>
      <w:r w:rsidRPr="00E719CE">
        <w:t>. Observaron que los conceptos antidiscriminatorios que sustentaban la igualdad formal creaban una “ilusión” que debía ser atravesada</w:t>
      </w:r>
      <w:r w:rsidR="00511798" w:rsidRPr="00E719CE">
        <w:t>,</w:t>
      </w:r>
      <w:r w:rsidRPr="00E719CE">
        <w:t xml:space="preserve"> para lograr avances reales en la vida cotidiana</w:t>
      </w:r>
      <w:r w:rsidR="00511798" w:rsidRPr="00E719CE">
        <w:rPr>
          <w:rStyle w:val="FootnoteReference"/>
        </w:rPr>
        <w:footnoteReference w:id="18"/>
      </w:r>
      <w:r w:rsidRPr="00E719CE">
        <w:t>. Para anclar normativamente su proyecto, dirigieron la mirada “hacia abajo”, redirigie</w:t>
      </w:r>
      <w:r w:rsidR="00511798" w:rsidRPr="00E719CE">
        <w:t>ron</w:t>
      </w:r>
      <w:r w:rsidRPr="00E719CE">
        <w:t xml:space="preserve"> la búsqueda de conocimiento sustantivo desde las élites que se benefician de la desigualdad hacia quienes la viven y la comprenden</w:t>
      </w:r>
      <w:r w:rsidR="00511798" w:rsidRPr="00E719CE">
        <w:rPr>
          <w:rStyle w:val="FootnoteReference"/>
        </w:rPr>
        <w:footnoteReference w:id="19"/>
      </w:r>
      <w:r w:rsidRPr="00E719CE">
        <w:t xml:space="preserve">. Al reconocer y documentar la simbiosis entre igualdad formal y desigualdad real, las y los académicos </w:t>
      </w:r>
      <w:r w:rsidRPr="00E719CE">
        <w:rPr>
          <w:rStyle w:val="Emphasis"/>
          <w:rFonts w:eastAsiaTheme="majorEastAsia"/>
        </w:rPr>
        <w:t>OutCrit</w:t>
      </w:r>
      <w:r w:rsidRPr="00E719CE">
        <w:t xml:space="preserve"> comenzaron a desarrollar una base alternativa: el principio de antisubordinación, concebido para enfrentar castas grupales arraigadas y promover la transformación social</w:t>
      </w:r>
      <w:r w:rsidR="00511798" w:rsidRPr="00E719CE">
        <w:rPr>
          <w:rStyle w:val="FootnoteReference"/>
        </w:rPr>
        <w:footnoteReference w:id="20"/>
      </w:r>
      <w:r w:rsidRPr="00E719CE">
        <w:t>.</w:t>
      </w:r>
    </w:p>
    <w:p w14:paraId="7B1D617B" w14:textId="58A64F9D" w:rsidR="009E2647" w:rsidRDefault="00E719CE" w:rsidP="00A97D92">
      <w:pPr>
        <w:spacing w:after="0" w:line="240" w:lineRule="auto"/>
        <w:ind w:firstLine="720"/>
        <w:rPr>
          <w:rFonts w:ascii="Times New Roman" w:hAnsi="Times New Roman" w:cs="Times New Roman"/>
        </w:rPr>
      </w:pPr>
      <w:r w:rsidRPr="00E719CE">
        <w:rPr>
          <w:rFonts w:ascii="Times New Roman" w:hAnsi="Times New Roman" w:cs="Times New Roman"/>
        </w:rPr>
        <w:t xml:space="preserve">A su vez, sin embargo, las y los </w:t>
      </w:r>
      <w:r w:rsidRPr="00E719CE">
        <w:rPr>
          <w:rStyle w:val="Emphasis"/>
          <w:rFonts w:ascii="Times New Roman" w:hAnsi="Times New Roman" w:cs="Times New Roman"/>
        </w:rPr>
        <w:t>Crits</w:t>
      </w:r>
      <w:r w:rsidRPr="00E719CE">
        <w:rPr>
          <w:rFonts w:ascii="Times New Roman" w:hAnsi="Times New Roman" w:cs="Times New Roman"/>
        </w:rPr>
        <w:t xml:space="preserve"> llegaron a comprender que la transformación social o sistémica requiere la construcción de coaliciones dentro de los grupos y entre ellos</w:t>
      </w:r>
      <w:r>
        <w:rPr>
          <w:rFonts w:ascii="Times New Roman" w:hAnsi="Times New Roman" w:cs="Times New Roman"/>
        </w:rPr>
        <w:t>. Además,</w:t>
      </w:r>
      <w:r w:rsidRPr="00E719CE">
        <w:rPr>
          <w:rFonts w:ascii="Times New Roman" w:hAnsi="Times New Roman" w:cs="Times New Roman"/>
        </w:rPr>
        <w:t xml:space="preserve"> que estos esfuerzos </w:t>
      </w:r>
      <w:r>
        <w:rPr>
          <w:rFonts w:ascii="Times New Roman" w:hAnsi="Times New Roman" w:cs="Times New Roman"/>
        </w:rPr>
        <w:t xml:space="preserve">de </w:t>
      </w:r>
      <w:r w:rsidRPr="00E719CE">
        <w:rPr>
          <w:rFonts w:ascii="Times New Roman" w:hAnsi="Times New Roman" w:cs="Times New Roman"/>
        </w:rPr>
        <w:t>coalici</w:t>
      </w:r>
      <w:r>
        <w:rPr>
          <w:rFonts w:ascii="Times New Roman" w:hAnsi="Times New Roman" w:cs="Times New Roman"/>
        </w:rPr>
        <w:t>ón</w:t>
      </w:r>
      <w:r w:rsidRPr="00E719CE">
        <w:rPr>
          <w:rFonts w:ascii="Times New Roman" w:hAnsi="Times New Roman" w:cs="Times New Roman"/>
        </w:rPr>
        <w:t xml:space="preserve"> deben anclarse no en momentos estratégicos de convergencia de intereses, ni en la coincidencia de identidades “esencializadas”, sino en principios sustantivos de antisubordinación</w:t>
      </w:r>
      <w:r>
        <w:rPr>
          <w:rFonts w:ascii="Times New Roman" w:hAnsi="Times New Roman" w:cs="Times New Roman"/>
        </w:rPr>
        <w:t>,</w:t>
      </w:r>
      <w:r w:rsidRPr="00E719CE">
        <w:rPr>
          <w:rFonts w:ascii="Times New Roman" w:hAnsi="Times New Roman" w:cs="Times New Roman"/>
        </w:rPr>
        <w:t xml:space="preserve"> generados colectivamente y practicados de manera recíproca. Concluyeron que el trabajo </w:t>
      </w:r>
      <w:r w:rsidR="009E2647">
        <w:rPr>
          <w:rFonts w:ascii="Times New Roman" w:hAnsi="Times New Roman" w:cs="Times New Roman"/>
        </w:rPr>
        <w:t xml:space="preserve">de </w:t>
      </w:r>
      <w:r w:rsidRPr="00E719CE">
        <w:rPr>
          <w:rFonts w:ascii="Times New Roman" w:hAnsi="Times New Roman" w:cs="Times New Roman"/>
        </w:rPr>
        <w:t>coalici</w:t>
      </w:r>
      <w:r w:rsidR="009E2647">
        <w:rPr>
          <w:rFonts w:ascii="Times New Roman" w:hAnsi="Times New Roman" w:cs="Times New Roman"/>
        </w:rPr>
        <w:t>ón</w:t>
      </w:r>
      <w:r w:rsidRPr="00E719CE">
        <w:rPr>
          <w:rFonts w:ascii="Times New Roman" w:hAnsi="Times New Roman" w:cs="Times New Roman"/>
        </w:rPr>
        <w:t xml:space="preserve"> exige análisis críticos y autocríticos</w:t>
      </w:r>
      <w:r w:rsidR="009E2647">
        <w:rPr>
          <w:rFonts w:ascii="Times New Roman" w:hAnsi="Times New Roman" w:cs="Times New Roman"/>
        </w:rPr>
        <w:t>,</w:t>
      </w:r>
      <w:r w:rsidRPr="00E719CE">
        <w:rPr>
          <w:rFonts w:ascii="Times New Roman" w:hAnsi="Times New Roman" w:cs="Times New Roman"/>
        </w:rPr>
        <w:t xml:space="preserve"> que orienten una acción basada en principios. En su intento de resistir el retroceso sustantivo del derecho interno</w:t>
      </w:r>
      <w:r w:rsidR="009E2647">
        <w:rPr>
          <w:rFonts w:ascii="Times New Roman" w:hAnsi="Times New Roman" w:cs="Times New Roman"/>
        </w:rPr>
        <w:t>,</w:t>
      </w:r>
      <w:r w:rsidRPr="00E719CE">
        <w:rPr>
          <w:rFonts w:ascii="Times New Roman" w:hAnsi="Times New Roman" w:cs="Times New Roman"/>
        </w:rPr>
        <w:t xml:space="preserve"> bajo los regímenes dominantes de jurisprudencia de re</w:t>
      </w:r>
      <w:r w:rsidR="009E2647">
        <w:rPr>
          <w:rFonts w:ascii="Times New Roman" w:hAnsi="Times New Roman" w:cs="Times New Roman"/>
        </w:rPr>
        <w:t>troceso</w:t>
      </w:r>
      <w:r w:rsidRPr="00E719CE">
        <w:rPr>
          <w:rFonts w:ascii="Times New Roman" w:hAnsi="Times New Roman" w:cs="Times New Roman"/>
        </w:rPr>
        <w:t xml:space="preserve"> y guerras culturales, las y los académicos periféricos comenzaron a articular una visión del mundo desde abajo, junto con el vocabulario necesario para expresarla</w:t>
      </w:r>
      <w:r w:rsidR="009E2647">
        <w:rPr>
          <w:rFonts w:ascii="Times New Roman" w:hAnsi="Times New Roman" w:cs="Times New Roman"/>
        </w:rPr>
        <w:t>,</w:t>
      </w:r>
      <w:r w:rsidRPr="00E719CE">
        <w:rPr>
          <w:rFonts w:ascii="Times New Roman" w:hAnsi="Times New Roman" w:cs="Times New Roman"/>
        </w:rPr>
        <w:t xml:space="preserve"> y los métodos para documentarla y encarnarla. </w:t>
      </w:r>
    </w:p>
    <w:p w14:paraId="7B09B15D" w14:textId="467EB21E" w:rsidR="003428B2" w:rsidRDefault="009E2647" w:rsidP="009E2647">
      <w:pPr>
        <w:pStyle w:val="NormalWeb"/>
        <w:ind w:firstLine="720"/>
      </w:pPr>
      <w:r>
        <w:t>Como indica este resumen, el surgimiento de la jurisprudencia periférica coincidió con un aumento limitado en la incorporación de académicas y académicos (y estudiantes) provenientes de grupos, tradicionalmente, excluidos de la academia jurídica. por motivos de raza, etnia, sexo u orientación sexual. Ese aumento fue posible, en gran medida, gracias a las propias reformas del liberalismo. Desde una perspectiva histórica y sustantiva, tal vez el aspecto más significativo de este surgimiento es que marcó, por primera vez, la formación de una intelligentsia identificada como periférica, dentro de la academia jurídica estadounidense</w:t>
      </w:r>
      <w:r w:rsidR="003428B2">
        <w:t>. Esta intelligentsia está</w:t>
      </w:r>
      <w:r>
        <w:t xml:space="preserve"> dedicada no a la promesa del antidiscriminación ni al estrellato académico “imperial”, sino a los imperativos de la antisubordinación</w:t>
      </w:r>
      <w:r w:rsidR="00A97D92" w:rsidRPr="00E719CE">
        <w:rPr>
          <w:rStyle w:val="FootnoteReference"/>
        </w:rPr>
        <w:footnoteReference w:id="21"/>
      </w:r>
      <w:r>
        <w:t xml:space="preserve">. </w:t>
      </w:r>
    </w:p>
    <w:p w14:paraId="579EE719" w14:textId="6579035A" w:rsidR="007C5BB7" w:rsidRPr="00E719CE" w:rsidRDefault="009E2647" w:rsidP="007518C5">
      <w:pPr>
        <w:pStyle w:val="NormalWeb"/>
        <w:ind w:firstLine="720"/>
      </w:pPr>
      <w:r>
        <w:t>Subrayar la distinción entre ambos enfoques resulta clave: el principio antidiscriminatorio del liberalismo es formalmente daltonista, se enfoca solo en individuos y promete</w:t>
      </w:r>
      <w:r w:rsidR="00222F17">
        <w:t>,</w:t>
      </w:r>
      <w:r>
        <w:t xml:space="preserve"> únicamente</w:t>
      </w:r>
      <w:r w:rsidR="00222F17">
        <w:t>,</w:t>
      </w:r>
      <w:r>
        <w:t xml:space="preserve"> igualdad de oportunidades en términos abstractos. Por eso, no puede identificar —y mucho menos enfrentar— las fuentes estructurales o sustantivas de la desigualdad</w:t>
      </w:r>
      <w:r w:rsidR="00222F17">
        <w:t>. S</w:t>
      </w:r>
      <w:r>
        <w:t>olo responde a la discriminación “intencional”</w:t>
      </w:r>
      <w:r w:rsidR="007B7167">
        <w:t>,</w:t>
      </w:r>
      <w:r>
        <w:t xml:space="preserve"> mediante remedios atomizados e individualizados. El principio de </w:t>
      </w:r>
      <w:r>
        <w:lastRenderedPageBreak/>
        <w:t>antisubordinación, en cambio, se orienta a corregir desigualdades colectivas que han persistido</w:t>
      </w:r>
      <w:r w:rsidR="0097701D">
        <w:t xml:space="preserve">, prolongadamente, </w:t>
      </w:r>
      <w:r>
        <w:t>como verdaderos sistemas de casta. De este modo, el análisis antisubordina</w:t>
      </w:r>
      <w:r w:rsidR="0097701D">
        <w:t>ción</w:t>
      </w:r>
      <w:r>
        <w:t xml:space="preserve"> traslada la atención a las condiciones sociales reales y a su transformación material, pensando en los grupos como tales. Bajo el principio de antisubordinación, el reconocimiento formal de derechos es solo un paso hacia la igualdad, no su objetivo ni su fin. La distinción entre “antidiscriminación” y “antisubordinación” implica, por tanto, un cambio en los principios y </w:t>
      </w:r>
      <w:r w:rsidR="0097701D">
        <w:t xml:space="preserve">los </w:t>
      </w:r>
      <w:r>
        <w:t>propósitos fundacionales</w:t>
      </w:r>
      <w:r w:rsidR="00A97D92">
        <w:t>,</w:t>
      </w:r>
      <w:r>
        <w:t xml:space="preserve"> que orientan la formulación del derecho y la política de la igualdad, un cambio al que la jurisprudencia de reacción se opone de forma diametral. </w:t>
      </w:r>
    </w:p>
    <w:p w14:paraId="3BBBA03B" w14:textId="77777777" w:rsidR="007518C5" w:rsidRPr="007518C5" w:rsidRDefault="007518C5" w:rsidP="007518C5">
      <w:pPr>
        <w:spacing w:after="0" w:line="240" w:lineRule="auto"/>
        <w:rPr>
          <w:rFonts w:ascii="Times New Roman" w:hAnsi="Times New Roman" w:cs="Times New Roman"/>
          <w:b/>
          <w:u w:val="single"/>
          <w:lang w:val="uz-Cyrl-UZ"/>
        </w:rPr>
      </w:pPr>
      <w:r w:rsidRPr="007518C5">
        <w:rPr>
          <w:rFonts w:ascii="Times New Roman" w:hAnsi="Times New Roman" w:cs="Times New Roman"/>
          <w:b/>
          <w:u w:val="single"/>
          <w:lang w:val="uz-Cyrl-UZ"/>
        </w:rPr>
        <w:t>Jurisprudencia del retroceso: Legalizar la reacción, el repliegue y la sustitución</w:t>
      </w:r>
    </w:p>
    <w:p w14:paraId="09ECF367" w14:textId="30ADD5A4" w:rsidR="00EE71C7" w:rsidRPr="00EE71C7" w:rsidRDefault="00EE71C7" w:rsidP="008320A9">
      <w:pPr>
        <w:spacing w:before="100" w:beforeAutospacing="1" w:after="100" w:afterAutospacing="1"/>
        <w:rPr>
          <w:rFonts w:ascii="Times New Roman" w:eastAsia="Times New Roman" w:hAnsi="Times New Roman" w:cs="Times New Roman"/>
          <w:kern w:val="0"/>
          <w:lang w:val="uz-Cyrl-UZ"/>
          <w14:ligatures w14:val="none"/>
        </w:rPr>
      </w:pPr>
      <w:r>
        <w:rPr>
          <w:rFonts w:ascii="Times New Roman" w:hAnsi="Times New Roman" w:cs="Times New Roman"/>
        </w:rPr>
        <w:tab/>
      </w:r>
      <w:r w:rsidRPr="00EE71C7">
        <w:rPr>
          <w:rFonts w:ascii="Times New Roman" w:eastAsia="Times New Roman" w:hAnsi="Times New Roman" w:cs="Times New Roman"/>
          <w:kern w:val="0"/>
          <w:lang w:val="uz-Cyrl-UZ"/>
          <w14:ligatures w14:val="none"/>
        </w:rPr>
        <w:t>La jurisprudencia de re</w:t>
      </w:r>
      <w:r>
        <w:rPr>
          <w:rFonts w:ascii="Times New Roman" w:eastAsia="Times New Roman" w:hAnsi="Times New Roman" w:cs="Times New Roman"/>
          <w:kern w:val="0"/>
          <w:lang w:val="uz-Cyrl-UZ"/>
          <w14:ligatures w14:val="none"/>
        </w:rPr>
        <w:t>troceso</w:t>
      </w:r>
      <w:r w:rsidRPr="00EE71C7">
        <w:rPr>
          <w:rFonts w:ascii="Times New Roman" w:eastAsia="Times New Roman" w:hAnsi="Times New Roman" w:cs="Times New Roman"/>
          <w:kern w:val="0"/>
          <w:lang w:val="uz-Cyrl-UZ"/>
          <w14:ligatures w14:val="none"/>
        </w:rPr>
        <w:t xml:space="preserve"> no solo busca impedir la transformación social</w:t>
      </w:r>
      <w:r>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promovida por el principio de antisubordinación, sino también restringir el propio principio de antidiscriminación. Sin repudiar abiertamente la igualdad formal, esta jurisprudencia intenta frenar avances sociales bajo ese principio e incluso revertir los cambios logrados durante las últimas décadas</w:t>
      </w:r>
      <w:r w:rsidR="00772C77">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precisamente</w:t>
      </w:r>
      <w:r w:rsidR="00772C77">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en nombre de la igualdad formal.</w:t>
      </w:r>
      <w:r w:rsidR="00000F6E">
        <w:rPr>
          <w:rFonts w:ascii="Times New Roman" w:eastAsia="Times New Roman" w:hAnsi="Times New Roman" w:cs="Times New Roman"/>
          <w:kern w:val="0"/>
          <w:lang w:val="uz-Cyrl-UZ"/>
          <w14:ligatures w14:val="none"/>
        </w:rPr>
        <w:t xml:space="preserve"> </w:t>
      </w:r>
      <w:r w:rsidRPr="00EE71C7">
        <w:rPr>
          <w:rFonts w:ascii="Times New Roman" w:eastAsia="Times New Roman" w:hAnsi="Times New Roman" w:cs="Times New Roman"/>
          <w:kern w:val="0"/>
          <w:lang w:val="uz-Cyrl-UZ"/>
          <w14:ligatures w14:val="none"/>
        </w:rPr>
        <w:t>Al igual que la jurisprudencia crítica periférica, la jurisprudencia de re</w:t>
      </w:r>
      <w:r w:rsidR="00000F6E">
        <w:rPr>
          <w:rFonts w:ascii="Times New Roman" w:eastAsia="Times New Roman" w:hAnsi="Times New Roman" w:cs="Times New Roman"/>
          <w:kern w:val="0"/>
          <w:lang w:val="uz-Cyrl-UZ"/>
          <w14:ligatures w14:val="none"/>
        </w:rPr>
        <w:t>troceso</w:t>
      </w:r>
      <w:r w:rsidRPr="00EE71C7">
        <w:rPr>
          <w:rFonts w:ascii="Times New Roman" w:eastAsia="Times New Roman" w:hAnsi="Times New Roman" w:cs="Times New Roman"/>
          <w:kern w:val="0"/>
          <w:lang w:val="uz-Cyrl-UZ"/>
          <w14:ligatures w14:val="none"/>
        </w:rPr>
        <w:t xml:space="preserve"> constituye una respuesta</w:t>
      </w:r>
      <w:r w:rsidR="00000F6E">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políticamente consciente y socialmente sensible</w:t>
      </w:r>
      <w:r w:rsidR="00000F6E">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a los legados </w:t>
      </w:r>
      <w:r w:rsidR="00000F6E">
        <w:rPr>
          <w:rFonts w:ascii="Times New Roman" w:eastAsia="Times New Roman" w:hAnsi="Times New Roman" w:cs="Times New Roman"/>
          <w:kern w:val="0"/>
          <w:lang w:val="uz-Cyrl-UZ"/>
          <w14:ligatures w14:val="none"/>
        </w:rPr>
        <w:t xml:space="preserve">diversos </w:t>
      </w:r>
      <w:r w:rsidRPr="00EE71C7">
        <w:rPr>
          <w:rFonts w:ascii="Times New Roman" w:eastAsia="Times New Roman" w:hAnsi="Times New Roman" w:cs="Times New Roman"/>
          <w:kern w:val="0"/>
          <w:lang w:val="uz-Cyrl-UZ"/>
          <w14:ligatures w14:val="none"/>
        </w:rPr>
        <w:t>del liberalismo</w:t>
      </w:r>
      <w:r w:rsidR="00000F6E">
        <w:rPr>
          <w:rFonts w:ascii="Times New Roman" w:eastAsia="Times New Roman" w:hAnsi="Times New Roman" w:cs="Times New Roman"/>
          <w:kern w:val="0"/>
          <w:lang w:val="uz-Cyrl-UZ"/>
          <w14:ligatures w14:val="none"/>
        </w:rPr>
        <w:t>. Sin embargo, es</w:t>
      </w:r>
      <w:r w:rsidRPr="00EE71C7">
        <w:rPr>
          <w:rFonts w:ascii="Times New Roman" w:eastAsia="Times New Roman" w:hAnsi="Times New Roman" w:cs="Times New Roman"/>
          <w:kern w:val="0"/>
          <w:lang w:val="uz-Cyrl-UZ"/>
          <w14:ligatures w14:val="none"/>
        </w:rPr>
        <w:t xml:space="preserve"> una respuesta directamente opuesta.</w:t>
      </w:r>
      <w:r w:rsidR="008320A9">
        <w:rPr>
          <w:rFonts w:ascii="Times New Roman" w:eastAsia="Times New Roman" w:hAnsi="Times New Roman" w:cs="Times New Roman"/>
          <w:kern w:val="0"/>
          <w:lang w:val="uz-Cyrl-UZ"/>
          <w14:ligatures w14:val="none"/>
        </w:rPr>
        <w:t xml:space="preserve"> A</w:t>
      </w:r>
      <w:r w:rsidRPr="00EE71C7">
        <w:rPr>
          <w:rFonts w:ascii="Times New Roman" w:eastAsia="Times New Roman" w:hAnsi="Times New Roman" w:cs="Times New Roman"/>
          <w:kern w:val="0"/>
          <w:lang w:val="uz-Cyrl-UZ"/>
          <w14:ligatures w14:val="none"/>
        </w:rPr>
        <w:t xml:space="preserve">l igual que en el caso de las y los </w:t>
      </w:r>
      <w:r w:rsidRPr="00EE71C7">
        <w:rPr>
          <w:rFonts w:ascii="Times New Roman" w:eastAsia="Times New Roman" w:hAnsi="Times New Roman" w:cs="Times New Roman"/>
          <w:i/>
          <w:iCs/>
          <w:kern w:val="0"/>
          <w:lang w:val="uz-Cyrl-UZ"/>
          <w14:ligatures w14:val="none"/>
        </w:rPr>
        <w:t>Crits</w:t>
      </w:r>
      <w:r w:rsidRPr="00EE71C7">
        <w:rPr>
          <w:rFonts w:ascii="Times New Roman" w:eastAsia="Times New Roman" w:hAnsi="Times New Roman" w:cs="Times New Roman"/>
          <w:kern w:val="0"/>
          <w:lang w:val="uz-Cyrl-UZ"/>
          <w14:ligatures w14:val="none"/>
        </w:rPr>
        <w:t xml:space="preserve"> y de las voces periféricas, </w:t>
      </w:r>
      <w:r w:rsidR="00C01F7A">
        <w:rPr>
          <w:rFonts w:ascii="Times New Roman" w:eastAsia="Times New Roman" w:hAnsi="Times New Roman" w:cs="Times New Roman"/>
          <w:kern w:val="0"/>
          <w:lang w:val="uz-Cyrl-UZ"/>
          <w14:ligatures w14:val="none"/>
        </w:rPr>
        <w:t>la aparición</w:t>
      </w:r>
      <w:r w:rsidRPr="00EE71C7">
        <w:rPr>
          <w:rFonts w:ascii="Times New Roman" w:eastAsia="Times New Roman" w:hAnsi="Times New Roman" w:cs="Times New Roman"/>
          <w:kern w:val="0"/>
          <w:lang w:val="uz-Cyrl-UZ"/>
          <w14:ligatures w14:val="none"/>
        </w:rPr>
        <w:t xml:space="preserve"> de la producción académica y jurisprudencial reaccionaria</w:t>
      </w:r>
      <w:r w:rsidR="00C01F7A">
        <w:rPr>
          <w:rFonts w:ascii="Times New Roman" w:eastAsia="Times New Roman" w:hAnsi="Times New Roman" w:cs="Times New Roman"/>
          <w:kern w:val="0"/>
          <w:lang w:val="uz-Cyrl-UZ"/>
          <w14:ligatures w14:val="none"/>
        </w:rPr>
        <w:t xml:space="preserve">, </w:t>
      </w:r>
      <w:r w:rsidRPr="00EE71C7">
        <w:rPr>
          <w:rFonts w:ascii="Times New Roman" w:eastAsia="Times New Roman" w:hAnsi="Times New Roman" w:cs="Times New Roman"/>
          <w:kern w:val="0"/>
          <w:lang w:val="uz-Cyrl-UZ"/>
          <w14:ligatures w14:val="none"/>
        </w:rPr>
        <w:t>dentro de la academia jurídica estadounidense</w:t>
      </w:r>
      <w:r w:rsidR="00C01F7A">
        <w:rPr>
          <w:rFonts w:ascii="Times New Roman" w:eastAsia="Times New Roman" w:hAnsi="Times New Roman" w:cs="Times New Roman"/>
          <w:kern w:val="0"/>
          <w:lang w:val="uz-Cyrl-UZ"/>
          <w14:ligatures w14:val="none"/>
        </w:rPr>
        <w:t>,</w:t>
      </w:r>
      <w:r w:rsidRPr="00EE71C7">
        <w:rPr>
          <w:rFonts w:ascii="Times New Roman" w:eastAsia="Times New Roman" w:hAnsi="Times New Roman" w:cs="Times New Roman"/>
          <w:kern w:val="0"/>
          <w:lang w:val="uz-Cyrl-UZ"/>
          <w14:ligatures w14:val="none"/>
        </w:rPr>
        <w:t xml:space="preserve"> puede vincularse a eventos específicos ocurridos entre principios y mediados de la década de 1980.</w:t>
      </w:r>
    </w:p>
    <w:p w14:paraId="5B7D53D6" w14:textId="07864DC0" w:rsidR="00785CBA" w:rsidRDefault="00785CBA" w:rsidP="00B40A4E">
      <w:pPr>
        <w:pStyle w:val="NormalWeb"/>
        <w:ind w:firstLine="720"/>
      </w:pPr>
      <w:r>
        <w:t xml:space="preserve">Desde el punto de vista jurisprudencial, estos orígenes centralizados y su desarrollo derivan, en gran medida, de la llamada “Federalist Society” y de su promoción del “originalismo” como una forma de volver a congelar la sociedad, según la imagen de la década de 1790. Formalmente establecida en 1982, esta organización funciona como un punto central de incubación para la jurisprudencia </w:t>
      </w:r>
      <w:r w:rsidR="00B40A4E">
        <w:t>reaccionaria</w:t>
      </w:r>
      <w:r>
        <w:t xml:space="preserve">. La </w:t>
      </w:r>
      <w:r w:rsidR="00B40A4E">
        <w:t>“Federalist Society”</w:t>
      </w:r>
      <w:r>
        <w:t xml:space="preserve"> está organizada en diversas divisiones</w:t>
      </w:r>
      <w:r w:rsidR="00B40A4E">
        <w:t>. I</w:t>
      </w:r>
      <w:r>
        <w:t>ncluye una red de organizaciones estudiantiles</w:t>
      </w:r>
      <w:r w:rsidR="00B40A4E">
        <w:t>,</w:t>
      </w:r>
      <w:r>
        <w:t xml:space="preserve"> en escuelas de derecho de todo el país, que funcionan como “capítulos” y que contribu</w:t>
      </w:r>
      <w:r w:rsidR="00B40A4E">
        <w:t xml:space="preserve">yen </w:t>
      </w:r>
      <w:r>
        <w:t>a establecer revistas estudiantiles de “derecho y política”. Estas publicaciones conforman, en efecto, una red de medios que construyen un “discurso” destinado a la difusión de ideas reaccionarias.</w:t>
      </w:r>
    </w:p>
    <w:p w14:paraId="2B2BCA71" w14:textId="08A8C350" w:rsidR="009E70DC" w:rsidRDefault="00785CBA" w:rsidP="00EA679F">
      <w:pPr>
        <w:pStyle w:val="NormalWeb"/>
        <w:ind w:firstLine="720"/>
      </w:pPr>
      <w:r>
        <w:t xml:space="preserve">Desde su fundación, la </w:t>
      </w:r>
      <w:r w:rsidR="00B40A4E">
        <w:t>“</w:t>
      </w:r>
      <w:r w:rsidRPr="00B40A4E">
        <w:rPr>
          <w:rStyle w:val="Emphasis"/>
          <w:rFonts w:eastAsiaTheme="majorEastAsia"/>
          <w:i w:val="0"/>
          <w:iCs w:val="0"/>
        </w:rPr>
        <w:t>Federalist Society</w:t>
      </w:r>
      <w:r w:rsidR="00B40A4E">
        <w:rPr>
          <w:rStyle w:val="Emphasis"/>
          <w:rFonts w:eastAsiaTheme="majorEastAsia"/>
          <w:i w:val="0"/>
          <w:iCs w:val="0"/>
        </w:rPr>
        <w:t>”</w:t>
      </w:r>
      <w:r>
        <w:t xml:space="preserve"> se ha convertido no solo en el centro intelectual para la formulación y enseñanza de estas ideas en forma de jurisprudencia</w:t>
      </w:r>
      <w:r w:rsidR="00B40A4E">
        <w:t xml:space="preserve"> reaccionaria</w:t>
      </w:r>
      <w:r>
        <w:t xml:space="preserve">, sino también en un espacio principal para formar guerreros culturales y canalizarlos hacia las profesiones jurídicas, con el propósito de implementar el </w:t>
      </w:r>
      <w:r w:rsidR="00B40A4E">
        <w:t>retroceso</w:t>
      </w:r>
      <w:r>
        <w:t xml:space="preserve"> como “derecho y política”.</w:t>
      </w:r>
      <w:r w:rsidR="00B40A4E">
        <w:t xml:space="preserve"> </w:t>
      </w:r>
      <w:r>
        <w:t xml:space="preserve">En particular, la </w:t>
      </w:r>
      <w:r w:rsidR="00B40A4E">
        <w:t>“</w:t>
      </w:r>
      <w:r w:rsidR="00B40A4E" w:rsidRPr="00B40A4E">
        <w:rPr>
          <w:rStyle w:val="Emphasis"/>
          <w:rFonts w:eastAsiaTheme="majorEastAsia"/>
          <w:i w:val="0"/>
          <w:iCs w:val="0"/>
        </w:rPr>
        <w:t>Federalist Society</w:t>
      </w:r>
      <w:r w:rsidR="00B40A4E">
        <w:rPr>
          <w:rStyle w:val="Emphasis"/>
          <w:rFonts w:eastAsiaTheme="majorEastAsia"/>
          <w:i w:val="0"/>
          <w:iCs w:val="0"/>
        </w:rPr>
        <w:t>”</w:t>
      </w:r>
      <w:r>
        <w:t xml:space="preserve"> se ha transformado en un canal</w:t>
      </w:r>
      <w:r w:rsidR="00B40A4E">
        <w:t>,</w:t>
      </w:r>
      <w:r>
        <w:t xml:space="preserve"> sorprendentemente</w:t>
      </w:r>
      <w:r w:rsidR="00B40A4E">
        <w:t>,</w:t>
      </w:r>
      <w:r>
        <w:t xml:space="preserve"> directo hacia el poder judicial federal y hacia otros aparatos jurídicos y normativos del gobierno federal</w:t>
      </w:r>
      <w:r w:rsidR="00B40A4E" w:rsidRPr="00E719CE">
        <w:rPr>
          <w:rStyle w:val="FootnoteReference"/>
        </w:rPr>
        <w:footnoteReference w:id="22"/>
      </w:r>
      <w:r>
        <w:t>.</w:t>
      </w:r>
    </w:p>
    <w:p w14:paraId="68AB63A8" w14:textId="78C3C330" w:rsidR="00A36E92" w:rsidRDefault="009E70DC" w:rsidP="00E24609">
      <w:pPr>
        <w:pStyle w:val="NormalWeb"/>
        <w:ind w:firstLine="720"/>
      </w:pPr>
      <w:r>
        <w:lastRenderedPageBreak/>
        <w:t>En consecuencia, la jurisprudencia reaccionaria representa hoy más que una corriente de producción académica jurídica: en el contexto de la guerra cultural, constituye el componente jurídico de esas guerras.</w:t>
      </w:r>
      <w:r w:rsidR="002C60EC">
        <w:t xml:space="preserve"> </w:t>
      </w:r>
      <w:r>
        <w:t xml:space="preserve">Al igual que otras formaciones jurisprudenciales, no se trata de un fenómeno monolítico. Sin embargo, la producción académica y la práctica jurisprudencial del </w:t>
      </w:r>
      <w:r w:rsidR="002C60EC">
        <w:t>retroceso</w:t>
      </w:r>
      <w:r>
        <w:t xml:space="preserve"> poseen una historia</w:t>
      </w:r>
      <w:r w:rsidR="00EA2FC4">
        <w:t>,</w:t>
      </w:r>
      <w:r>
        <w:t xml:space="preserve"> relativamente</w:t>
      </w:r>
      <w:r w:rsidR="00EA2FC4">
        <w:t>,</w:t>
      </w:r>
      <w:r>
        <w:t xml:space="preserve"> centralizada en cuanto a sus orígenes, desarrollo y formas de acción.</w:t>
      </w:r>
      <w:r w:rsidR="00EA2FC4">
        <w:t xml:space="preserve"> </w:t>
      </w:r>
      <w:r>
        <w:t xml:space="preserve">De hecho, quienes impulsan el </w:t>
      </w:r>
      <w:r w:rsidR="00EA2FC4">
        <w:t xml:space="preserve">retroceso </w:t>
      </w:r>
      <w:r>
        <w:t xml:space="preserve">parecen </w:t>
      </w:r>
      <w:r w:rsidR="00EA2FC4">
        <w:t>tener</w:t>
      </w:r>
      <w:r>
        <w:t xml:space="preserve"> más éxito que las y los </w:t>
      </w:r>
      <w:r>
        <w:rPr>
          <w:rStyle w:val="Emphasis"/>
          <w:rFonts w:eastAsiaTheme="majorEastAsia"/>
        </w:rPr>
        <w:t>Crits</w:t>
      </w:r>
      <w:r w:rsidR="00EA2FC4">
        <w:t xml:space="preserve">, </w:t>
      </w:r>
      <w:r>
        <w:t>en organizar redes capaces de traducir sus ideas en derecho formal</w:t>
      </w:r>
      <w:r w:rsidR="00EA2FC4">
        <w:t>;</w:t>
      </w:r>
      <w:r>
        <w:t xml:space="preserve"> incluso mediante el uso activo de la revisión judicial.</w:t>
      </w:r>
    </w:p>
    <w:p w14:paraId="6E45993C" w14:textId="4BC70F90" w:rsidR="00E53D71" w:rsidRDefault="00A36E92" w:rsidP="001C61B0">
      <w:pPr>
        <w:pStyle w:val="NormalWeb"/>
        <w:ind w:firstLine="720"/>
      </w:pPr>
      <w:r>
        <w:t>Para la década de 1990, esta “</w:t>
      </w:r>
      <w:r w:rsidRPr="00B40A4E">
        <w:rPr>
          <w:rStyle w:val="Emphasis"/>
          <w:rFonts w:eastAsiaTheme="majorEastAsia"/>
          <w:i w:val="0"/>
          <w:iCs w:val="0"/>
        </w:rPr>
        <w:t>Federalist Society</w:t>
      </w:r>
      <w:r>
        <w:rPr>
          <w:rStyle w:val="Emphasis"/>
          <w:rFonts w:eastAsiaTheme="majorEastAsia"/>
          <w:i w:val="0"/>
          <w:iCs w:val="0"/>
        </w:rPr>
        <w:t>”</w:t>
      </w:r>
      <w:r>
        <w:t xml:space="preserve"> representaba un tercio del Tribunal Supremo: Antonin Scalia, Clarence Thomas y el presidente del tribunal, William Rehnquist, son considerados</w:t>
      </w:r>
      <w:r w:rsidR="00392125">
        <w:t>,</w:t>
      </w:r>
      <w:r w:rsidR="00392125" w:rsidRPr="00392125">
        <w:t xml:space="preserve"> </w:t>
      </w:r>
      <w:r w:rsidR="00392125">
        <w:t>generalmente,</w:t>
      </w:r>
      <w:r>
        <w:t xml:space="preserve"> como miembros</w:t>
      </w:r>
      <w:r w:rsidR="00392125">
        <w:t>;</w:t>
      </w:r>
      <w:r>
        <w:t xml:space="preserve"> aunque la membresía es un secreto bien guardado dentro de un grupo que, por lo demás, se orienta abiertamente a la visibilidad pública.</w:t>
      </w:r>
      <w:r w:rsidR="00392125">
        <w:t xml:space="preserve"> </w:t>
      </w:r>
      <w:r>
        <w:t xml:space="preserve">Los patrones de conducta de estos tres jueces muestran que seleccionaban para los puestos </w:t>
      </w:r>
      <w:r w:rsidR="00392125">
        <w:t xml:space="preserve">codiciados </w:t>
      </w:r>
      <w:r>
        <w:t xml:space="preserve">de </w:t>
      </w:r>
      <w:r>
        <w:rPr>
          <w:rStyle w:val="Emphasis"/>
          <w:rFonts w:eastAsiaTheme="majorEastAsia"/>
        </w:rPr>
        <w:t>clerkships</w:t>
      </w:r>
      <w:r>
        <w:t xml:space="preserve"> únicamente —o principalmente— a estudiantes provenientes de las redes estrechamente tejidas de la </w:t>
      </w:r>
      <w:r w:rsidR="00392125">
        <w:t>“</w:t>
      </w:r>
      <w:r w:rsidR="00392125" w:rsidRPr="00B40A4E">
        <w:rPr>
          <w:rStyle w:val="Emphasis"/>
          <w:rFonts w:eastAsiaTheme="majorEastAsia"/>
          <w:i w:val="0"/>
          <w:iCs w:val="0"/>
        </w:rPr>
        <w:t>Federalist Society</w:t>
      </w:r>
      <w:r w:rsidR="00392125">
        <w:rPr>
          <w:rStyle w:val="Emphasis"/>
          <w:rFonts w:eastAsiaTheme="majorEastAsia"/>
          <w:i w:val="0"/>
          <w:iCs w:val="0"/>
        </w:rPr>
        <w:t>”</w:t>
      </w:r>
      <w:r>
        <w:t>.</w:t>
      </w:r>
      <w:r w:rsidR="00392125">
        <w:t xml:space="preserve"> </w:t>
      </w:r>
      <w:r>
        <w:t xml:space="preserve">Uno de los tres —Antonin Scalia— fundó uno de los capítulos locales de la </w:t>
      </w:r>
      <w:r w:rsidR="00392125">
        <w:t>“</w:t>
      </w:r>
      <w:r w:rsidR="00392125" w:rsidRPr="00B40A4E">
        <w:rPr>
          <w:rStyle w:val="Emphasis"/>
          <w:rFonts w:eastAsiaTheme="majorEastAsia"/>
          <w:i w:val="0"/>
          <w:iCs w:val="0"/>
        </w:rPr>
        <w:t>Federalist Society</w:t>
      </w:r>
      <w:r w:rsidR="00392125">
        <w:rPr>
          <w:rStyle w:val="Emphasis"/>
          <w:rFonts w:eastAsiaTheme="majorEastAsia"/>
          <w:i w:val="0"/>
          <w:iCs w:val="0"/>
        </w:rPr>
        <w:t>”</w:t>
      </w:r>
      <w:r w:rsidR="00E24609">
        <w:rPr>
          <w:rStyle w:val="Emphasis"/>
          <w:rFonts w:eastAsiaTheme="majorEastAsia"/>
          <w:i w:val="0"/>
          <w:iCs w:val="0"/>
        </w:rPr>
        <w:t>,</w:t>
      </w:r>
      <w:r>
        <w:t xml:space="preserve"> en la Facultad de Derecho de la Universidad de Chicago</w:t>
      </w:r>
      <w:r w:rsidR="00E24609">
        <w:t>,</w:t>
      </w:r>
      <w:r>
        <w:t xml:space="preserve"> mientras formaba parte de su profesorado.</w:t>
      </w:r>
    </w:p>
    <w:p w14:paraId="4EAC4480" w14:textId="1BB25614" w:rsidR="00C704A6" w:rsidRDefault="00E53D71" w:rsidP="00364E62">
      <w:pPr>
        <w:pStyle w:val="NormalWeb"/>
        <w:ind w:firstLine="720"/>
      </w:pPr>
      <w:r>
        <w:t>A través de esta “</w:t>
      </w:r>
      <w:r w:rsidRPr="00B40A4E">
        <w:rPr>
          <w:rStyle w:val="Emphasis"/>
          <w:rFonts w:eastAsiaTheme="majorEastAsia"/>
          <w:i w:val="0"/>
          <w:iCs w:val="0"/>
        </w:rPr>
        <w:t>Federalist Society</w:t>
      </w:r>
      <w:r>
        <w:rPr>
          <w:rStyle w:val="Emphasis"/>
          <w:rFonts w:eastAsiaTheme="majorEastAsia"/>
          <w:i w:val="0"/>
          <w:iCs w:val="0"/>
        </w:rPr>
        <w:t>”,</w:t>
      </w:r>
      <w:r>
        <w:t xml:space="preserve"> las y los académicos del retroceso se propusieron, en la década de 1980, establecer el marco jurídico para el retroceso social. </w:t>
      </w:r>
      <w:r w:rsidR="00B674EB">
        <w:t>Supuestamente, b</w:t>
      </w:r>
      <w:r>
        <w:t>ajo la apariencia de crear un enfoque “basado en principios”</w:t>
      </w:r>
      <w:r w:rsidR="00B674EB">
        <w:t>,</w:t>
      </w:r>
      <w:r>
        <w:t xml:space="preserve"> para el derecho constitucional, juristas y jueces </w:t>
      </w:r>
      <w:r w:rsidR="000010D9">
        <w:t>reaccionarios</w:t>
      </w:r>
      <w:r>
        <w:t xml:space="preserve"> </w:t>
      </w:r>
      <w:r w:rsidR="000010D9">
        <w:t>sostienen</w:t>
      </w:r>
      <w:r>
        <w:t xml:space="preserve"> que las interpretaciones constitucionales deben priorizar la “intención original” y la “historia” o la “tradición”.</w:t>
      </w:r>
      <w:r w:rsidR="000010D9">
        <w:t xml:space="preserve"> </w:t>
      </w:r>
      <w:r>
        <w:t xml:space="preserve">Según estos “originalistas”, </w:t>
      </w:r>
      <w:r w:rsidR="00BD65E9">
        <w:t>así se</w:t>
      </w:r>
      <w:r>
        <w:t xml:space="preserve"> garantiza que las y los designados judiciales ejer</w:t>
      </w:r>
      <w:r w:rsidR="001C61B0">
        <w:t>zan</w:t>
      </w:r>
      <w:r>
        <w:t xml:space="preserve"> el poder público sobre bases distintas de la política, los valores o la ideología personales. Esta metodología, afirman, permit</w:t>
      </w:r>
      <w:r w:rsidR="001C61B0">
        <w:t>e</w:t>
      </w:r>
      <w:r>
        <w:t xml:space="preserve"> una aplicación “principista” de normas jurídicas “neutrales”</w:t>
      </w:r>
      <w:r w:rsidR="001C61B0">
        <w:t>,</w:t>
      </w:r>
      <w:r>
        <w:t xml:space="preserve"> que legitiman el derecho y lo distingu</w:t>
      </w:r>
      <w:r w:rsidR="001C61B0">
        <w:t>en</w:t>
      </w:r>
      <w:r>
        <w:t xml:space="preserve"> de la política</w:t>
      </w:r>
      <w:r w:rsidR="001C61B0" w:rsidRPr="00E719CE">
        <w:rPr>
          <w:rStyle w:val="FootnoteReference"/>
        </w:rPr>
        <w:footnoteReference w:id="23"/>
      </w:r>
      <w:r>
        <w:t>.</w:t>
      </w:r>
      <w:r w:rsidR="001C61B0">
        <w:t xml:space="preserve"> </w:t>
      </w:r>
      <w:r>
        <w:t xml:space="preserve">Sin embargo, los textos y </w:t>
      </w:r>
      <w:r w:rsidR="001C61B0">
        <w:t xml:space="preserve">los </w:t>
      </w:r>
      <w:r>
        <w:t xml:space="preserve">actos de las y los juristas del </w:t>
      </w:r>
      <w:r w:rsidR="001C61B0">
        <w:t>retroceso</w:t>
      </w:r>
      <w:r>
        <w:t xml:space="preserve"> confirma</w:t>
      </w:r>
      <w:r w:rsidR="001C61B0">
        <w:t>n</w:t>
      </w:r>
      <w:r>
        <w:t xml:space="preserve"> que la ideología política constituye su principio organizador fundamental.</w:t>
      </w:r>
    </w:p>
    <w:p w14:paraId="6041DF0E" w14:textId="44EEAA42" w:rsidR="00C704A6" w:rsidRDefault="00C704A6" w:rsidP="0050183D">
      <w:pPr>
        <w:pStyle w:val="NormalWeb"/>
        <w:ind w:firstLine="720"/>
      </w:pPr>
      <w:r>
        <w:t xml:space="preserve">Los pronunciamientos de cinco jueces designados, en nombre del Tribunal Supremo en </w:t>
      </w:r>
      <w:r>
        <w:rPr>
          <w:rStyle w:val="Emphasis"/>
          <w:rFonts w:eastAsiaTheme="majorEastAsia"/>
        </w:rPr>
        <w:t>Bowers v. Hardwick</w:t>
      </w:r>
      <w:r>
        <w:t xml:space="preserve"> (1986)</w:t>
      </w:r>
      <w:r w:rsidR="0050183D" w:rsidRPr="0050183D">
        <w:rPr>
          <w:rStyle w:val="FootnoteReference"/>
        </w:rPr>
        <w:t xml:space="preserve"> </w:t>
      </w:r>
      <w:r w:rsidR="0050183D" w:rsidRPr="00E719CE">
        <w:rPr>
          <w:rStyle w:val="FootnoteReference"/>
        </w:rPr>
        <w:footnoteReference w:id="24"/>
      </w:r>
      <w:r>
        <w:t>, ofrecieron una visión temprana del futuro que se avecinaba.Tras exponer una “historia” errónea</w:t>
      </w:r>
      <w:r w:rsidR="0050183D">
        <w:t>,</w:t>
      </w:r>
      <w:r>
        <w:t xml:space="preserve"> para invocar la “tradición” como barrera frente al reconocimiento igualitario de la intimidad entre personas del mismo o de distinto sexo</w:t>
      </w:r>
      <w:r w:rsidR="00364E62" w:rsidRPr="00E719CE">
        <w:rPr>
          <w:rStyle w:val="FootnoteReference"/>
        </w:rPr>
        <w:footnoteReference w:id="25"/>
      </w:r>
      <w:r>
        <w:t xml:space="preserve">, la mayoría de cinco jueces declaró: </w:t>
      </w:r>
      <w:r w:rsidRPr="0050183D">
        <w:rPr>
          <w:rStyle w:val="Emphasis"/>
          <w:rFonts w:eastAsiaTheme="majorEastAsia"/>
          <w:i w:val="0"/>
          <w:iCs w:val="0"/>
        </w:rPr>
        <w:t xml:space="preserve">“La Corte es más vulnerable y se acerca más a la ilegitimidad </w:t>
      </w:r>
      <w:r w:rsidRPr="0050183D">
        <w:rPr>
          <w:rStyle w:val="Emphasis"/>
          <w:rFonts w:eastAsiaTheme="majorEastAsia"/>
          <w:i w:val="0"/>
          <w:iCs w:val="0"/>
        </w:rPr>
        <w:lastRenderedPageBreak/>
        <w:t>cuando se ocupa de derecho constitucional creado por jueces que tiene</w:t>
      </w:r>
      <w:r w:rsidR="003F2C1D">
        <w:rPr>
          <w:rStyle w:val="Emphasis"/>
          <w:rFonts w:eastAsiaTheme="majorEastAsia"/>
          <w:i w:val="0"/>
          <w:iCs w:val="0"/>
        </w:rPr>
        <w:t>n</w:t>
      </w:r>
      <w:r w:rsidRPr="0050183D">
        <w:rPr>
          <w:rStyle w:val="Emphasis"/>
          <w:rFonts w:eastAsiaTheme="majorEastAsia"/>
          <w:i w:val="0"/>
          <w:iCs w:val="0"/>
        </w:rPr>
        <w:t xml:space="preserve"> </w:t>
      </w:r>
      <w:r w:rsidR="003F2C1D" w:rsidRPr="0050183D">
        <w:rPr>
          <w:rStyle w:val="Emphasis"/>
          <w:rFonts w:eastAsiaTheme="majorEastAsia"/>
          <w:i w:val="0"/>
          <w:iCs w:val="0"/>
        </w:rPr>
        <w:t>raíces</w:t>
      </w:r>
      <w:r w:rsidR="003F2C1D">
        <w:rPr>
          <w:rStyle w:val="Emphasis"/>
          <w:rFonts w:eastAsiaTheme="majorEastAsia"/>
          <w:i w:val="0"/>
          <w:iCs w:val="0"/>
        </w:rPr>
        <w:t xml:space="preserve"> </w:t>
      </w:r>
      <w:r w:rsidRPr="0050183D">
        <w:rPr>
          <w:rStyle w:val="Emphasis"/>
          <w:rFonts w:eastAsiaTheme="majorEastAsia"/>
          <w:i w:val="0"/>
          <w:iCs w:val="0"/>
        </w:rPr>
        <w:t>escasas o nulas en el lenguaje o diseño de la Constitución”</w:t>
      </w:r>
      <w:r w:rsidR="003F2C1D">
        <w:rPr>
          <w:rStyle w:val="FootnoteReference"/>
          <w:rFonts w:eastAsiaTheme="majorEastAsia"/>
        </w:rPr>
        <w:footnoteReference w:id="26"/>
      </w:r>
      <w:r w:rsidR="003F2C1D">
        <w:rPr>
          <w:rStyle w:val="Emphasis"/>
          <w:rFonts w:eastAsiaTheme="majorEastAsia"/>
          <w:i w:val="0"/>
          <w:iCs w:val="0"/>
        </w:rPr>
        <w:t>.</w:t>
      </w:r>
    </w:p>
    <w:p w14:paraId="25875468" w14:textId="77777777" w:rsidR="003F5EB6" w:rsidRDefault="00C704A6" w:rsidP="003F5EB6">
      <w:pPr>
        <w:pStyle w:val="NormalWeb"/>
        <w:ind w:firstLine="720"/>
      </w:pPr>
      <w:r>
        <w:t xml:space="preserve">Esta dependencia </w:t>
      </w:r>
      <w:r w:rsidR="00725043">
        <w:t xml:space="preserve">casual, </w:t>
      </w:r>
      <w:r>
        <w:t>tanto de la tradición como del federalismo</w:t>
      </w:r>
      <w:r w:rsidR="00725043">
        <w:t>,</w:t>
      </w:r>
      <w:r>
        <w:t xml:space="preserve"> para trazar una línea doctrinal fue premonitoria. Desde entonces, la invocación repetida pero estratégica de la historia, la tradición y el federalismo se ha convertido en un recurso casi ritual</w:t>
      </w:r>
      <w:r w:rsidR="00F0097E">
        <w:t>. Lo utilizan</w:t>
      </w:r>
      <w:r>
        <w:t xml:space="preserve"> para imponer límites cada vez más estrictos a los remedios antidiscriminatorios y a los derechos civiles en general, tanto bajo la Constitución federal como bajo otras fuentes del derecho.</w:t>
      </w:r>
      <w:r w:rsidR="00813AD8">
        <w:t xml:space="preserve"> </w:t>
      </w:r>
      <w:r>
        <w:t>De hecho, como señalado</w:t>
      </w:r>
      <w:r w:rsidR="00813AD8">
        <w:t>,</w:t>
      </w:r>
      <w:r>
        <w:t xml:space="preserve"> ampliamente, el proceso reinterpretativo de la jurisprudencia </w:t>
      </w:r>
      <w:r w:rsidR="00CA73A2">
        <w:t>reaccionaria</w:t>
      </w:r>
      <w:r>
        <w:t xml:space="preserve"> inv</w:t>
      </w:r>
      <w:r w:rsidR="00CA73A2">
        <w:t>ierte</w:t>
      </w:r>
      <w:r>
        <w:t xml:space="preserve"> de manera efectiva el derecho antidiscriminatorio, para autorizar y legitimar patrones “tradicionales” de discriminación y sus efectos sociales de estratificación (Aoki, 1996; Crenshaw, 1988; Wildman, 1984).</w:t>
      </w:r>
      <w:r w:rsidR="003F5EB6">
        <w:t xml:space="preserve"> </w:t>
      </w:r>
    </w:p>
    <w:p w14:paraId="329420DE" w14:textId="5F36B4A2" w:rsidR="00050F93" w:rsidRDefault="00C704A6" w:rsidP="00F501A0">
      <w:pPr>
        <w:pStyle w:val="NormalWeb"/>
        <w:ind w:firstLine="720"/>
      </w:pPr>
      <w:r>
        <w:t xml:space="preserve">Tres años más tarde, durante el periodo 1989, quedó claro que </w:t>
      </w:r>
      <w:r>
        <w:rPr>
          <w:rStyle w:val="Emphasis"/>
          <w:rFonts w:eastAsiaTheme="majorEastAsia"/>
        </w:rPr>
        <w:t>Bowers</w:t>
      </w:r>
      <w:r>
        <w:t xml:space="preserve"> era parte de un cálculo mucho más amplio</w:t>
      </w:r>
      <w:r w:rsidR="00F501A0">
        <w:t xml:space="preserve">. </w:t>
      </w:r>
      <w:r w:rsidR="00BD78CB">
        <w:t>Tres de las decisiones emitidas en 1989 —</w:t>
      </w:r>
      <w:r w:rsidR="00BD78CB">
        <w:rPr>
          <w:rStyle w:val="Emphasis"/>
          <w:rFonts w:eastAsiaTheme="majorEastAsia"/>
        </w:rPr>
        <w:t>Atonio v. Wards Cove Packing Co.</w:t>
      </w:r>
      <w:r w:rsidR="00BD78CB" w:rsidRPr="00BD78CB">
        <w:rPr>
          <w:rStyle w:val="FootnoteReference"/>
        </w:rPr>
        <w:t xml:space="preserve"> </w:t>
      </w:r>
      <w:r w:rsidR="00BD78CB" w:rsidRPr="00E719CE">
        <w:rPr>
          <w:rStyle w:val="FootnoteReference"/>
        </w:rPr>
        <w:footnoteReference w:id="27"/>
      </w:r>
      <w:r w:rsidR="00BD78CB">
        <w:rPr>
          <w:rStyle w:val="Emphasis"/>
          <w:rFonts w:eastAsiaTheme="majorEastAsia"/>
        </w:rPr>
        <w:t>, Inc.</w:t>
      </w:r>
      <w:r w:rsidR="00BD78CB">
        <w:t xml:space="preserve">, </w:t>
      </w:r>
      <w:r w:rsidR="00BD78CB">
        <w:rPr>
          <w:rStyle w:val="Emphasis"/>
          <w:rFonts w:eastAsiaTheme="majorEastAsia"/>
        </w:rPr>
        <w:t>City of Richmond v. A. Croson Co.</w:t>
      </w:r>
      <w:r w:rsidR="00BD78CB" w:rsidRPr="00BD78CB">
        <w:rPr>
          <w:rStyle w:val="FootnoteReference"/>
        </w:rPr>
        <w:t xml:space="preserve"> </w:t>
      </w:r>
      <w:r w:rsidR="00BD78CB" w:rsidRPr="00E719CE">
        <w:rPr>
          <w:rStyle w:val="FootnoteReference"/>
        </w:rPr>
        <w:footnoteReference w:id="28"/>
      </w:r>
      <w:r w:rsidR="00BD78CB">
        <w:t xml:space="preserve">, y </w:t>
      </w:r>
      <w:r w:rsidR="00BD78CB">
        <w:rPr>
          <w:rStyle w:val="Emphasis"/>
          <w:rFonts w:eastAsiaTheme="majorEastAsia"/>
        </w:rPr>
        <w:t>Patterson v. McLean Credit Union</w:t>
      </w:r>
      <w:r w:rsidR="00BD78CB" w:rsidRPr="00E719CE">
        <w:rPr>
          <w:rStyle w:val="FootnoteReference"/>
        </w:rPr>
        <w:footnoteReference w:id="29"/>
      </w:r>
      <w:r w:rsidR="00BD78CB">
        <w:t>— ejemplifican la jurisprudencia reaccionaria y su hostilidad social hacia los derechos civiles, a pesar de hacer una adhesión formal al principio antidiscriminatorio</w:t>
      </w:r>
      <w:r w:rsidR="00BD0C03" w:rsidRPr="00E719CE">
        <w:rPr>
          <w:rStyle w:val="FootnoteReference"/>
        </w:rPr>
        <w:footnoteReference w:id="30"/>
      </w:r>
      <w:r w:rsidR="00BD78CB">
        <w:t>.</w:t>
      </w:r>
      <w:r w:rsidR="00BD0C03">
        <w:t xml:space="preserve"> </w:t>
      </w:r>
      <w:r w:rsidR="00BD78CB">
        <w:t xml:space="preserve">Desde ese trío de decisiones, con la excepción </w:t>
      </w:r>
      <w:r w:rsidR="00BD0C03">
        <w:t xml:space="preserve">posible </w:t>
      </w:r>
      <w:r w:rsidR="00BD78CB">
        <w:t xml:space="preserve">de </w:t>
      </w:r>
      <w:r w:rsidR="00BD78CB">
        <w:rPr>
          <w:rStyle w:val="Emphasis"/>
          <w:rFonts w:eastAsiaTheme="majorEastAsia"/>
        </w:rPr>
        <w:t>Grutter v. Bollinger</w:t>
      </w:r>
      <w:r w:rsidR="00BD0C03" w:rsidRPr="00E719CE">
        <w:rPr>
          <w:rStyle w:val="FootnoteReference"/>
        </w:rPr>
        <w:footnoteReference w:id="31"/>
      </w:r>
      <w:r w:rsidR="00BD78CB">
        <w:t>, solo personas blancas han prevalecido ante el Tribunal Supremo</w:t>
      </w:r>
      <w:r w:rsidR="00BD0C03">
        <w:t xml:space="preserve">, </w:t>
      </w:r>
      <w:r w:rsidR="00BD78CB">
        <w:t xml:space="preserve">bajo la </w:t>
      </w:r>
      <w:r w:rsidR="00BD0C03">
        <w:t>c</w:t>
      </w:r>
      <w:r w:rsidR="00BD78CB">
        <w:t xml:space="preserve">láusula de </w:t>
      </w:r>
      <w:r w:rsidR="00BD0C03">
        <w:t>p</w:t>
      </w:r>
      <w:r w:rsidR="00BD78CB">
        <w:t xml:space="preserve">rotección </w:t>
      </w:r>
      <w:r w:rsidR="00BD0C03">
        <w:t xml:space="preserve">igualitaria </w:t>
      </w:r>
      <w:r w:rsidR="00BD78CB">
        <w:t>de la Constitución federal. En cada uno de esos casos, la victoria fue para revertir programas de “acción afirmativa” diseñados, sobre todo, para interrumpir patrones auto-perpetuados de desigualdad</w:t>
      </w:r>
      <w:r w:rsidR="00267E46">
        <w:t>. Estos patrones están</w:t>
      </w:r>
      <w:r w:rsidR="00BD78CB">
        <w:t xml:space="preserve"> arraigados</w:t>
      </w:r>
      <w:r w:rsidR="00267E46">
        <w:t>,</w:t>
      </w:r>
      <w:r w:rsidR="00BD78CB">
        <w:t xml:space="preserve"> históricamente</w:t>
      </w:r>
      <w:r w:rsidR="00267E46">
        <w:t>,</w:t>
      </w:r>
      <w:r w:rsidR="00BD78CB">
        <w:t xml:space="preserve"> por vía legal</w:t>
      </w:r>
      <w:r w:rsidR="00267E46">
        <w:t xml:space="preserve">. Los programas </w:t>
      </w:r>
      <w:r w:rsidR="00050F93">
        <w:t>buscaban</w:t>
      </w:r>
      <w:r w:rsidR="00BD78CB">
        <w:t xml:space="preserve"> materializar</w:t>
      </w:r>
      <w:r w:rsidR="00050F93">
        <w:t>,</w:t>
      </w:r>
      <w:r w:rsidR="00BD78CB">
        <w:t xml:space="preserve"> socialmente</w:t>
      </w:r>
      <w:r w:rsidR="00050F93">
        <w:t>,</w:t>
      </w:r>
      <w:r w:rsidR="00BD78CB">
        <w:t xml:space="preserve"> la “igualdad de oportunidades” prometida por la igualdad formal.</w:t>
      </w:r>
      <w:r w:rsidR="00050F93">
        <w:t xml:space="preserve"> </w:t>
      </w:r>
    </w:p>
    <w:p w14:paraId="5BDD31BC" w14:textId="4AD30BC2" w:rsidR="00B016E7" w:rsidRPr="00171DD7" w:rsidRDefault="00BD78CB" w:rsidP="00171DD7">
      <w:pPr>
        <w:pStyle w:val="NormalWeb"/>
        <w:ind w:firstLine="720"/>
        <w:rPr>
          <w:i/>
          <w:iCs/>
        </w:rPr>
      </w:pPr>
      <w:r>
        <w:t>Esta inversión asombrosa</w:t>
      </w:r>
      <w:r w:rsidR="00050F93">
        <w:t>,</w:t>
      </w:r>
      <w:r w:rsidR="00F501A0">
        <w:t xml:space="preserve"> </w:t>
      </w:r>
      <w:r>
        <w:t>en la aplicación social del principio antidiscriminatorio</w:t>
      </w:r>
      <w:r w:rsidR="00050F93">
        <w:t>,</w:t>
      </w:r>
      <w:r>
        <w:t xml:space="preserve"> se logró a través de anulaciones de precedentes directos y de tendencias en curso</w:t>
      </w:r>
      <w:r w:rsidR="00050F93">
        <w:t>,</w:t>
      </w:r>
      <w:r>
        <w:t xml:space="preserve"> que habían trazado el arco de la historia reciente</w:t>
      </w:r>
      <w:r w:rsidR="00286304">
        <w:t>,</w:t>
      </w:r>
      <w:r>
        <w:t xml:space="preserve"> tanto en el ámbito nacional como internacional.</w:t>
      </w:r>
      <w:r w:rsidR="00286304">
        <w:t xml:space="preserve"> </w:t>
      </w:r>
      <w:r>
        <w:t xml:space="preserve">Como expresó el juez Thurgood Marshall poco después: </w:t>
      </w:r>
      <w:r w:rsidRPr="00286304">
        <w:rPr>
          <w:rStyle w:val="Emphasis"/>
          <w:rFonts w:eastAsiaTheme="majorEastAsia"/>
          <w:i w:val="0"/>
          <w:iCs w:val="0"/>
        </w:rPr>
        <w:t>“El enfoque del Tribunal en los casos de derechos civiles ha cambiado marcadamente… Es difícil caracterizar las decisiones del último término como algo distinto a un repliegue deliberado de la agenda de los derechos civiles</w:t>
      </w:r>
      <w:r w:rsidRPr="00286304">
        <w:rPr>
          <w:rStyle w:val="Emphasis"/>
          <w:rFonts w:eastAsiaTheme="majorEastAsia"/>
        </w:rPr>
        <w:t>”</w:t>
      </w:r>
      <w:r w:rsidR="00286304" w:rsidRPr="00286304">
        <w:rPr>
          <w:rStyle w:val="FootnoteReference"/>
        </w:rPr>
        <w:t xml:space="preserve"> </w:t>
      </w:r>
      <w:r w:rsidR="00286304" w:rsidRPr="00286304">
        <w:rPr>
          <w:rStyle w:val="FootnoteReference"/>
        </w:rPr>
        <w:footnoteReference w:id="32"/>
      </w:r>
      <w:r w:rsidR="00286304" w:rsidRPr="00286304">
        <w:rPr>
          <w:rStyle w:val="Emphasis"/>
          <w:rFonts w:eastAsiaTheme="majorEastAsia"/>
        </w:rPr>
        <w:t>.</w:t>
      </w:r>
    </w:p>
    <w:p w14:paraId="2FF0932C" w14:textId="61057AF1" w:rsidR="00B016E7" w:rsidRDefault="00B016E7" w:rsidP="004138F6">
      <w:pPr>
        <w:pStyle w:val="NormalWeb"/>
        <w:ind w:firstLine="720"/>
      </w:pPr>
      <w:r>
        <w:lastRenderedPageBreak/>
        <w:t>Así, entre las décadas de 1980 y 1990, mientras surgía la jurisprudencia crítica periférica, la producción académica reaccionaria ya se transformaba en jurisprudencia reaccionaria. En ese proceso, los precedentes “liberales” comenzaron a ser revocados cada vez con más frecuencia</w:t>
      </w:r>
      <w:r w:rsidR="004138F6">
        <w:t>. L</w:t>
      </w:r>
      <w:r>
        <w:t>a revisión doctrinal se intensificó y la política del retroceso y la sustitución empezó a consolidarse.</w:t>
      </w:r>
      <w:r w:rsidR="004138F6">
        <w:t xml:space="preserve"> </w:t>
      </w:r>
      <w:r>
        <w:t xml:space="preserve">Esta regresión quedó ejemplificada —y expuesta plenamente— en 1995, con la opinión de mayoría 5-4 en </w:t>
      </w:r>
      <w:r>
        <w:rPr>
          <w:rStyle w:val="Emphasis"/>
          <w:rFonts w:eastAsiaTheme="majorEastAsia"/>
        </w:rPr>
        <w:t>Adarand Constructors, Inc. v. Peña</w:t>
      </w:r>
      <w:r w:rsidR="004138F6" w:rsidRPr="00E719CE">
        <w:rPr>
          <w:rStyle w:val="FootnoteReference"/>
        </w:rPr>
        <w:footnoteReference w:id="33"/>
      </w:r>
      <w:r>
        <w:t xml:space="preserve">: una reescritura audaz del derecho y de la historia, sin fundamento ni justificación alguna, como </w:t>
      </w:r>
      <w:r w:rsidR="00171DD7">
        <w:t>se ha señalado</w:t>
      </w:r>
      <w:r>
        <w:t xml:space="preserve"> de manera clara y reiterada</w:t>
      </w:r>
      <w:r w:rsidR="00171DD7">
        <w:t>,</w:t>
      </w:r>
      <w:r>
        <w:t xml:space="preserve"> tanto en ese momento como posteriormente</w:t>
      </w:r>
      <w:r w:rsidR="004138F6" w:rsidRPr="00E719CE">
        <w:rPr>
          <w:rStyle w:val="FootnoteReference"/>
        </w:rPr>
        <w:footnoteReference w:id="34"/>
      </w:r>
      <w:r>
        <w:t>.</w:t>
      </w:r>
    </w:p>
    <w:p w14:paraId="3E9EF610" w14:textId="77777777" w:rsidR="00CD6018" w:rsidRDefault="00E16B54" w:rsidP="00CD6018">
      <w:pPr>
        <w:pStyle w:val="NormalWeb"/>
        <w:ind w:firstLine="720"/>
      </w:pPr>
      <w:r>
        <w:t>Mediante herramientas tanto doctrinales como procesales</w:t>
      </w:r>
      <w:r w:rsidRPr="00E719CE">
        <w:rPr>
          <w:rStyle w:val="FootnoteReference"/>
        </w:rPr>
        <w:footnoteReference w:id="35"/>
      </w:r>
      <w:r>
        <w:t>, estas y otras decisiones similares de la jurisprudencia reaccionaria contribuyen a reconsolidar jerarquías “tradicionales”</w:t>
      </w:r>
      <w:r w:rsidR="000110F2">
        <w:t>. Bajo estas</w:t>
      </w:r>
      <w:r>
        <w:t>, los grupos, personas o intereses asociados con las “tradiciones” anglosajonas, blancas, cristianas y heterosexuales son</w:t>
      </w:r>
      <w:r w:rsidR="000110F2">
        <w:t>,</w:t>
      </w:r>
      <w:r>
        <w:t xml:space="preserve"> sistemática y culturalmente</w:t>
      </w:r>
      <w:r w:rsidR="000110F2">
        <w:t>,</w:t>
      </w:r>
      <w:r>
        <w:t xml:space="preserve"> elevados por encima de personas, sectores o aspectos de la sociedad vinculados con tradiciones no anglosajonas, no blancas, no cristianas y no heterosexuales</w:t>
      </w:r>
      <w:r w:rsidR="000110F2" w:rsidRPr="00E719CE">
        <w:rPr>
          <w:rStyle w:val="FootnoteReference"/>
        </w:rPr>
        <w:footnoteReference w:id="36"/>
      </w:r>
      <w:r>
        <w:t>.</w:t>
      </w:r>
    </w:p>
    <w:p w14:paraId="1715B614" w14:textId="7E94BBEF" w:rsidR="007C5BB7" w:rsidRPr="00E719CE" w:rsidRDefault="00E16B54" w:rsidP="009F3265">
      <w:pPr>
        <w:pStyle w:val="NormalWeb"/>
        <w:ind w:firstLine="720"/>
      </w:pPr>
      <w:r>
        <w:t xml:space="preserve">El patrón de resultados </w:t>
      </w:r>
      <w:r w:rsidR="00CD6018">
        <w:t xml:space="preserve">documentado </w:t>
      </w:r>
      <w:r>
        <w:t xml:space="preserve">de la jurisprudencia </w:t>
      </w:r>
      <w:r w:rsidR="00CD6018">
        <w:t>reaccionaria</w:t>
      </w:r>
      <w:r>
        <w:t xml:space="preserve"> refleja</w:t>
      </w:r>
      <w:r w:rsidR="00CD6018">
        <w:t>,</w:t>
      </w:r>
      <w:r>
        <w:t xml:space="preserve"> de forma consistente</w:t>
      </w:r>
      <w:r w:rsidR="00CD6018">
        <w:t>,</w:t>
      </w:r>
      <w:r>
        <w:t xml:space="preserve"> las políticas y </w:t>
      </w:r>
      <w:r w:rsidR="00CD6018">
        <w:t xml:space="preserve">las </w:t>
      </w:r>
      <w:r>
        <w:t>agendas reaccionarias propias de las guerras culturales</w:t>
      </w:r>
      <w:r w:rsidR="00CD6018">
        <w:t>. U</w:t>
      </w:r>
      <w:r>
        <w:t>na y otra vez, como muestran los casos ilustrativos anteriores, cuando el poder estatal se emplea a favor de grupos históricamente subordinados o para sostener, de alguna forma, el legado “liberal” del siglo veinte, dicha acción estatal es invalidada o restringida judicialmente, ya sea de manera directa</w:t>
      </w:r>
      <w:r w:rsidR="00CD6018">
        <w:t>,</w:t>
      </w:r>
      <w:r>
        <w:t xml:space="preserve"> mediante pronunciamientos sustantivos, o de forma indirecta</w:t>
      </w:r>
      <w:r w:rsidR="00CD6018">
        <w:t xml:space="preserve">, </w:t>
      </w:r>
      <w:r>
        <w:t>a través de obstáculos procesales y similares.</w:t>
      </w:r>
      <w:r w:rsidR="009F3265">
        <w:t xml:space="preserve"> </w:t>
      </w:r>
      <w:r>
        <w:t>En contraste, cuando el poder del Estado se ejerce en favor de los grupos “tradicionales” —es decir, neocoloniales— o para desmontar el legado liberal, esas acciones son acogidas, elogiadas y validadas por el poder judicial.</w:t>
      </w:r>
      <w:r w:rsidR="009F3265">
        <w:t xml:space="preserve"> </w:t>
      </w:r>
      <w:r>
        <w:t xml:space="preserve">Con el tiempo, esta transición de la producción académica </w:t>
      </w:r>
      <w:r w:rsidR="009F3265">
        <w:t>reaccionaria</w:t>
      </w:r>
      <w:r>
        <w:t xml:space="preserve"> hacia una jurisprudencia </w:t>
      </w:r>
      <w:r w:rsidR="009F3265">
        <w:t>reaccionaria</w:t>
      </w:r>
      <w:r>
        <w:t xml:space="preserve"> se ha vuelto parte integral del éxito de la guerra cultural reaccionaria, dirigida contra los grupos tradicionalmente excluidos y en beneficio de los grupos tradicionalmente dominantes</w:t>
      </w:r>
      <w:r w:rsidR="00CD6018" w:rsidRPr="00E719CE">
        <w:rPr>
          <w:rStyle w:val="FootnoteReference"/>
        </w:rPr>
        <w:footnoteReference w:id="37"/>
      </w:r>
      <w:r>
        <w:t>.</w:t>
      </w:r>
    </w:p>
    <w:p w14:paraId="57E4A968" w14:textId="410004B3" w:rsidR="00FE7DF2" w:rsidRPr="00461958" w:rsidRDefault="00E16B54" w:rsidP="007C5BB7">
      <w:pPr>
        <w:spacing w:after="0" w:line="240" w:lineRule="auto"/>
        <w:rPr>
          <w:rFonts w:ascii="Times New Roman" w:hAnsi="Times New Roman" w:cs="Times New Roman"/>
          <w:b/>
          <w:u w:val="single"/>
        </w:rPr>
      </w:pPr>
      <w:r w:rsidRPr="00E16B54">
        <w:rPr>
          <w:rFonts w:ascii="Times New Roman" w:hAnsi="Times New Roman" w:cs="Times New Roman"/>
          <w:b/>
          <w:u w:val="single"/>
        </w:rPr>
        <w:t>Las guerras culturales: reforma jurídica, resistencia neocolonial y conflagración social</w:t>
      </w:r>
    </w:p>
    <w:p w14:paraId="2116EC24" w14:textId="4FFE7007" w:rsidR="00FE7DF2" w:rsidRDefault="00FE7DF2" w:rsidP="00EC112C">
      <w:pPr>
        <w:pStyle w:val="NormalWeb"/>
        <w:ind w:firstLine="720"/>
      </w:pPr>
      <w:r>
        <w:t xml:space="preserve">Al igual que en los casos de la jurisprudencia reaccionaria y de la jurisprudencia periférica, los indicios iniciales de las guerras culturales actuales se remontan a las décadas de 1970 y 1980, cuando las iniciativas liberales en materia de antidiscriminación, impulsadas en </w:t>
      </w:r>
      <w:r>
        <w:lastRenderedPageBreak/>
        <w:t>décadas anteriores, comenzaron a ser cada vez más impugnadas desde frentes diversos.</w:t>
      </w:r>
      <w:r w:rsidR="00EC112C">
        <w:t xml:space="preserve"> </w:t>
      </w:r>
      <w:r>
        <w:t>Sin embargo, el momento de su declaración oficial ocurrió en 1992, desde el podio de la Convención Nacional del Partido Republicano, cuando el aspirante presidencial Patrick Buchanan declaró explícitamente la existencia de una “guerra cultural” por el “alma de Estados Unidos”</w:t>
      </w:r>
      <w:r w:rsidR="00EC112C" w:rsidRPr="00EC112C">
        <w:rPr>
          <w:rStyle w:val="FootnoteReference"/>
        </w:rPr>
        <w:t xml:space="preserve"> </w:t>
      </w:r>
      <w:r w:rsidR="00EC112C" w:rsidRPr="00E719CE">
        <w:rPr>
          <w:rStyle w:val="FootnoteReference"/>
        </w:rPr>
        <w:footnoteReference w:id="38"/>
      </w:r>
      <w:r>
        <w:t>.</w:t>
      </w:r>
      <w:r w:rsidR="00EC112C">
        <w:t xml:space="preserve"> </w:t>
      </w:r>
      <w:r>
        <w:t>Desde entonces, la invocación de la “guerra cultural”</w:t>
      </w:r>
      <w:r w:rsidR="00461958">
        <w:t>,</w:t>
      </w:r>
      <w:r>
        <w:t xml:space="preserve"> como explicación y como motor de la acción social, jurídica y política</w:t>
      </w:r>
      <w:r w:rsidR="00461958">
        <w:t>,</w:t>
      </w:r>
      <w:r>
        <w:t xml:space="preserve"> se ha expandido de forma incendiaria</w:t>
      </w:r>
      <w:r w:rsidR="00461958">
        <w:t>,</w:t>
      </w:r>
      <w:r>
        <w:t xml:space="preserve"> a lo largo del derecho constitucional estadounidense y en todos los ámbitos de la sociedad.</w:t>
      </w:r>
    </w:p>
    <w:p w14:paraId="5CEF9702" w14:textId="1BD7F584" w:rsidR="000B5909" w:rsidRDefault="000B5909" w:rsidP="00591B1E">
      <w:pPr>
        <w:pStyle w:val="NormalWeb"/>
        <w:ind w:firstLine="720"/>
      </w:pPr>
      <w:r>
        <w:t>Cabe destacar que el uso explícito de este término en opiniones judiciales publicadas no se limita a la invocación de “</w:t>
      </w:r>
      <w:r>
        <w:rPr>
          <w:rStyle w:val="Emphasis"/>
          <w:rFonts w:eastAsiaTheme="majorEastAsia"/>
        </w:rPr>
        <w:t>kulturkampf</w:t>
      </w:r>
      <w:r>
        <w:t xml:space="preserve">” por parte de Scalia en sus disensos en </w:t>
      </w:r>
      <w:r>
        <w:rPr>
          <w:rStyle w:val="Emphasis"/>
          <w:rFonts w:eastAsiaTheme="majorEastAsia"/>
        </w:rPr>
        <w:t>Romer v. Evans</w:t>
      </w:r>
      <w:r w:rsidRPr="00E719CE">
        <w:rPr>
          <w:rStyle w:val="FootnoteReference"/>
        </w:rPr>
        <w:footnoteReference w:id="39"/>
      </w:r>
      <w:r>
        <w:t xml:space="preserve"> y </w:t>
      </w:r>
      <w:r>
        <w:rPr>
          <w:rStyle w:val="Emphasis"/>
          <w:rFonts w:eastAsiaTheme="majorEastAsia"/>
        </w:rPr>
        <w:t>Lawrence v. Texas</w:t>
      </w:r>
      <w:r w:rsidRPr="00E719CE">
        <w:rPr>
          <w:rStyle w:val="FootnoteReference"/>
        </w:rPr>
        <w:footnoteReference w:id="40"/>
      </w:r>
      <w:r>
        <w:t xml:space="preserve">. Las guerras culturales, entonces, no son una construcción teórica, sino un fenómeno cada vez más documentable y concreto, tanto en sus dimensiones jurídicas como sociales y discursivas. Los tres frentes —o </w:t>
      </w:r>
      <w:r>
        <w:rPr>
          <w:rStyle w:val="Emphasis"/>
          <w:rFonts w:eastAsiaTheme="majorEastAsia"/>
        </w:rPr>
        <w:t>prongs</w:t>
      </w:r>
      <w:r>
        <w:t>— de ataque de las guerras culturales abarcan: la política electoral y la legislación; los nombramientos judiciales y el poder de revisión; y el uso estratégico del gasto público.</w:t>
      </w:r>
      <w:r w:rsidR="00591B1E">
        <w:t xml:space="preserve"> </w:t>
      </w:r>
      <w:r>
        <w:t>Estos frentes buscan articular una campaña de “reconquista”</w:t>
      </w:r>
      <w:r w:rsidR="00591B1E">
        <w:t>,</w:t>
      </w:r>
      <w:r>
        <w:t xml:space="preserve"> centrada en el principio antidiscriminatorio y en los legados liberales asociados a él</w:t>
      </w:r>
      <w:r w:rsidR="00591B1E" w:rsidRPr="00E719CE">
        <w:rPr>
          <w:rStyle w:val="FootnoteReference"/>
        </w:rPr>
        <w:footnoteReference w:id="41"/>
      </w:r>
      <w:r>
        <w:t>.</w:t>
      </w:r>
    </w:p>
    <w:p w14:paraId="3EC874B7" w14:textId="5AD49424" w:rsidR="000C60BA" w:rsidRPr="00E719CE" w:rsidRDefault="000C60BA" w:rsidP="000C3409">
      <w:pPr>
        <w:pStyle w:val="NormalWeb"/>
        <w:ind w:firstLine="720"/>
      </w:pPr>
      <w:r>
        <w:t xml:space="preserve">El primero de estos frentes —el uso dirigido de la política mayoritaria para derogar o debilitar legislación o precedentes “liberales”— es el principal, ya que prepara el terreno para los otros dos. La segunda línea de ataque consiste, lisa y llanamente, en el </w:t>
      </w:r>
      <w:r w:rsidR="000C3409">
        <w:t>embalaje</w:t>
      </w:r>
      <w:r>
        <w:t xml:space="preserve"> judicial (</w:t>
      </w:r>
      <w:r>
        <w:rPr>
          <w:rStyle w:val="Emphasis"/>
          <w:rFonts w:eastAsiaTheme="majorEastAsia"/>
        </w:rPr>
        <w:t>court packing</w:t>
      </w:r>
      <w:r>
        <w:t>), aunque ejecutado a una escala masiva y cada vez más organizada.</w:t>
      </w:r>
      <w:r w:rsidR="000C3409">
        <w:t xml:space="preserve"> </w:t>
      </w:r>
      <w:r>
        <w:t xml:space="preserve">La tercera línea de ataque es el control selectivo del poder federal de gasto, para financiar o desfinanciar programas o políticas específicas, según convenga, con el fin de lograr retrocesos </w:t>
      </w:r>
      <w:r>
        <w:rPr>
          <w:rStyle w:val="Emphasis"/>
          <w:rFonts w:eastAsiaTheme="majorEastAsia"/>
        </w:rPr>
        <w:t>de facto</w:t>
      </w:r>
      <w:r>
        <w:t xml:space="preserve"> que no pueden imponerse de manera directa o generalizada.</w:t>
      </w:r>
    </w:p>
    <w:p w14:paraId="6D8BD4A3" w14:textId="31E73E12" w:rsidR="00C15FBA" w:rsidRDefault="00C15FBA" w:rsidP="006A26E5">
      <w:pPr>
        <w:pStyle w:val="NormalWeb"/>
        <w:ind w:firstLine="720"/>
      </w:pPr>
      <w:r>
        <w:t xml:space="preserve">La naturaleza, mutuamente reforzada, de estos tres frentes quedó claramente ilustrada en 1991 por los hechos y opiniones del caso </w:t>
      </w:r>
      <w:r>
        <w:rPr>
          <w:rStyle w:val="Emphasis"/>
          <w:rFonts w:eastAsiaTheme="majorEastAsia"/>
        </w:rPr>
        <w:t>Rust v. Sullivan</w:t>
      </w:r>
      <w:r w:rsidRPr="00E719CE">
        <w:rPr>
          <w:rStyle w:val="FootnoteReference"/>
        </w:rPr>
        <w:footnoteReference w:id="42"/>
      </w:r>
      <w:r>
        <w:t>. Este fue un caso paradigmático, en el que el Tribunal Supremo avaló, sin reservas, la desfinanciación federal selectiva de programas que ofrecían información relacionada con el aborto. Esta información e</w:t>
      </w:r>
      <w:r w:rsidR="00941679">
        <w:t>ra</w:t>
      </w:r>
      <w:r>
        <w:t xml:space="preserve"> necesaria para tomar una decisión informada, en tiempos en que la elección reproductiva aún era un derecho constitucional.</w:t>
      </w:r>
      <w:r w:rsidR="00941679">
        <w:t xml:space="preserve"> </w:t>
      </w:r>
      <w:r>
        <w:t>En este caso particular, la política electoral del primer frente generó legislaturas con la voluntad y el ánimo de atacar los derechos de las mujeres</w:t>
      </w:r>
      <w:r w:rsidR="00941679">
        <w:t>,</w:t>
      </w:r>
      <w:r>
        <w:t xml:space="preserve"> mediante un retroceso sistemático y estratégico.</w:t>
      </w:r>
    </w:p>
    <w:p w14:paraId="267CE46F" w14:textId="3A635EC0" w:rsidR="00C15FBA" w:rsidRPr="00E719CE" w:rsidRDefault="00C15FBA" w:rsidP="00C721C4">
      <w:pPr>
        <w:pStyle w:val="NormalWeb"/>
        <w:ind w:firstLine="720"/>
      </w:pPr>
      <w:r>
        <w:t xml:space="preserve">En conjunto, </w:t>
      </w:r>
      <w:r w:rsidR="00B61E13">
        <w:t>el segundo frente produjo un</w:t>
      </w:r>
      <w:r>
        <w:t xml:space="preserve"> tribunal “supremo” dispuesto a debilitar los derechos reproductivos</w:t>
      </w:r>
      <w:r w:rsidR="00B61E13">
        <w:t>,</w:t>
      </w:r>
      <w:r>
        <w:t xml:space="preserve"> en términos jurisprudenciales</w:t>
      </w:r>
      <w:r w:rsidR="00B61E13">
        <w:t>,</w:t>
      </w:r>
      <w:r>
        <w:t xml:space="preserve"> y a blindar leyes discriminatorias o abusivas</w:t>
      </w:r>
      <w:r w:rsidR="00B61E13">
        <w:t>,</w:t>
      </w:r>
      <w:r>
        <w:t xml:space="preserve"> frente a impugnaciones efectivas.</w:t>
      </w:r>
      <w:r w:rsidR="00B61E13">
        <w:t xml:space="preserve"> </w:t>
      </w:r>
      <w:r>
        <w:t>Finalmente, y de manera sinérgica, el tercer frente —la desfinanciación selectiva— actuó en conjunción con los otros dos</w:t>
      </w:r>
      <w:r w:rsidR="00B61E13">
        <w:t>,</w:t>
      </w:r>
      <w:r>
        <w:t xml:space="preserve"> para producir y proteger la ley federal de gasto discriminatorio.</w:t>
      </w:r>
      <w:r w:rsidR="00B61E13">
        <w:t xml:space="preserve"> </w:t>
      </w:r>
      <w:r>
        <w:t xml:space="preserve">De esta forma interactiva, los programas y </w:t>
      </w:r>
      <w:r w:rsidR="00B61E13">
        <w:t xml:space="preserve">las </w:t>
      </w:r>
      <w:r>
        <w:t xml:space="preserve">políticas </w:t>
      </w:r>
      <w:r>
        <w:lastRenderedPageBreak/>
        <w:t>públicas que funcionan como redes de apoyo vital</w:t>
      </w:r>
      <w:r w:rsidR="00B61E13">
        <w:t>,</w:t>
      </w:r>
      <w:r>
        <w:t xml:space="preserve"> para comunidades vulnerables</w:t>
      </w:r>
      <w:r w:rsidR="00B61E13">
        <w:t>,</w:t>
      </w:r>
      <w:r>
        <w:t xml:space="preserve"> se ven amenazados o desmantelados</w:t>
      </w:r>
      <w:r w:rsidR="00BE6CA0">
        <w:t>. Inclusive</w:t>
      </w:r>
      <w:r>
        <w:t xml:space="preserve"> cuando los promotores del </w:t>
      </w:r>
      <w:r w:rsidR="00BE6CA0">
        <w:t>retroceso</w:t>
      </w:r>
      <w:r>
        <w:t xml:space="preserve"> no ha</w:t>
      </w:r>
      <w:r w:rsidR="00BE6CA0">
        <w:t>n</w:t>
      </w:r>
      <w:r>
        <w:t xml:space="preserve"> logrado (todavía) reunir el poder necesario para imponer un retroceso directo y sustantivo</w:t>
      </w:r>
      <w:r w:rsidR="006A26E5">
        <w:t>,</w:t>
      </w:r>
      <w:r>
        <w:t xml:space="preserve"> del “derecho” o “beneficio” en cuestión</w:t>
      </w:r>
      <w:r w:rsidR="00941679" w:rsidRPr="00E719CE">
        <w:rPr>
          <w:rStyle w:val="FootnoteReference"/>
        </w:rPr>
        <w:footnoteReference w:id="43"/>
      </w:r>
      <w:r>
        <w:t>.</w:t>
      </w:r>
    </w:p>
    <w:p w14:paraId="57A32F77" w14:textId="4E33C434" w:rsidR="006A26E5" w:rsidRDefault="006A26E5" w:rsidP="00675570">
      <w:pPr>
        <w:pStyle w:val="NormalWeb"/>
        <w:ind w:firstLine="720"/>
      </w:pPr>
      <w:r>
        <w:t>Al igual que las guerras culturales en general, la jurisprudencia reaccionaria fusiona ideologías supremacistas y eurocéntricas, exportadas globalmente, a través del colonialismo europeo, la conquista y el comercio</w:t>
      </w:r>
      <w:r w:rsidRPr="00E719CE">
        <w:rPr>
          <w:rStyle w:val="FootnoteReference"/>
        </w:rPr>
        <w:footnoteReference w:id="44"/>
      </w:r>
      <w:r>
        <w:t>. Esta combinación, tanto en el pasado como en el presente, favorece al varón blanco europeo, propietario, heterosexual y cristiano. Favorece las culturas e imágenes asociadas a lo europeo: costumbres, lenguas, religiones y fenotipos.</w:t>
      </w:r>
      <w:r w:rsidR="00675570">
        <w:t xml:space="preserve"> </w:t>
      </w:r>
      <w:r>
        <w:t>Desfavorece, en cambio, a las minorías raciales y étnicas, a los credos no cristianos, a las mujeres, a los pueblos indígenas, a las disidencias sexuales, a las personas migrantes (especialmente las no europeas), a las personas con discapacidades y a otros grupos históricamente desposeídos de poder.</w:t>
      </w:r>
    </w:p>
    <w:p w14:paraId="5DC85549" w14:textId="6A19BC4E" w:rsidR="006A26E5" w:rsidRDefault="006A26E5" w:rsidP="00675570">
      <w:pPr>
        <w:pStyle w:val="NormalWeb"/>
        <w:ind w:firstLine="720"/>
      </w:pPr>
      <w:r>
        <w:t>En suma, esta fusión reproduce las corrientes predominantes del racismo, nativismo, androsexismo, heterosexismo y chauvinismo cultural europeo que, durante siglos de colonialismo, se exportaron globalmente y que hoy se ven reforzadas mediante procesos sociales, económicos, culturales, jurídicos y políticos</w:t>
      </w:r>
      <w:r w:rsidR="00675570">
        <w:t>,</w:t>
      </w:r>
      <w:r>
        <w:t xml:space="preserve"> ligados a la globalización corporativa.</w:t>
      </w:r>
      <w:r w:rsidR="00675570">
        <w:t xml:space="preserve"> </w:t>
      </w:r>
      <w:r>
        <w:t xml:space="preserve">El principio organizador y la ideología de la política y la jurisprudencia </w:t>
      </w:r>
      <w:r w:rsidR="00675570">
        <w:t>reaccionaria</w:t>
      </w:r>
      <w:r>
        <w:t xml:space="preserve"> puede resumirse en un término: euroheteropatriarcado</w:t>
      </w:r>
      <w:r w:rsidR="00675570" w:rsidRPr="00E719CE">
        <w:rPr>
          <w:rStyle w:val="FootnoteReference"/>
        </w:rPr>
        <w:footnoteReference w:id="45"/>
      </w:r>
      <w:r>
        <w:t xml:space="preserve">, es decir, la combinación de sesgos y castas identitarias de origen europeo que resultan antitéticas a </w:t>
      </w:r>
      <w:r w:rsidRPr="00C721C4">
        <w:rPr>
          <w:i/>
          <w:iCs/>
        </w:rPr>
        <w:t>cualquier</w:t>
      </w:r>
      <w:r>
        <w:t xml:space="preserve"> concepción coherente y basada en principios de igualdad.</w:t>
      </w:r>
    </w:p>
    <w:p w14:paraId="197AE08F" w14:textId="192C5253" w:rsidR="00C721C4" w:rsidRDefault="00C721C4" w:rsidP="00383E54">
      <w:pPr>
        <w:pStyle w:val="NormalWeb"/>
        <w:ind w:firstLine="720"/>
      </w:pPr>
      <w:r>
        <w:t xml:space="preserve">Hoy, por tanto, el arco de la historia sitúa los legados liberales </w:t>
      </w:r>
      <w:r w:rsidR="002B188B">
        <w:t>controvertidos</w:t>
      </w:r>
      <w:r w:rsidR="00383E54">
        <w:t xml:space="preserve"> </w:t>
      </w:r>
      <w:r>
        <w:t>del principio antidiscriminatorio en una encrucijada: entre el esfuerzo reaccionario por reimponer el euroheteropatriarcado</w:t>
      </w:r>
      <w:r w:rsidR="00383E54">
        <w:t>,</w:t>
      </w:r>
      <w:r>
        <w:t xml:space="preserve"> mediante la fuerza del derecho, y el esfuerzo </w:t>
      </w:r>
      <w:r>
        <w:rPr>
          <w:rStyle w:val="Emphasis"/>
          <w:rFonts w:eastAsiaTheme="majorEastAsia"/>
        </w:rPr>
        <w:t>OutCrit</w:t>
      </w:r>
      <w:r>
        <w:t xml:space="preserve"> por dotar a la igualdad de efectos sociales transformadores, basados en análisis y acciones de antisubordinación.</w:t>
      </w:r>
      <w:r w:rsidR="00383E54">
        <w:t xml:space="preserve"> </w:t>
      </w:r>
      <w:r>
        <w:t xml:space="preserve">Nada menos que la </w:t>
      </w:r>
      <w:r w:rsidR="00383E54">
        <w:t>j</w:t>
      </w:r>
      <w:r>
        <w:t xml:space="preserve">usticia </w:t>
      </w:r>
      <w:r w:rsidR="00383E54">
        <w:t>i</w:t>
      </w:r>
      <w:r>
        <w:t xml:space="preserve">gualitaria para </w:t>
      </w:r>
      <w:r w:rsidR="00383E54">
        <w:t>t</w:t>
      </w:r>
      <w:r>
        <w:t xml:space="preserve">odas las </w:t>
      </w:r>
      <w:r w:rsidR="00383E54">
        <w:t>p</w:t>
      </w:r>
      <w:r>
        <w:t>ersonas está en juego</w:t>
      </w:r>
      <w:r w:rsidR="00383E54">
        <w:t>,</w:t>
      </w:r>
      <w:r>
        <w:t xml:space="preserve"> en el desenlace de esta conflagración cultural y constitucional.</w:t>
      </w:r>
      <w:r w:rsidR="00383E54">
        <w:t xml:space="preserve"> </w:t>
      </w:r>
      <w:r>
        <w:t>Aunque puedan ser necesarias muchas lunas, aunque el camino esté lleno de giros y obstáculos, uno de los dos proyectos deberá prevalecer, inevitablemente y en última instancia: o el país avanza hacia la justicia para todas y todos, o retrocede hacia castas identitarias jerárquicas.</w:t>
      </w:r>
      <w:r w:rsidR="00383E54">
        <w:t xml:space="preserve"> </w:t>
      </w:r>
      <w:r>
        <w:t xml:space="preserve">Las y los </w:t>
      </w:r>
      <w:r>
        <w:rPr>
          <w:rStyle w:val="Emphasis"/>
          <w:rFonts w:eastAsiaTheme="majorEastAsia"/>
        </w:rPr>
        <w:t>OutCrits</w:t>
      </w:r>
      <w:r>
        <w:t xml:space="preserve"> estamos decidides. Prevaleceremos en esta lucha histórica y continua por el poder y la promesa del derecho.</w:t>
      </w:r>
    </w:p>
    <w:p w14:paraId="7D3E63E9" w14:textId="77777777" w:rsidR="00C721C4" w:rsidRPr="00E719CE" w:rsidRDefault="00C721C4" w:rsidP="00C16040">
      <w:pPr>
        <w:spacing w:after="0" w:line="240" w:lineRule="auto"/>
        <w:ind w:firstLine="720"/>
        <w:rPr>
          <w:rFonts w:ascii="Times New Roman" w:hAnsi="Times New Roman" w:cs="Times New Roman"/>
        </w:rPr>
      </w:pPr>
    </w:p>
    <w:sectPr w:rsidR="00C721C4" w:rsidRPr="00E719CE" w:rsidSect="00284D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7E6BD" w14:textId="77777777" w:rsidR="009F0171" w:rsidRDefault="009F0171" w:rsidP="00B367CB">
      <w:pPr>
        <w:spacing w:after="0" w:line="240" w:lineRule="auto"/>
      </w:pPr>
      <w:r>
        <w:separator/>
      </w:r>
    </w:p>
  </w:endnote>
  <w:endnote w:type="continuationSeparator" w:id="0">
    <w:p w14:paraId="274213C8" w14:textId="77777777" w:rsidR="009F0171" w:rsidRDefault="009F0171" w:rsidP="00B3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30CC0" w14:textId="77777777" w:rsidR="009F0171" w:rsidRDefault="009F0171" w:rsidP="00B367CB">
      <w:pPr>
        <w:spacing w:after="0" w:line="240" w:lineRule="auto"/>
      </w:pPr>
      <w:r>
        <w:separator/>
      </w:r>
    </w:p>
  </w:footnote>
  <w:footnote w:type="continuationSeparator" w:id="0">
    <w:p w14:paraId="5638B795" w14:textId="77777777" w:rsidR="009F0171" w:rsidRDefault="009F0171" w:rsidP="00B367CB">
      <w:pPr>
        <w:spacing w:after="0" w:line="240" w:lineRule="auto"/>
      </w:pPr>
      <w:r>
        <w:continuationSeparator/>
      </w:r>
    </w:p>
  </w:footnote>
  <w:footnote w:id="1">
    <w:p w14:paraId="42548B90" w14:textId="57F986DB" w:rsidR="00671B2C" w:rsidRPr="001B2FFE" w:rsidRDefault="00671B2C" w:rsidP="00671B2C">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sz w:val="20"/>
          <w:szCs w:val="20"/>
        </w:rPr>
        <w:t>Véase</w:t>
      </w:r>
      <w:r w:rsidRPr="001B2FFE">
        <w:rPr>
          <w:rFonts w:ascii="Times New Roman" w:hAnsi="Times New Roman" w:cs="Times New Roman"/>
          <w:iCs/>
          <w:sz w:val="20"/>
          <w:szCs w:val="20"/>
        </w:rPr>
        <w:t>, por ejemplo,</w:t>
      </w:r>
      <w:r w:rsidRPr="001B2FFE">
        <w:rPr>
          <w:rFonts w:ascii="Times New Roman" w:hAnsi="Times New Roman" w:cs="Times New Roman"/>
          <w:sz w:val="20"/>
          <w:szCs w:val="20"/>
        </w:rPr>
        <w:t xml:space="preserve"> Paul Brest, </w:t>
      </w:r>
      <w:r w:rsidRPr="001B2FFE">
        <w:rPr>
          <w:rFonts w:ascii="Times New Roman" w:hAnsi="Times New Roman" w:cs="Times New Roman"/>
          <w:i/>
          <w:sz w:val="20"/>
          <w:szCs w:val="20"/>
        </w:rPr>
        <w:t>Foreword: In Defense of the Anti-Discrimination Principle</w:t>
      </w:r>
      <w:r w:rsidRPr="001B2FFE">
        <w:rPr>
          <w:rFonts w:ascii="Times New Roman" w:hAnsi="Times New Roman" w:cs="Times New Roman"/>
          <w:sz w:val="20"/>
          <w:szCs w:val="20"/>
        </w:rPr>
        <w:t xml:space="preserve">, 90 </w:t>
      </w:r>
      <w:r w:rsidR="008D11CC" w:rsidRPr="001B2FFE">
        <w:rPr>
          <w:rStyle w:val="Emphasis"/>
          <w:rFonts w:ascii="Times New Roman" w:hAnsi="Times New Roman" w:cs="Times New Roman"/>
          <w:sz w:val="20"/>
          <w:szCs w:val="20"/>
        </w:rPr>
        <w:t xml:space="preserve">Harvard Law </w:t>
      </w:r>
      <w:proofErr w:type="gramStart"/>
      <w:r w:rsidR="008D11CC" w:rsidRPr="001B2FFE">
        <w:rPr>
          <w:rStyle w:val="Emphasis"/>
          <w:rFonts w:ascii="Times New Roman" w:hAnsi="Times New Roman" w:cs="Times New Roman"/>
          <w:sz w:val="20"/>
          <w:szCs w:val="20"/>
        </w:rPr>
        <w:t>Review</w:t>
      </w:r>
      <w:r w:rsidR="008D11CC" w:rsidRPr="001B2FFE">
        <w:rPr>
          <w:rFonts w:ascii="Times New Roman" w:hAnsi="Times New Roman" w:cs="Times New Roman"/>
          <w:sz w:val="20"/>
          <w:szCs w:val="20"/>
        </w:rPr>
        <w:t xml:space="preserve">  </w:t>
      </w:r>
      <w:r w:rsidRPr="001B2FFE">
        <w:rPr>
          <w:rFonts w:ascii="Times New Roman" w:hAnsi="Times New Roman" w:cs="Times New Roman"/>
          <w:sz w:val="20"/>
          <w:szCs w:val="20"/>
        </w:rPr>
        <w:t>1</w:t>
      </w:r>
      <w:proofErr w:type="gramEnd"/>
      <w:r w:rsidRPr="001B2FFE">
        <w:rPr>
          <w:rFonts w:ascii="Times New Roman" w:hAnsi="Times New Roman" w:cs="Times New Roman"/>
          <w:sz w:val="20"/>
          <w:szCs w:val="20"/>
        </w:rPr>
        <w:t xml:space="preserve"> (1976). </w:t>
      </w:r>
    </w:p>
  </w:footnote>
  <w:footnote w:id="2">
    <w:p w14:paraId="77482CED" w14:textId="77777777" w:rsidR="00CC49BB" w:rsidRPr="001B2FFE" w:rsidRDefault="00CC49BB" w:rsidP="00CC49BB">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Romer v. Evans</w:t>
      </w:r>
      <w:r w:rsidRPr="001B2FFE">
        <w:rPr>
          <w:rFonts w:ascii="Times New Roman" w:hAnsi="Times New Roman" w:cs="Times New Roman"/>
          <w:sz w:val="20"/>
          <w:szCs w:val="20"/>
        </w:rPr>
        <w:t>, 517 U.S. 620 (1996).</w:t>
      </w:r>
    </w:p>
  </w:footnote>
  <w:footnote w:id="3">
    <w:p w14:paraId="35A01FED" w14:textId="22263FE8" w:rsidR="00421D64" w:rsidRPr="001B2FFE" w:rsidRDefault="00421D64" w:rsidP="00421D64">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F25EED" w:rsidRPr="001B2FFE">
        <w:rPr>
          <w:rFonts w:ascii="Times New Roman" w:hAnsi="Times New Roman" w:cs="Times New Roman"/>
          <w:i/>
          <w:iCs/>
          <w:sz w:val="20"/>
          <w:szCs w:val="20"/>
        </w:rPr>
        <w:t>Véase</w:t>
      </w:r>
      <w:r w:rsidR="00F25EED" w:rsidRPr="001B2FFE">
        <w:rPr>
          <w:rFonts w:ascii="Times New Roman" w:hAnsi="Times New Roman" w:cs="Times New Roman"/>
          <w:sz w:val="20"/>
          <w:szCs w:val="20"/>
        </w:rPr>
        <w:t xml:space="preserve">, en general: James Davison Hunter, </w:t>
      </w:r>
      <w:r w:rsidR="00F25EED" w:rsidRPr="001B2FFE">
        <w:rPr>
          <w:rStyle w:val="Emphasis"/>
          <w:rFonts w:ascii="Times New Roman" w:hAnsi="Times New Roman" w:cs="Times New Roman"/>
          <w:sz w:val="20"/>
          <w:szCs w:val="20"/>
        </w:rPr>
        <w:t>Culture Wars: The Struggle to Define America</w:t>
      </w:r>
      <w:r w:rsidR="00F25EED" w:rsidRPr="001B2FFE">
        <w:rPr>
          <w:rFonts w:ascii="Times New Roman" w:hAnsi="Times New Roman" w:cs="Times New Roman"/>
          <w:sz w:val="20"/>
          <w:szCs w:val="20"/>
        </w:rPr>
        <w:t xml:space="preserve"> (1991); James Davison Hunter, </w:t>
      </w:r>
      <w:r w:rsidR="00F25EED" w:rsidRPr="001B2FFE">
        <w:rPr>
          <w:rStyle w:val="Emphasis"/>
          <w:rFonts w:ascii="Times New Roman" w:hAnsi="Times New Roman" w:cs="Times New Roman"/>
          <w:sz w:val="20"/>
          <w:szCs w:val="20"/>
        </w:rPr>
        <w:t>Before the Shooting Begins: Searching for Democracy in America's Culture War</w:t>
      </w:r>
      <w:r w:rsidR="00F25EED" w:rsidRPr="001B2FFE">
        <w:rPr>
          <w:rFonts w:ascii="Times New Roman" w:hAnsi="Times New Roman" w:cs="Times New Roman"/>
          <w:sz w:val="20"/>
          <w:szCs w:val="20"/>
        </w:rPr>
        <w:t xml:space="preserve"> (1994).</w:t>
      </w:r>
    </w:p>
  </w:footnote>
  <w:footnote w:id="4">
    <w:p w14:paraId="332AFD9C" w14:textId="6EE4737F" w:rsidR="00421D64" w:rsidRPr="001B2FFE" w:rsidRDefault="00421D64" w:rsidP="00421D64">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F25EED" w:rsidRPr="001B2FFE">
        <w:rPr>
          <w:rFonts w:ascii="Times New Roman" w:hAnsi="Times New Roman" w:cs="Times New Roman"/>
          <w:i/>
          <w:iCs/>
          <w:sz w:val="20"/>
          <w:szCs w:val="20"/>
        </w:rPr>
        <w:t>Véase</w:t>
      </w:r>
      <w:r w:rsidR="00F25EED" w:rsidRPr="001B2FFE">
        <w:rPr>
          <w:rFonts w:ascii="Times New Roman" w:hAnsi="Times New Roman" w:cs="Times New Roman"/>
          <w:sz w:val="20"/>
          <w:szCs w:val="20"/>
        </w:rPr>
        <w:t xml:space="preserve">, en general: </w:t>
      </w:r>
      <w:r w:rsidRPr="001B2FFE">
        <w:rPr>
          <w:rFonts w:ascii="Times New Roman" w:hAnsi="Times New Roman" w:cs="Times New Roman"/>
          <w:sz w:val="20"/>
          <w:szCs w:val="20"/>
        </w:rPr>
        <w:t xml:space="preserve">Kenneth B. Nunn, </w:t>
      </w:r>
      <w:r w:rsidRPr="001B2FFE">
        <w:rPr>
          <w:rFonts w:ascii="Times New Roman" w:hAnsi="Times New Roman" w:cs="Times New Roman"/>
          <w:i/>
          <w:sz w:val="20"/>
          <w:szCs w:val="20"/>
        </w:rPr>
        <w:t>Law as a Eurocentric Enterprise</w:t>
      </w:r>
      <w:r w:rsidRPr="001B2FFE">
        <w:rPr>
          <w:rFonts w:ascii="Times New Roman" w:hAnsi="Times New Roman" w:cs="Times New Roman"/>
          <w:sz w:val="20"/>
          <w:szCs w:val="20"/>
        </w:rPr>
        <w:t xml:space="preserve">, 15 </w:t>
      </w:r>
      <w:r w:rsidR="00C84DD5" w:rsidRPr="001B2FFE">
        <w:rPr>
          <w:rFonts w:ascii="Times New Roman" w:hAnsi="Times New Roman" w:cs="Times New Roman"/>
          <w:sz w:val="20"/>
          <w:szCs w:val="20"/>
        </w:rPr>
        <w:t>Law and Inequality</w:t>
      </w:r>
      <w:r w:rsidRPr="001B2FFE">
        <w:rPr>
          <w:rFonts w:ascii="Times New Roman" w:hAnsi="Times New Roman" w:cs="Times New Roman"/>
          <w:sz w:val="20"/>
          <w:szCs w:val="20"/>
        </w:rPr>
        <w:t xml:space="preserve"> 323 (1997); Robert A. Williams, Jr., </w:t>
      </w:r>
      <w:r w:rsidRPr="001B2FFE">
        <w:rPr>
          <w:rFonts w:ascii="Times New Roman" w:hAnsi="Times New Roman" w:cs="Times New Roman"/>
          <w:i/>
          <w:sz w:val="20"/>
          <w:szCs w:val="20"/>
        </w:rPr>
        <w:t>Documents of Barbarism: The Contemporary Legacy of European racism and Colonialism in the Narrative Traditions of Federal Indian Law</w:t>
      </w:r>
      <w:r w:rsidRPr="001B2FFE">
        <w:rPr>
          <w:rFonts w:ascii="Times New Roman" w:hAnsi="Times New Roman" w:cs="Times New Roman"/>
          <w:sz w:val="20"/>
          <w:szCs w:val="20"/>
        </w:rPr>
        <w:t xml:space="preserve">, 31 </w:t>
      </w:r>
      <w:r w:rsidR="00C84DD5" w:rsidRPr="001B2FFE">
        <w:rPr>
          <w:rFonts w:ascii="Times New Roman" w:hAnsi="Times New Roman" w:cs="Times New Roman"/>
          <w:sz w:val="20"/>
          <w:szCs w:val="20"/>
        </w:rPr>
        <w:t>Arizona Law Review</w:t>
      </w:r>
      <w:r w:rsidRPr="001B2FFE">
        <w:rPr>
          <w:rFonts w:ascii="Times New Roman" w:hAnsi="Times New Roman" w:cs="Times New Roman"/>
          <w:sz w:val="20"/>
          <w:szCs w:val="20"/>
        </w:rPr>
        <w:t xml:space="preserve"> 237 (1989).</w:t>
      </w:r>
    </w:p>
  </w:footnote>
  <w:footnote w:id="5">
    <w:p w14:paraId="014313C5" w14:textId="742E5853" w:rsidR="00023073" w:rsidRPr="001B2FFE" w:rsidRDefault="00023073" w:rsidP="00023073">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9E4CFD" w:rsidRPr="001B2FFE">
        <w:rPr>
          <w:rFonts w:ascii="Times New Roman" w:hAnsi="Times New Roman" w:cs="Times New Roman"/>
          <w:i/>
          <w:iCs/>
          <w:sz w:val="20"/>
          <w:szCs w:val="20"/>
        </w:rPr>
        <w:t>Véase</w:t>
      </w:r>
      <w:r w:rsidR="009E4CFD" w:rsidRPr="001B2FFE">
        <w:rPr>
          <w:rFonts w:ascii="Times New Roman" w:hAnsi="Times New Roman" w:cs="Times New Roman"/>
          <w:sz w:val="20"/>
          <w:szCs w:val="20"/>
        </w:rPr>
        <w:t xml:space="preserve">, en general: John Rawls, </w:t>
      </w:r>
      <w:r w:rsidR="009E4CFD" w:rsidRPr="001B2FFE">
        <w:rPr>
          <w:rStyle w:val="Emphasis"/>
          <w:rFonts w:ascii="Times New Roman" w:hAnsi="Times New Roman" w:cs="Times New Roman"/>
          <w:sz w:val="20"/>
          <w:szCs w:val="20"/>
        </w:rPr>
        <w:t>Political Liberalism</w:t>
      </w:r>
      <w:r w:rsidR="009E4CFD" w:rsidRPr="001B2FFE">
        <w:rPr>
          <w:rFonts w:ascii="Times New Roman" w:hAnsi="Times New Roman" w:cs="Times New Roman"/>
          <w:sz w:val="20"/>
          <w:szCs w:val="20"/>
        </w:rPr>
        <w:t xml:space="preserve"> (1993).</w:t>
      </w:r>
    </w:p>
  </w:footnote>
  <w:footnote w:id="6">
    <w:p w14:paraId="7B9157D3" w14:textId="7643A8A1" w:rsidR="003F3CE0" w:rsidRPr="001B2FFE" w:rsidRDefault="003F3CE0" w:rsidP="003F3CE0">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9E4CFD" w:rsidRPr="001B2FFE">
        <w:rPr>
          <w:rFonts w:ascii="Times New Roman" w:hAnsi="Times New Roman" w:cs="Times New Roman"/>
          <w:i/>
          <w:iCs/>
          <w:sz w:val="20"/>
          <w:szCs w:val="20"/>
        </w:rPr>
        <w:t>Véase</w:t>
      </w:r>
      <w:r w:rsidR="009E4CFD" w:rsidRPr="001B2FFE">
        <w:rPr>
          <w:rFonts w:ascii="Times New Roman" w:hAnsi="Times New Roman" w:cs="Times New Roman"/>
          <w:sz w:val="20"/>
          <w:szCs w:val="20"/>
        </w:rPr>
        <w:t xml:space="preserve">, en general: Vincent Blasi, </w:t>
      </w:r>
      <w:r w:rsidR="009E4CFD" w:rsidRPr="001B2FFE">
        <w:rPr>
          <w:rStyle w:val="Emphasis"/>
          <w:rFonts w:ascii="Times New Roman" w:hAnsi="Times New Roman" w:cs="Times New Roman"/>
          <w:sz w:val="20"/>
          <w:szCs w:val="20"/>
        </w:rPr>
        <w:t>Law and Liberalism in the 1980s</w:t>
      </w:r>
      <w:r w:rsidR="009E4CFD" w:rsidRPr="001B2FFE">
        <w:rPr>
          <w:rFonts w:ascii="Times New Roman" w:hAnsi="Times New Roman" w:cs="Times New Roman"/>
          <w:sz w:val="20"/>
          <w:szCs w:val="20"/>
        </w:rPr>
        <w:t xml:space="preserve"> (1990).</w:t>
      </w:r>
    </w:p>
  </w:footnote>
  <w:footnote w:id="7">
    <w:p w14:paraId="1CAE4616" w14:textId="1A43D0FD" w:rsidR="00AD17F0" w:rsidRPr="001B2FFE" w:rsidRDefault="00AD17F0" w:rsidP="00AD17F0">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8D0714" w:rsidRPr="001B2FFE">
        <w:rPr>
          <w:rFonts w:ascii="Times New Roman" w:hAnsi="Times New Roman" w:cs="Times New Roman"/>
          <w:sz w:val="20"/>
          <w:szCs w:val="20"/>
        </w:rPr>
        <w:t xml:space="preserve">Entre los más conocidos e importantes se encuentran </w:t>
      </w:r>
      <w:r w:rsidR="008D0714" w:rsidRPr="001B2FFE">
        <w:rPr>
          <w:rStyle w:val="Emphasis"/>
          <w:rFonts w:ascii="Times New Roman" w:hAnsi="Times New Roman" w:cs="Times New Roman"/>
          <w:sz w:val="20"/>
          <w:szCs w:val="20"/>
        </w:rPr>
        <w:t>Brown v. Board of Education of Topeka</w:t>
      </w:r>
      <w:r w:rsidR="008D0714" w:rsidRPr="001B2FFE">
        <w:rPr>
          <w:rFonts w:ascii="Times New Roman" w:hAnsi="Times New Roman" w:cs="Times New Roman"/>
          <w:sz w:val="20"/>
          <w:szCs w:val="20"/>
        </w:rPr>
        <w:t xml:space="preserve">, 347 U.S. 483 (1954), y la </w:t>
      </w:r>
      <w:r w:rsidR="008D0714" w:rsidRPr="001B2FFE">
        <w:rPr>
          <w:rStyle w:val="Emphasis"/>
          <w:rFonts w:ascii="Times New Roman" w:hAnsi="Times New Roman" w:cs="Times New Roman"/>
          <w:sz w:val="20"/>
          <w:szCs w:val="20"/>
        </w:rPr>
        <w:t>Civil Rights Act</w:t>
      </w:r>
      <w:r w:rsidR="008D0714" w:rsidRPr="001B2FFE">
        <w:rPr>
          <w:rFonts w:ascii="Times New Roman" w:hAnsi="Times New Roman" w:cs="Times New Roman"/>
          <w:sz w:val="20"/>
          <w:szCs w:val="20"/>
        </w:rPr>
        <w:t xml:space="preserve"> de 1964, 42 U.S.C. Secciones 2000 y siguientes. Esta segunda Reconstrucción, ocurrida a mediados del siglo veinte, al igual que la primera después de la Guerra Civil, en la década de 1860, abarcó enmiendas constitucionales, legislación y decisiones judiciales. Esta Reconstrucción del siglo veinte pudo haber comenzado con litigios tempranos que culminaron en 1954 con </w:t>
      </w:r>
      <w:r w:rsidR="008D0714" w:rsidRPr="001B2FFE">
        <w:rPr>
          <w:rStyle w:val="Emphasis"/>
          <w:rFonts w:ascii="Times New Roman" w:hAnsi="Times New Roman" w:cs="Times New Roman"/>
          <w:sz w:val="20"/>
          <w:szCs w:val="20"/>
        </w:rPr>
        <w:t>Brown</w:t>
      </w:r>
      <w:r w:rsidR="008D0714" w:rsidRPr="001B2FFE">
        <w:rPr>
          <w:rFonts w:ascii="Times New Roman" w:hAnsi="Times New Roman" w:cs="Times New Roman"/>
          <w:sz w:val="20"/>
          <w:szCs w:val="20"/>
        </w:rPr>
        <w:t xml:space="preserve"> y sus casos derivados. </w:t>
      </w:r>
      <w:r w:rsidR="008D0714" w:rsidRPr="001B2FFE">
        <w:rPr>
          <w:rFonts w:ascii="Times New Roman" w:hAnsi="Times New Roman" w:cs="Times New Roman"/>
          <w:i/>
          <w:iCs/>
          <w:sz w:val="20"/>
          <w:szCs w:val="20"/>
        </w:rPr>
        <w:t>Véase</w:t>
      </w:r>
      <w:r w:rsidR="008D0714" w:rsidRPr="001B2FFE">
        <w:rPr>
          <w:rFonts w:ascii="Times New Roman" w:hAnsi="Times New Roman" w:cs="Times New Roman"/>
          <w:sz w:val="20"/>
          <w:szCs w:val="20"/>
        </w:rPr>
        <w:t xml:space="preserve"> Mark Tushnet, </w:t>
      </w:r>
      <w:r w:rsidR="008D0714" w:rsidRPr="001B2FFE">
        <w:rPr>
          <w:rStyle w:val="Emphasis"/>
          <w:rFonts w:ascii="Times New Roman" w:hAnsi="Times New Roman" w:cs="Times New Roman"/>
          <w:sz w:val="20"/>
          <w:szCs w:val="20"/>
        </w:rPr>
        <w:t>Segregated Schools and Legal Strategy: The NAACP’s Campaign Against Segregated Education</w:t>
      </w:r>
      <w:r w:rsidR="008D0714" w:rsidRPr="001B2FFE">
        <w:rPr>
          <w:rFonts w:ascii="Times New Roman" w:hAnsi="Times New Roman" w:cs="Times New Roman"/>
          <w:sz w:val="20"/>
          <w:szCs w:val="20"/>
        </w:rPr>
        <w:t xml:space="preserve"> (1987).</w:t>
      </w:r>
      <w:r w:rsidR="00C617A9" w:rsidRPr="001B2FFE">
        <w:rPr>
          <w:rFonts w:ascii="Times New Roman" w:hAnsi="Times New Roman" w:cs="Times New Roman"/>
          <w:sz w:val="20"/>
          <w:szCs w:val="20"/>
        </w:rPr>
        <w:t xml:space="preserve"> </w:t>
      </w:r>
      <w:r w:rsidR="00C617A9" w:rsidRPr="00C617A9">
        <w:rPr>
          <w:rFonts w:ascii="Times New Roman" w:eastAsia="Times New Roman" w:hAnsi="Times New Roman" w:cs="Times New Roman"/>
          <w:kern w:val="0"/>
          <w:sz w:val="20"/>
          <w:szCs w:val="20"/>
          <w:lang w:val="uz-Cyrl-UZ"/>
          <w14:ligatures w14:val="none"/>
        </w:rPr>
        <w:t>Sin embargo, gran parte de este cambio jurídico y social también ocurrió durante las iniciativas de la “Gran Sociedad”</w:t>
      </w:r>
      <w:r w:rsidR="00C617A9" w:rsidRPr="001B2FFE">
        <w:rPr>
          <w:rFonts w:ascii="Times New Roman" w:eastAsia="Times New Roman" w:hAnsi="Times New Roman" w:cs="Times New Roman"/>
          <w:kern w:val="0"/>
          <w:sz w:val="20"/>
          <w:szCs w:val="20"/>
          <w:lang w:val="uz-Cyrl-UZ"/>
          <w14:ligatures w14:val="none"/>
        </w:rPr>
        <w:t>,</w:t>
      </w:r>
      <w:r w:rsidR="00C617A9" w:rsidRPr="00C617A9">
        <w:rPr>
          <w:rFonts w:ascii="Times New Roman" w:eastAsia="Times New Roman" w:hAnsi="Times New Roman" w:cs="Times New Roman"/>
          <w:kern w:val="0"/>
          <w:sz w:val="20"/>
          <w:szCs w:val="20"/>
          <w:lang w:val="uz-Cyrl-UZ"/>
          <w14:ligatures w14:val="none"/>
        </w:rPr>
        <w:t xml:space="preserve"> del presidente Lyndon Johnson</w:t>
      </w:r>
      <w:r w:rsidR="005178C1" w:rsidRPr="001B2FFE">
        <w:rPr>
          <w:rFonts w:ascii="Times New Roman" w:eastAsia="Times New Roman" w:hAnsi="Times New Roman" w:cs="Times New Roman"/>
          <w:kern w:val="0"/>
          <w:sz w:val="20"/>
          <w:szCs w:val="20"/>
          <w:lang w:val="uz-Cyrl-UZ"/>
          <w14:ligatures w14:val="none"/>
        </w:rPr>
        <w:t>,</w:t>
      </w:r>
      <w:r w:rsidR="00C617A9" w:rsidRPr="00C617A9">
        <w:rPr>
          <w:rFonts w:ascii="Times New Roman" w:eastAsia="Times New Roman" w:hAnsi="Times New Roman" w:cs="Times New Roman"/>
          <w:kern w:val="0"/>
          <w:sz w:val="20"/>
          <w:szCs w:val="20"/>
          <w:lang w:val="uz-Cyrl-UZ"/>
          <w14:ligatures w14:val="none"/>
        </w:rPr>
        <w:t xml:space="preserve"> en la década de 1960</w:t>
      </w:r>
      <w:r w:rsidR="005178C1" w:rsidRPr="001B2FFE">
        <w:rPr>
          <w:rFonts w:ascii="Times New Roman" w:eastAsia="Times New Roman" w:hAnsi="Times New Roman" w:cs="Times New Roman"/>
          <w:kern w:val="0"/>
          <w:sz w:val="20"/>
          <w:szCs w:val="20"/>
          <w:lang w:val="uz-Cyrl-UZ"/>
          <w14:ligatures w14:val="none"/>
        </w:rPr>
        <w:t>. Estas</w:t>
      </w:r>
      <w:r w:rsidR="00C617A9" w:rsidRPr="00C617A9">
        <w:rPr>
          <w:rFonts w:ascii="Times New Roman" w:eastAsia="Times New Roman" w:hAnsi="Times New Roman" w:cs="Times New Roman"/>
          <w:kern w:val="0"/>
          <w:sz w:val="20"/>
          <w:szCs w:val="20"/>
          <w:lang w:val="uz-Cyrl-UZ"/>
          <w14:ligatures w14:val="none"/>
        </w:rPr>
        <w:t xml:space="preserve"> abordaron temas como la pobreza, la vivienda, el empleo y los derechos civiles. </w:t>
      </w:r>
      <w:r w:rsidR="00C617A9" w:rsidRPr="00C617A9">
        <w:rPr>
          <w:rFonts w:ascii="Times New Roman" w:eastAsia="Times New Roman" w:hAnsi="Times New Roman" w:cs="Times New Roman"/>
          <w:i/>
          <w:iCs/>
          <w:kern w:val="0"/>
          <w:sz w:val="20"/>
          <w:szCs w:val="20"/>
          <w:lang w:val="uz-Cyrl-UZ"/>
          <w14:ligatures w14:val="none"/>
        </w:rPr>
        <w:t>Véase</w:t>
      </w:r>
      <w:r w:rsidR="00C617A9" w:rsidRPr="00C617A9">
        <w:rPr>
          <w:rFonts w:ascii="Times New Roman" w:eastAsia="Times New Roman" w:hAnsi="Times New Roman" w:cs="Times New Roman"/>
          <w:kern w:val="0"/>
          <w:sz w:val="20"/>
          <w:szCs w:val="20"/>
          <w:lang w:val="uz-Cyrl-UZ"/>
          <w14:ligatures w14:val="none"/>
        </w:rPr>
        <w:t xml:space="preserve"> Lyndon Baines Johnson, </w:t>
      </w:r>
      <w:r w:rsidR="00C617A9" w:rsidRPr="00C617A9">
        <w:rPr>
          <w:rFonts w:ascii="Times New Roman" w:eastAsia="Times New Roman" w:hAnsi="Times New Roman" w:cs="Times New Roman"/>
          <w:i/>
          <w:iCs/>
          <w:kern w:val="0"/>
          <w:sz w:val="20"/>
          <w:szCs w:val="20"/>
          <w:lang w:val="uz-Cyrl-UZ"/>
          <w14:ligatures w14:val="none"/>
        </w:rPr>
        <w:t>The Vantage Point: Perspectives of the Presidency, 1963–1969</w:t>
      </w:r>
      <w:r w:rsidR="00C617A9" w:rsidRPr="00C617A9">
        <w:rPr>
          <w:rFonts w:ascii="Times New Roman" w:eastAsia="Times New Roman" w:hAnsi="Times New Roman" w:cs="Times New Roman"/>
          <w:kern w:val="0"/>
          <w:sz w:val="20"/>
          <w:szCs w:val="20"/>
          <w:lang w:val="uz-Cyrl-UZ"/>
          <w14:ligatures w14:val="none"/>
        </w:rPr>
        <w:t xml:space="preserve"> (1971).</w:t>
      </w:r>
      <w:r w:rsidR="005178C1" w:rsidRPr="001B2FFE">
        <w:rPr>
          <w:rFonts w:ascii="Times New Roman" w:eastAsia="Times New Roman" w:hAnsi="Times New Roman" w:cs="Times New Roman"/>
          <w:kern w:val="0"/>
          <w:sz w:val="20"/>
          <w:szCs w:val="20"/>
          <w:lang w:val="uz-Cyrl-UZ"/>
          <w14:ligatures w14:val="none"/>
        </w:rPr>
        <w:t xml:space="preserve"> </w:t>
      </w:r>
      <w:r w:rsidR="00C617A9" w:rsidRPr="00C617A9">
        <w:rPr>
          <w:rFonts w:ascii="Times New Roman" w:eastAsia="Times New Roman" w:hAnsi="Times New Roman" w:cs="Times New Roman"/>
          <w:kern w:val="0"/>
          <w:sz w:val="20"/>
          <w:szCs w:val="20"/>
          <w:lang w:val="uz-Cyrl-UZ"/>
          <w14:ligatures w14:val="none"/>
        </w:rPr>
        <w:t xml:space="preserve">La Gran Sociedad de los años 60, a su vez, se basó en las innovaciones “liberales” del </w:t>
      </w:r>
      <w:r w:rsidR="00C617A9" w:rsidRPr="00C617A9">
        <w:rPr>
          <w:rFonts w:ascii="Times New Roman" w:eastAsia="Times New Roman" w:hAnsi="Times New Roman" w:cs="Times New Roman"/>
          <w:i/>
          <w:iCs/>
          <w:kern w:val="0"/>
          <w:sz w:val="20"/>
          <w:szCs w:val="20"/>
          <w:lang w:val="uz-Cyrl-UZ"/>
          <w14:ligatures w14:val="none"/>
        </w:rPr>
        <w:t>New Deal</w:t>
      </w:r>
      <w:r w:rsidR="005178C1" w:rsidRPr="001B2FFE">
        <w:rPr>
          <w:rFonts w:ascii="Times New Roman" w:eastAsia="Times New Roman" w:hAnsi="Times New Roman" w:cs="Times New Roman"/>
          <w:kern w:val="0"/>
          <w:sz w:val="20"/>
          <w:szCs w:val="20"/>
          <w:lang w:val="uz-Cyrl-UZ"/>
          <w14:ligatures w14:val="none"/>
        </w:rPr>
        <w:t xml:space="preserve">, </w:t>
      </w:r>
      <w:r w:rsidR="00C617A9" w:rsidRPr="00C617A9">
        <w:rPr>
          <w:rFonts w:ascii="Times New Roman" w:eastAsia="Times New Roman" w:hAnsi="Times New Roman" w:cs="Times New Roman"/>
          <w:kern w:val="0"/>
          <w:sz w:val="20"/>
          <w:szCs w:val="20"/>
          <w:lang w:val="uz-Cyrl-UZ"/>
          <w14:ligatures w14:val="none"/>
        </w:rPr>
        <w:t xml:space="preserve">de la década de 1930. </w:t>
      </w:r>
      <w:r w:rsidR="00C617A9" w:rsidRPr="00C617A9">
        <w:rPr>
          <w:rFonts w:ascii="Times New Roman" w:eastAsia="Times New Roman" w:hAnsi="Times New Roman" w:cs="Times New Roman"/>
          <w:i/>
          <w:iCs/>
          <w:kern w:val="0"/>
          <w:sz w:val="20"/>
          <w:szCs w:val="20"/>
          <w:lang w:val="uz-Cyrl-UZ"/>
          <w14:ligatures w14:val="none"/>
        </w:rPr>
        <w:t>Véase</w:t>
      </w:r>
      <w:r w:rsidR="00C617A9" w:rsidRPr="00C617A9">
        <w:rPr>
          <w:rFonts w:ascii="Times New Roman" w:eastAsia="Times New Roman" w:hAnsi="Times New Roman" w:cs="Times New Roman"/>
          <w:kern w:val="0"/>
          <w:sz w:val="20"/>
          <w:szCs w:val="20"/>
          <w:lang w:val="uz-Cyrl-UZ"/>
          <w14:ligatures w14:val="none"/>
        </w:rPr>
        <w:t xml:space="preserve"> William E. Leuchtenberg, </w:t>
      </w:r>
      <w:r w:rsidR="00C617A9" w:rsidRPr="00C617A9">
        <w:rPr>
          <w:rFonts w:ascii="Times New Roman" w:eastAsia="Times New Roman" w:hAnsi="Times New Roman" w:cs="Times New Roman"/>
          <w:i/>
          <w:iCs/>
          <w:kern w:val="0"/>
          <w:sz w:val="20"/>
          <w:szCs w:val="20"/>
          <w:lang w:val="uz-Cyrl-UZ"/>
          <w14:ligatures w14:val="none"/>
        </w:rPr>
        <w:t>Franklin D. Roosevelt and the New Deal, 1932–1940</w:t>
      </w:r>
      <w:r w:rsidR="00C617A9" w:rsidRPr="00C617A9">
        <w:rPr>
          <w:rFonts w:ascii="Times New Roman" w:eastAsia="Times New Roman" w:hAnsi="Times New Roman" w:cs="Times New Roman"/>
          <w:kern w:val="0"/>
          <w:sz w:val="20"/>
          <w:szCs w:val="20"/>
          <w:lang w:val="uz-Cyrl-UZ"/>
          <w14:ligatures w14:val="none"/>
        </w:rPr>
        <w:t>.</w:t>
      </w:r>
      <w:r w:rsidR="005178C1" w:rsidRPr="001B2FFE">
        <w:rPr>
          <w:rFonts w:ascii="Times New Roman" w:eastAsia="Times New Roman" w:hAnsi="Times New Roman" w:cs="Times New Roman"/>
          <w:kern w:val="0"/>
          <w:sz w:val="20"/>
          <w:szCs w:val="20"/>
          <w:lang w:val="uz-Cyrl-UZ"/>
          <w14:ligatures w14:val="none"/>
        </w:rPr>
        <w:t xml:space="preserve"> </w:t>
      </w:r>
      <w:r w:rsidR="00C617A9" w:rsidRPr="00C617A9">
        <w:rPr>
          <w:rFonts w:ascii="Times New Roman" w:eastAsia="Times New Roman" w:hAnsi="Times New Roman" w:cs="Times New Roman"/>
          <w:kern w:val="0"/>
          <w:sz w:val="20"/>
          <w:szCs w:val="20"/>
          <w:lang w:val="uz-Cyrl-UZ"/>
          <w14:ligatures w14:val="none"/>
        </w:rPr>
        <w:t>Las guerras culturales buscan revertir ambos procesos: los legados de esta segunda Reconstrucción, al igual que los de la primera</w:t>
      </w:r>
      <w:r w:rsidR="00DD76F8" w:rsidRPr="001B2FFE">
        <w:rPr>
          <w:rFonts w:ascii="Times New Roman" w:eastAsia="Times New Roman" w:hAnsi="Times New Roman" w:cs="Times New Roman"/>
          <w:kern w:val="0"/>
          <w:sz w:val="20"/>
          <w:szCs w:val="20"/>
          <w:lang w:val="uz-Cyrl-UZ"/>
          <w14:ligatures w14:val="none"/>
        </w:rPr>
        <w:t>. Estas obstaculizan ambos procesos</w:t>
      </w:r>
      <w:r w:rsidR="00C617A9" w:rsidRPr="00C617A9">
        <w:rPr>
          <w:rFonts w:ascii="Times New Roman" w:eastAsia="Times New Roman" w:hAnsi="Times New Roman" w:cs="Times New Roman"/>
          <w:kern w:val="0"/>
          <w:sz w:val="20"/>
          <w:szCs w:val="20"/>
          <w:lang w:val="uz-Cyrl-UZ"/>
          <w14:ligatures w14:val="none"/>
        </w:rPr>
        <w:t xml:space="preserve">, </w:t>
      </w:r>
      <w:r w:rsidR="00DD76F8" w:rsidRPr="001B2FFE">
        <w:rPr>
          <w:rFonts w:ascii="Times New Roman" w:eastAsia="Times New Roman" w:hAnsi="Times New Roman" w:cs="Times New Roman"/>
          <w:kern w:val="0"/>
          <w:sz w:val="20"/>
          <w:szCs w:val="20"/>
          <w:lang w:val="uz-Cyrl-UZ"/>
          <w14:ligatures w14:val="none"/>
        </w:rPr>
        <w:t xml:space="preserve">a través de </w:t>
      </w:r>
      <w:r w:rsidR="00C617A9" w:rsidRPr="00C617A9">
        <w:rPr>
          <w:rFonts w:ascii="Times New Roman" w:eastAsia="Times New Roman" w:hAnsi="Times New Roman" w:cs="Times New Roman"/>
          <w:kern w:val="0"/>
          <w:sz w:val="20"/>
          <w:szCs w:val="20"/>
          <w:lang w:val="uz-Cyrl-UZ"/>
          <w14:ligatures w14:val="none"/>
        </w:rPr>
        <w:t>la resistencia reaccionaria</w:t>
      </w:r>
      <w:r w:rsidR="00DD76F8" w:rsidRPr="001B2FFE">
        <w:rPr>
          <w:rFonts w:ascii="Times New Roman" w:eastAsia="Times New Roman" w:hAnsi="Times New Roman" w:cs="Times New Roman"/>
          <w:kern w:val="0"/>
          <w:sz w:val="20"/>
          <w:szCs w:val="20"/>
          <w:lang w:val="uz-Cyrl-UZ"/>
          <w14:ligatures w14:val="none"/>
        </w:rPr>
        <w:t xml:space="preserve">; incluído </w:t>
      </w:r>
      <w:r w:rsidR="00C617A9" w:rsidRPr="00C617A9">
        <w:rPr>
          <w:rFonts w:ascii="Times New Roman" w:eastAsia="Times New Roman" w:hAnsi="Times New Roman" w:cs="Times New Roman"/>
          <w:kern w:val="0"/>
          <w:sz w:val="20"/>
          <w:szCs w:val="20"/>
          <w:lang w:val="uz-Cyrl-UZ"/>
          <w14:ligatures w14:val="none"/>
        </w:rPr>
        <w:t xml:space="preserve">el “sabotaje” judicial. </w:t>
      </w:r>
      <w:r w:rsidR="00C617A9" w:rsidRPr="00C617A9">
        <w:rPr>
          <w:rFonts w:ascii="Times New Roman" w:eastAsia="Times New Roman" w:hAnsi="Times New Roman" w:cs="Times New Roman"/>
          <w:i/>
          <w:iCs/>
          <w:kern w:val="0"/>
          <w:sz w:val="20"/>
          <w:szCs w:val="20"/>
          <w:lang w:val="uz-Cyrl-UZ"/>
          <w14:ligatures w14:val="none"/>
        </w:rPr>
        <w:t>Véase</w:t>
      </w:r>
      <w:r w:rsidR="00C617A9" w:rsidRPr="00C617A9">
        <w:rPr>
          <w:rFonts w:ascii="Times New Roman" w:eastAsia="Times New Roman" w:hAnsi="Times New Roman" w:cs="Times New Roman"/>
          <w:kern w:val="0"/>
          <w:sz w:val="20"/>
          <w:szCs w:val="20"/>
          <w:lang w:val="uz-Cyrl-UZ"/>
          <w14:ligatures w14:val="none"/>
        </w:rPr>
        <w:t xml:space="preserve"> Erwin Chemerinsky, </w:t>
      </w:r>
      <w:r w:rsidR="00C617A9" w:rsidRPr="00C617A9">
        <w:rPr>
          <w:rFonts w:ascii="Times New Roman" w:eastAsia="Times New Roman" w:hAnsi="Times New Roman" w:cs="Times New Roman"/>
          <w:i/>
          <w:iCs/>
          <w:kern w:val="0"/>
          <w:sz w:val="20"/>
          <w:szCs w:val="20"/>
          <w:lang w:val="uz-Cyrl-UZ"/>
          <w14:ligatures w14:val="none"/>
        </w:rPr>
        <w:t>The Segregation and Resegregation of American Public Education: The Courts’ Role</w:t>
      </w:r>
      <w:r w:rsidR="00C617A9" w:rsidRPr="00C617A9">
        <w:rPr>
          <w:rFonts w:ascii="Times New Roman" w:eastAsia="Times New Roman" w:hAnsi="Times New Roman" w:cs="Times New Roman"/>
          <w:kern w:val="0"/>
          <w:sz w:val="20"/>
          <w:szCs w:val="20"/>
          <w:lang w:val="uz-Cyrl-UZ"/>
          <w14:ligatures w14:val="none"/>
        </w:rPr>
        <w:t xml:space="preserve">, 81 </w:t>
      </w:r>
      <w:r w:rsidR="00C617A9" w:rsidRPr="00C617A9">
        <w:rPr>
          <w:rFonts w:ascii="Times New Roman" w:eastAsia="Times New Roman" w:hAnsi="Times New Roman" w:cs="Times New Roman"/>
          <w:i/>
          <w:iCs/>
          <w:kern w:val="0"/>
          <w:sz w:val="20"/>
          <w:szCs w:val="20"/>
          <w:lang w:val="uz-Cyrl-UZ"/>
          <w14:ligatures w14:val="none"/>
        </w:rPr>
        <w:t>University of North Carolina Law Review</w:t>
      </w:r>
      <w:r w:rsidR="00C617A9" w:rsidRPr="00C617A9">
        <w:rPr>
          <w:rFonts w:ascii="Times New Roman" w:eastAsia="Times New Roman" w:hAnsi="Times New Roman" w:cs="Times New Roman"/>
          <w:kern w:val="0"/>
          <w:sz w:val="20"/>
          <w:szCs w:val="20"/>
          <w:lang w:val="uz-Cyrl-UZ"/>
          <w14:ligatures w14:val="none"/>
        </w:rPr>
        <w:t xml:space="preserve"> 1597 (2003).</w:t>
      </w:r>
      <w:r w:rsidR="00DD76F8" w:rsidRPr="001B2FFE">
        <w:rPr>
          <w:rFonts w:ascii="Times New Roman" w:eastAsia="Times New Roman" w:hAnsi="Times New Roman" w:cs="Times New Roman"/>
          <w:kern w:val="0"/>
          <w:sz w:val="20"/>
          <w:szCs w:val="20"/>
          <w:lang w:val="uz-Cyrl-UZ"/>
          <w14:ligatures w14:val="none"/>
        </w:rPr>
        <w:t xml:space="preserve"> </w:t>
      </w:r>
      <w:r w:rsidR="00C617A9" w:rsidRPr="00C617A9">
        <w:rPr>
          <w:rFonts w:ascii="Times New Roman" w:eastAsia="Times New Roman" w:hAnsi="Times New Roman" w:cs="Times New Roman"/>
          <w:i/>
          <w:iCs/>
          <w:kern w:val="0"/>
          <w:sz w:val="20"/>
          <w:szCs w:val="20"/>
          <w:lang w:val="uz-Cyrl-UZ"/>
          <w14:ligatures w14:val="none"/>
        </w:rPr>
        <w:t>Véase</w:t>
      </w:r>
      <w:r w:rsidR="00C617A9" w:rsidRPr="00C617A9">
        <w:rPr>
          <w:rFonts w:ascii="Times New Roman" w:eastAsia="Times New Roman" w:hAnsi="Times New Roman" w:cs="Times New Roman"/>
          <w:kern w:val="0"/>
          <w:sz w:val="20"/>
          <w:szCs w:val="20"/>
          <w:lang w:val="uz-Cyrl-UZ"/>
          <w14:ligatures w14:val="none"/>
        </w:rPr>
        <w:t xml:space="preserve">, en general: Derrick Bell, </w:t>
      </w:r>
      <w:r w:rsidR="00C617A9" w:rsidRPr="00C617A9">
        <w:rPr>
          <w:rFonts w:ascii="Times New Roman" w:eastAsia="Times New Roman" w:hAnsi="Times New Roman" w:cs="Times New Roman"/>
          <w:i/>
          <w:iCs/>
          <w:kern w:val="0"/>
          <w:sz w:val="20"/>
          <w:szCs w:val="20"/>
          <w:lang w:val="uz-Cyrl-UZ"/>
          <w14:ligatures w14:val="none"/>
        </w:rPr>
        <w:t>Silent Covenants: Brown v. Board of Education and the Unfulfilled Hopes for Racial Reform</w:t>
      </w:r>
      <w:r w:rsidR="00C617A9" w:rsidRPr="00C617A9">
        <w:rPr>
          <w:rFonts w:ascii="Times New Roman" w:eastAsia="Times New Roman" w:hAnsi="Times New Roman" w:cs="Times New Roman"/>
          <w:kern w:val="0"/>
          <w:sz w:val="20"/>
          <w:szCs w:val="20"/>
          <w:lang w:val="uz-Cyrl-UZ"/>
          <w14:ligatures w14:val="none"/>
        </w:rPr>
        <w:t xml:space="preserve"> (2004); Mary Dudziak, </w:t>
      </w:r>
      <w:r w:rsidR="00C617A9" w:rsidRPr="00C617A9">
        <w:rPr>
          <w:rFonts w:ascii="Times New Roman" w:eastAsia="Times New Roman" w:hAnsi="Times New Roman" w:cs="Times New Roman"/>
          <w:i/>
          <w:iCs/>
          <w:kern w:val="0"/>
          <w:sz w:val="20"/>
          <w:szCs w:val="20"/>
          <w:lang w:val="uz-Cyrl-UZ"/>
          <w14:ligatures w14:val="none"/>
        </w:rPr>
        <w:t>Cold War Civil Rights: Race and the Image of American Democracy</w:t>
      </w:r>
      <w:r w:rsidR="00C617A9" w:rsidRPr="00C617A9">
        <w:rPr>
          <w:rFonts w:ascii="Times New Roman" w:eastAsia="Times New Roman" w:hAnsi="Times New Roman" w:cs="Times New Roman"/>
          <w:kern w:val="0"/>
          <w:sz w:val="20"/>
          <w:szCs w:val="20"/>
          <w:lang w:val="uz-Cyrl-UZ"/>
          <w14:ligatures w14:val="none"/>
        </w:rPr>
        <w:t xml:space="preserve"> (2000); Robert S. Chang y Jerome McCristal Culp, Jr., </w:t>
      </w:r>
      <w:r w:rsidR="00C617A9" w:rsidRPr="00C617A9">
        <w:rPr>
          <w:rFonts w:ascii="Times New Roman" w:eastAsia="Times New Roman" w:hAnsi="Times New Roman" w:cs="Times New Roman"/>
          <w:i/>
          <w:iCs/>
          <w:kern w:val="0"/>
          <w:sz w:val="20"/>
          <w:szCs w:val="20"/>
          <w:lang w:val="uz-Cyrl-UZ"/>
          <w14:ligatures w14:val="none"/>
        </w:rPr>
        <w:t>Business as Usual?: Brown and the Continuing Conundrum of Race in America</w:t>
      </w:r>
      <w:r w:rsidR="00C617A9" w:rsidRPr="00C617A9">
        <w:rPr>
          <w:rFonts w:ascii="Times New Roman" w:eastAsia="Times New Roman" w:hAnsi="Times New Roman" w:cs="Times New Roman"/>
          <w:kern w:val="0"/>
          <w:sz w:val="20"/>
          <w:szCs w:val="20"/>
          <w:lang w:val="uz-Cyrl-UZ"/>
          <w14:ligatures w14:val="none"/>
        </w:rPr>
        <w:t xml:space="preserve">, 2004 </w:t>
      </w:r>
      <w:r w:rsidR="00C617A9" w:rsidRPr="00C617A9">
        <w:rPr>
          <w:rFonts w:ascii="Times New Roman" w:eastAsia="Times New Roman" w:hAnsi="Times New Roman" w:cs="Times New Roman"/>
          <w:i/>
          <w:iCs/>
          <w:kern w:val="0"/>
          <w:sz w:val="20"/>
          <w:szCs w:val="20"/>
          <w:lang w:val="uz-Cyrl-UZ"/>
          <w14:ligatures w14:val="none"/>
        </w:rPr>
        <w:t>University of Illinois Law Review</w:t>
      </w:r>
      <w:r w:rsidR="00C617A9" w:rsidRPr="00C617A9">
        <w:rPr>
          <w:rFonts w:ascii="Times New Roman" w:eastAsia="Times New Roman" w:hAnsi="Times New Roman" w:cs="Times New Roman"/>
          <w:kern w:val="0"/>
          <w:sz w:val="20"/>
          <w:szCs w:val="20"/>
          <w:lang w:val="uz-Cyrl-UZ"/>
          <w14:ligatures w14:val="none"/>
        </w:rPr>
        <w:t xml:space="preserve"> 1181 (2004); Michael Klarman, </w:t>
      </w:r>
      <w:r w:rsidR="00C617A9" w:rsidRPr="00C617A9">
        <w:rPr>
          <w:rFonts w:ascii="Times New Roman" w:eastAsia="Times New Roman" w:hAnsi="Times New Roman" w:cs="Times New Roman"/>
          <w:i/>
          <w:iCs/>
          <w:kern w:val="0"/>
          <w:sz w:val="20"/>
          <w:szCs w:val="20"/>
          <w:lang w:val="uz-Cyrl-UZ"/>
          <w14:ligatures w14:val="none"/>
        </w:rPr>
        <w:t>Rethinking the Civil Rights and Civil Liberties Revolutions</w:t>
      </w:r>
      <w:r w:rsidR="00C617A9" w:rsidRPr="00C617A9">
        <w:rPr>
          <w:rFonts w:ascii="Times New Roman" w:eastAsia="Times New Roman" w:hAnsi="Times New Roman" w:cs="Times New Roman"/>
          <w:kern w:val="0"/>
          <w:sz w:val="20"/>
          <w:szCs w:val="20"/>
          <w:lang w:val="uz-Cyrl-UZ"/>
          <w14:ligatures w14:val="none"/>
        </w:rPr>
        <w:t xml:space="preserve">, 82 </w:t>
      </w:r>
      <w:r w:rsidR="00C617A9" w:rsidRPr="00C617A9">
        <w:rPr>
          <w:rFonts w:ascii="Times New Roman" w:eastAsia="Times New Roman" w:hAnsi="Times New Roman" w:cs="Times New Roman"/>
          <w:i/>
          <w:iCs/>
          <w:kern w:val="0"/>
          <w:sz w:val="20"/>
          <w:szCs w:val="20"/>
          <w:lang w:val="uz-Cyrl-UZ"/>
          <w14:ligatures w14:val="none"/>
        </w:rPr>
        <w:t>Virginia Law Review</w:t>
      </w:r>
      <w:r w:rsidR="00C617A9" w:rsidRPr="00C617A9">
        <w:rPr>
          <w:rFonts w:ascii="Times New Roman" w:eastAsia="Times New Roman" w:hAnsi="Times New Roman" w:cs="Times New Roman"/>
          <w:kern w:val="0"/>
          <w:sz w:val="20"/>
          <w:szCs w:val="20"/>
          <w:lang w:val="uz-Cyrl-UZ"/>
          <w14:ligatures w14:val="none"/>
        </w:rPr>
        <w:t xml:space="preserve"> 1 (1996).</w:t>
      </w:r>
    </w:p>
  </w:footnote>
  <w:footnote w:id="8">
    <w:p w14:paraId="7D6C92CF" w14:textId="77777777" w:rsidR="001932E2" w:rsidRPr="001B2FFE" w:rsidRDefault="001932E2" w:rsidP="001932E2">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James E. Jones, Jr., </w:t>
      </w:r>
      <w:r w:rsidRPr="001B2FFE">
        <w:rPr>
          <w:rStyle w:val="Emphasis"/>
          <w:rFonts w:ascii="Times New Roman" w:hAnsi="Times New Roman" w:cs="Times New Roman"/>
          <w:sz w:val="20"/>
          <w:szCs w:val="20"/>
        </w:rPr>
        <w:t>Origins of Affirmative Action</w:t>
      </w:r>
      <w:r w:rsidRPr="001B2FFE">
        <w:rPr>
          <w:rFonts w:ascii="Times New Roman" w:hAnsi="Times New Roman" w:cs="Times New Roman"/>
          <w:sz w:val="20"/>
          <w:szCs w:val="20"/>
        </w:rPr>
        <w:t xml:space="preserve">, 21 </w:t>
      </w:r>
      <w:r w:rsidRPr="001B2FFE">
        <w:rPr>
          <w:rStyle w:val="Emphasis"/>
          <w:rFonts w:ascii="Times New Roman" w:hAnsi="Times New Roman" w:cs="Times New Roman"/>
          <w:sz w:val="20"/>
          <w:szCs w:val="20"/>
        </w:rPr>
        <w:t>University of California Davis Law Review</w:t>
      </w:r>
      <w:r w:rsidRPr="001B2FFE">
        <w:rPr>
          <w:rFonts w:ascii="Times New Roman" w:hAnsi="Times New Roman" w:cs="Times New Roman"/>
          <w:sz w:val="20"/>
          <w:szCs w:val="20"/>
        </w:rPr>
        <w:t xml:space="preserve"> 383–420 (1988).</w:t>
      </w:r>
    </w:p>
  </w:footnote>
  <w:footnote w:id="9">
    <w:p w14:paraId="1DC4BFA8" w14:textId="77777777" w:rsidR="001932E2" w:rsidRPr="001B2FFE" w:rsidRDefault="001932E2" w:rsidP="001932E2">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en general: Duncan Kennedy, </w:t>
      </w:r>
      <w:r w:rsidRPr="001B2FFE">
        <w:rPr>
          <w:rStyle w:val="Emphasis"/>
          <w:rFonts w:ascii="Times New Roman" w:hAnsi="Times New Roman" w:cs="Times New Roman"/>
          <w:sz w:val="20"/>
          <w:szCs w:val="20"/>
        </w:rPr>
        <w:t>A Critique of Adjudication: Fin de Siècle</w:t>
      </w:r>
      <w:r w:rsidRPr="001B2FFE">
        <w:rPr>
          <w:rFonts w:ascii="Times New Roman" w:hAnsi="Times New Roman" w:cs="Times New Roman"/>
          <w:sz w:val="20"/>
          <w:szCs w:val="20"/>
        </w:rPr>
        <w:t xml:space="preserve"> (1997).</w:t>
      </w:r>
    </w:p>
  </w:footnote>
  <w:footnote w:id="10">
    <w:p w14:paraId="2418510A" w14:textId="77777777" w:rsidR="001932E2" w:rsidRPr="001B2FFE" w:rsidRDefault="001932E2" w:rsidP="001932E2">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Margalynne J. Armstrong y Stephanie M. Wildman, </w:t>
      </w:r>
      <w:r w:rsidRPr="001B2FFE">
        <w:rPr>
          <w:rStyle w:val="Emphasis"/>
          <w:rFonts w:ascii="Times New Roman" w:hAnsi="Times New Roman" w:cs="Times New Roman"/>
          <w:sz w:val="20"/>
          <w:szCs w:val="20"/>
        </w:rPr>
        <w:t>Teaching Race/Teaching Whiteness: Transforming Color Blindness to Color Insight</w:t>
      </w:r>
      <w:r w:rsidRPr="001B2FFE">
        <w:rPr>
          <w:rFonts w:ascii="Times New Roman" w:hAnsi="Times New Roman" w:cs="Times New Roman"/>
          <w:sz w:val="20"/>
          <w:szCs w:val="20"/>
        </w:rPr>
        <w:t xml:space="preserve">, 86 </w:t>
      </w:r>
      <w:r w:rsidRPr="001B2FFE">
        <w:rPr>
          <w:rStyle w:val="Emphasis"/>
          <w:rFonts w:ascii="Times New Roman" w:hAnsi="Times New Roman" w:cs="Times New Roman"/>
          <w:sz w:val="20"/>
          <w:szCs w:val="20"/>
        </w:rPr>
        <w:t>University of North Carolina Law Review</w:t>
      </w:r>
      <w:r w:rsidRPr="001B2FFE">
        <w:rPr>
          <w:rFonts w:ascii="Times New Roman" w:hAnsi="Times New Roman" w:cs="Times New Roman"/>
          <w:sz w:val="20"/>
          <w:szCs w:val="20"/>
        </w:rPr>
        <w:t xml:space="preserve"> 635 (2008).</w:t>
      </w:r>
    </w:p>
  </w:footnote>
  <w:footnote w:id="11">
    <w:p w14:paraId="15951AC5" w14:textId="77777777" w:rsidR="005959BF" w:rsidRPr="001B2FFE" w:rsidRDefault="005959BF" w:rsidP="005959BF">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Pierre Schlag, </w:t>
      </w:r>
      <w:r w:rsidRPr="001B2FFE">
        <w:rPr>
          <w:rStyle w:val="Emphasis"/>
          <w:rFonts w:ascii="Times New Roman" w:hAnsi="Times New Roman" w:cs="Times New Roman"/>
          <w:sz w:val="20"/>
          <w:szCs w:val="20"/>
        </w:rPr>
        <w:t>The Empty Circles of Liberal Justification</w:t>
      </w:r>
      <w:r w:rsidRPr="001B2FFE">
        <w:rPr>
          <w:rFonts w:ascii="Times New Roman" w:hAnsi="Times New Roman" w:cs="Times New Roman"/>
          <w:sz w:val="20"/>
          <w:szCs w:val="20"/>
        </w:rPr>
        <w:t xml:space="preserve">, 96 </w:t>
      </w:r>
      <w:r w:rsidRPr="001B2FFE">
        <w:rPr>
          <w:rStyle w:val="Emphasis"/>
          <w:rFonts w:ascii="Times New Roman" w:hAnsi="Times New Roman" w:cs="Times New Roman"/>
          <w:sz w:val="20"/>
          <w:szCs w:val="20"/>
        </w:rPr>
        <w:t>Michigan Law Review</w:t>
      </w:r>
      <w:r w:rsidRPr="001B2FFE">
        <w:rPr>
          <w:rFonts w:ascii="Times New Roman" w:hAnsi="Times New Roman" w:cs="Times New Roman"/>
          <w:sz w:val="20"/>
          <w:szCs w:val="20"/>
        </w:rPr>
        <w:t xml:space="preserve"> 1 (1990).</w:t>
      </w:r>
    </w:p>
  </w:footnote>
  <w:footnote w:id="12">
    <w:p w14:paraId="67D6D29C" w14:textId="56D7A1C4" w:rsidR="005A1CFC" w:rsidRPr="001B2FFE" w:rsidRDefault="005A1CFC" w:rsidP="005A1CFC">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987964" w:rsidRPr="001B2FFE">
        <w:rPr>
          <w:rFonts w:ascii="Times New Roman" w:hAnsi="Times New Roman" w:cs="Times New Roman"/>
          <w:i/>
          <w:iCs/>
          <w:sz w:val="20"/>
          <w:szCs w:val="20"/>
        </w:rPr>
        <w:t>Véase</w:t>
      </w:r>
      <w:r w:rsidR="00987964" w:rsidRPr="001B2FFE">
        <w:rPr>
          <w:rFonts w:ascii="Times New Roman" w:hAnsi="Times New Roman" w:cs="Times New Roman"/>
          <w:sz w:val="20"/>
          <w:szCs w:val="20"/>
        </w:rPr>
        <w:t xml:space="preserve">, en general: </w:t>
      </w:r>
      <w:r w:rsidR="00987964" w:rsidRPr="001B2FFE">
        <w:rPr>
          <w:rFonts w:ascii="Times New Roman" w:hAnsi="Times New Roman" w:cs="Times New Roman"/>
          <w:i/>
          <w:iCs/>
          <w:sz w:val="20"/>
          <w:szCs w:val="20"/>
        </w:rPr>
        <w:t>Symposium, Minority Critiques of the Critical Legal Studies Movement</w:t>
      </w:r>
      <w:r w:rsidR="00987964" w:rsidRPr="001B2FFE">
        <w:rPr>
          <w:rFonts w:ascii="Times New Roman" w:hAnsi="Times New Roman" w:cs="Times New Roman"/>
          <w:sz w:val="20"/>
          <w:szCs w:val="20"/>
        </w:rPr>
        <w:t xml:space="preserve">, 22 </w:t>
      </w:r>
      <w:r w:rsidR="00987964" w:rsidRPr="001B2FFE">
        <w:rPr>
          <w:rFonts w:ascii="Times New Roman" w:hAnsi="Times New Roman" w:cs="Times New Roman"/>
          <w:i/>
          <w:iCs/>
          <w:sz w:val="20"/>
          <w:szCs w:val="20"/>
        </w:rPr>
        <w:t>Harvard Civil Rights–Civil Liberties Law Review</w:t>
      </w:r>
      <w:r w:rsidR="00987964" w:rsidRPr="001B2FFE">
        <w:rPr>
          <w:rFonts w:ascii="Times New Roman" w:hAnsi="Times New Roman" w:cs="Times New Roman"/>
          <w:sz w:val="20"/>
          <w:szCs w:val="20"/>
        </w:rPr>
        <w:t xml:space="preserve"> 297 (1987).</w:t>
      </w:r>
    </w:p>
  </w:footnote>
  <w:footnote w:id="13">
    <w:p w14:paraId="21822F99" w14:textId="77777777" w:rsidR="0038382A" w:rsidRPr="00F779B8" w:rsidRDefault="0038382A" w:rsidP="0038382A">
      <w:pPr>
        <w:spacing w:after="0" w:line="240" w:lineRule="auto"/>
        <w:rPr>
          <w:rFonts w:ascii="Times New Roman" w:hAnsi="Times New Roman" w:cs="Times New Roman"/>
          <w:sz w:val="20"/>
          <w:szCs w:val="20"/>
          <w:lang w:val="uz-Cyrl-UZ"/>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sz w:val="20"/>
          <w:szCs w:val="20"/>
          <w:lang w:val="uz-Cyrl-UZ"/>
        </w:rPr>
        <w:t xml:space="preserve">Para lecturas de contexto, </w:t>
      </w:r>
      <w:r w:rsidRPr="001B2FFE">
        <w:rPr>
          <w:rFonts w:ascii="Times New Roman" w:hAnsi="Times New Roman" w:cs="Times New Roman"/>
          <w:i/>
          <w:iCs/>
          <w:sz w:val="20"/>
          <w:szCs w:val="20"/>
          <w:lang w:val="uz-Cyrl-UZ"/>
        </w:rPr>
        <w:t>véase</w:t>
      </w:r>
      <w:r w:rsidRPr="001B2FFE">
        <w:rPr>
          <w:rFonts w:ascii="Times New Roman" w:hAnsi="Times New Roman" w:cs="Times New Roman"/>
          <w:sz w:val="20"/>
          <w:szCs w:val="20"/>
          <w:lang w:val="uz-Cyrl-UZ"/>
        </w:rPr>
        <w:t xml:space="preserve">: Richard Delgado y Jean Stefancic, </w:t>
      </w:r>
      <w:r w:rsidRPr="001B2FFE">
        <w:rPr>
          <w:rFonts w:ascii="Times New Roman" w:hAnsi="Times New Roman" w:cs="Times New Roman"/>
          <w:i/>
          <w:iCs/>
          <w:sz w:val="20"/>
          <w:szCs w:val="20"/>
          <w:lang w:val="uz-Cyrl-UZ"/>
        </w:rPr>
        <w:t>Critical Race Theory: An Introduction</w:t>
      </w:r>
      <w:r w:rsidRPr="001B2FFE">
        <w:rPr>
          <w:rFonts w:ascii="Times New Roman" w:hAnsi="Times New Roman" w:cs="Times New Roman"/>
          <w:sz w:val="20"/>
          <w:szCs w:val="20"/>
          <w:lang w:val="uz-Cyrl-UZ"/>
        </w:rPr>
        <w:t xml:space="preserve"> (2.ª ed., 2012); </w:t>
      </w:r>
      <w:r w:rsidRPr="001B2FFE">
        <w:rPr>
          <w:rFonts w:ascii="Times New Roman" w:hAnsi="Times New Roman" w:cs="Times New Roman"/>
          <w:i/>
          <w:iCs/>
          <w:sz w:val="20"/>
          <w:szCs w:val="20"/>
          <w:lang w:val="uz-Cyrl-UZ"/>
        </w:rPr>
        <w:t>Histories, Crossroads and a New Critical Race Theory</w:t>
      </w:r>
      <w:r w:rsidRPr="001B2FFE">
        <w:rPr>
          <w:rFonts w:ascii="Times New Roman" w:hAnsi="Times New Roman" w:cs="Times New Roman"/>
          <w:sz w:val="20"/>
          <w:szCs w:val="20"/>
          <w:lang w:val="uz-Cyrl-UZ"/>
        </w:rPr>
        <w:t xml:space="preserve"> (Francisco Valdes, Jerome McCristal Culp, Jr. y Angela P. Harris, eds., 2002). </w:t>
      </w:r>
      <w:r w:rsidRPr="00F779B8">
        <w:rPr>
          <w:rFonts w:ascii="Times New Roman" w:hAnsi="Times New Roman" w:cs="Times New Roman"/>
          <w:i/>
          <w:iCs/>
          <w:sz w:val="20"/>
          <w:szCs w:val="20"/>
          <w:lang w:val="uz-Cyrl-UZ"/>
        </w:rPr>
        <w:t>Véase</w:t>
      </w:r>
      <w:r w:rsidRPr="00F779B8">
        <w:rPr>
          <w:rFonts w:ascii="Times New Roman" w:hAnsi="Times New Roman" w:cs="Times New Roman"/>
          <w:sz w:val="20"/>
          <w:szCs w:val="20"/>
          <w:lang w:val="uz-Cyrl-UZ"/>
        </w:rPr>
        <w:t xml:space="preserve"> también: Mari Matsuda, </w:t>
      </w:r>
      <w:r w:rsidRPr="00F779B8">
        <w:rPr>
          <w:rFonts w:ascii="Times New Roman" w:hAnsi="Times New Roman" w:cs="Times New Roman"/>
          <w:i/>
          <w:iCs/>
          <w:sz w:val="20"/>
          <w:szCs w:val="20"/>
          <w:lang w:val="uz-Cyrl-UZ"/>
        </w:rPr>
        <w:t>Where is Your Body? And Other Essays on Race, Gender and Law</w:t>
      </w:r>
      <w:r w:rsidRPr="00F779B8">
        <w:rPr>
          <w:rFonts w:ascii="Times New Roman" w:hAnsi="Times New Roman" w:cs="Times New Roman"/>
          <w:sz w:val="20"/>
          <w:szCs w:val="20"/>
          <w:lang w:val="uz-Cyrl-UZ"/>
        </w:rPr>
        <w:t xml:space="preserve"> (1996); Angela P. Harris, </w:t>
      </w:r>
      <w:r w:rsidRPr="00F779B8">
        <w:rPr>
          <w:rFonts w:ascii="Times New Roman" w:hAnsi="Times New Roman" w:cs="Times New Roman"/>
          <w:i/>
          <w:iCs/>
          <w:sz w:val="20"/>
          <w:szCs w:val="20"/>
          <w:lang w:val="uz-Cyrl-UZ"/>
        </w:rPr>
        <w:t>Race and Essentialism in Feminist Legal Theory</w:t>
      </w:r>
      <w:r w:rsidRPr="00F779B8">
        <w:rPr>
          <w:rFonts w:ascii="Times New Roman" w:hAnsi="Times New Roman" w:cs="Times New Roman"/>
          <w:sz w:val="20"/>
          <w:szCs w:val="20"/>
          <w:lang w:val="uz-Cyrl-UZ"/>
        </w:rPr>
        <w:t xml:space="preserve">, 42 </w:t>
      </w:r>
      <w:r w:rsidRPr="00F779B8">
        <w:rPr>
          <w:rFonts w:ascii="Times New Roman" w:hAnsi="Times New Roman" w:cs="Times New Roman"/>
          <w:i/>
          <w:iCs/>
          <w:sz w:val="20"/>
          <w:szCs w:val="20"/>
          <w:lang w:val="uz-Cyrl-UZ"/>
        </w:rPr>
        <w:t>Stanford Law Review</w:t>
      </w:r>
      <w:r w:rsidRPr="00F779B8">
        <w:rPr>
          <w:rFonts w:ascii="Times New Roman" w:hAnsi="Times New Roman" w:cs="Times New Roman"/>
          <w:sz w:val="20"/>
          <w:szCs w:val="20"/>
          <w:lang w:val="uz-Cyrl-UZ"/>
        </w:rPr>
        <w:t xml:space="preserve"> 581 (1990); Kimberlé Williams Crenshaw, </w:t>
      </w:r>
      <w:r w:rsidRPr="00F779B8">
        <w:rPr>
          <w:rFonts w:ascii="Times New Roman" w:hAnsi="Times New Roman" w:cs="Times New Roman"/>
          <w:i/>
          <w:iCs/>
          <w:sz w:val="20"/>
          <w:szCs w:val="20"/>
          <w:lang w:val="uz-Cyrl-UZ"/>
        </w:rPr>
        <w:t>Race, Reform, and Retrenchment: Transformation and Legitimation in Anti-Discrimination Law</w:t>
      </w:r>
      <w:r w:rsidRPr="00F779B8">
        <w:rPr>
          <w:rFonts w:ascii="Times New Roman" w:hAnsi="Times New Roman" w:cs="Times New Roman"/>
          <w:sz w:val="20"/>
          <w:szCs w:val="20"/>
          <w:lang w:val="uz-Cyrl-UZ"/>
        </w:rPr>
        <w:t xml:space="preserve">, 101 </w:t>
      </w:r>
      <w:r w:rsidRPr="00F779B8">
        <w:rPr>
          <w:rFonts w:ascii="Times New Roman" w:hAnsi="Times New Roman" w:cs="Times New Roman"/>
          <w:i/>
          <w:iCs/>
          <w:sz w:val="20"/>
          <w:szCs w:val="20"/>
          <w:lang w:val="uz-Cyrl-UZ"/>
        </w:rPr>
        <w:t>Harvard Law Review</w:t>
      </w:r>
      <w:r w:rsidRPr="00F779B8">
        <w:rPr>
          <w:rFonts w:ascii="Times New Roman" w:hAnsi="Times New Roman" w:cs="Times New Roman"/>
          <w:sz w:val="20"/>
          <w:szCs w:val="20"/>
          <w:lang w:val="uz-Cyrl-UZ"/>
        </w:rPr>
        <w:t xml:space="preserve"> 1331 (1988).</w:t>
      </w:r>
    </w:p>
    <w:p w14:paraId="1A68CA04" w14:textId="77777777" w:rsidR="0038382A" w:rsidRPr="001B2FFE" w:rsidRDefault="0038382A" w:rsidP="0038382A">
      <w:pPr>
        <w:spacing w:after="0" w:line="240" w:lineRule="auto"/>
        <w:rPr>
          <w:rFonts w:ascii="Times New Roman" w:hAnsi="Times New Roman" w:cs="Times New Roman"/>
          <w:sz w:val="20"/>
          <w:szCs w:val="20"/>
        </w:rPr>
      </w:pPr>
    </w:p>
  </w:footnote>
  <w:footnote w:id="14">
    <w:p w14:paraId="476CBAC1" w14:textId="77777777" w:rsidR="000E1FE7" w:rsidRPr="001B2FFE" w:rsidRDefault="000E1FE7" w:rsidP="000E1FE7">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en general: Francisco Valdes, </w:t>
      </w:r>
      <w:r w:rsidRPr="001B2FFE">
        <w:rPr>
          <w:rFonts w:ascii="Times New Roman" w:hAnsi="Times New Roman" w:cs="Times New Roman"/>
          <w:i/>
          <w:iCs/>
          <w:sz w:val="20"/>
          <w:szCs w:val="20"/>
        </w:rPr>
        <w:t>Outsider Scholars, Legal Theory, and OutCrit Perspectivity: Postsubordination Vision as Jurisprudential Method</w:t>
      </w:r>
      <w:r w:rsidRPr="001B2FFE">
        <w:rPr>
          <w:rFonts w:ascii="Times New Roman" w:hAnsi="Times New Roman" w:cs="Times New Roman"/>
          <w:sz w:val="20"/>
          <w:szCs w:val="20"/>
        </w:rPr>
        <w:t xml:space="preserve">, 49 </w:t>
      </w:r>
      <w:r w:rsidRPr="001B2FFE">
        <w:rPr>
          <w:rFonts w:ascii="Times New Roman" w:hAnsi="Times New Roman" w:cs="Times New Roman"/>
          <w:i/>
          <w:iCs/>
          <w:sz w:val="20"/>
          <w:szCs w:val="20"/>
        </w:rPr>
        <w:t>DePaul Law Review</w:t>
      </w:r>
      <w:r w:rsidRPr="001B2FFE">
        <w:rPr>
          <w:rFonts w:ascii="Times New Roman" w:hAnsi="Times New Roman" w:cs="Times New Roman"/>
          <w:sz w:val="20"/>
          <w:szCs w:val="20"/>
        </w:rPr>
        <w:t xml:space="preserve"> 831 (2000).</w:t>
      </w:r>
    </w:p>
  </w:footnote>
  <w:footnote w:id="15">
    <w:p w14:paraId="7559A6DF" w14:textId="77777777" w:rsidR="000E1FE7" w:rsidRPr="001B2FFE" w:rsidRDefault="000E1FE7" w:rsidP="000E1FE7">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Para una discusión comparativa,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Francisco Valdes, </w:t>
      </w:r>
      <w:r w:rsidRPr="001B2FFE">
        <w:rPr>
          <w:rFonts w:ascii="Times New Roman" w:hAnsi="Times New Roman" w:cs="Times New Roman"/>
          <w:i/>
          <w:iCs/>
          <w:sz w:val="20"/>
          <w:szCs w:val="20"/>
        </w:rPr>
        <w:t>Theorizing “OutCrit” Theories: Coalitional Method and Comparative Jurisprudential Experience—RaceCrits, QueerCrits, LatCrits</w:t>
      </w:r>
      <w:r w:rsidRPr="001B2FFE">
        <w:rPr>
          <w:rFonts w:ascii="Times New Roman" w:hAnsi="Times New Roman" w:cs="Times New Roman"/>
          <w:sz w:val="20"/>
          <w:szCs w:val="20"/>
        </w:rPr>
        <w:t xml:space="preserve">, 53 </w:t>
      </w:r>
      <w:r w:rsidRPr="001B2FFE">
        <w:rPr>
          <w:rFonts w:ascii="Times New Roman" w:hAnsi="Times New Roman" w:cs="Times New Roman"/>
          <w:i/>
          <w:iCs/>
          <w:sz w:val="20"/>
          <w:szCs w:val="20"/>
        </w:rPr>
        <w:t>University of Miami Law Review</w:t>
      </w:r>
      <w:r w:rsidRPr="001B2FFE">
        <w:rPr>
          <w:rFonts w:ascii="Times New Roman" w:hAnsi="Times New Roman" w:cs="Times New Roman"/>
          <w:sz w:val="20"/>
          <w:szCs w:val="20"/>
        </w:rPr>
        <w:t xml:space="preserve"> 1265 (1999).</w:t>
      </w:r>
    </w:p>
  </w:footnote>
  <w:footnote w:id="16">
    <w:p w14:paraId="17F56EC3" w14:textId="77777777" w:rsidR="0055689B" w:rsidRPr="001B2FFE" w:rsidRDefault="0055689B" w:rsidP="0055689B">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Richard H. Chused, </w:t>
      </w:r>
      <w:r w:rsidRPr="001B2FFE">
        <w:rPr>
          <w:rFonts w:ascii="Times New Roman" w:hAnsi="Times New Roman" w:cs="Times New Roman"/>
          <w:i/>
          <w:iCs/>
          <w:sz w:val="20"/>
          <w:szCs w:val="20"/>
        </w:rPr>
        <w:t>The Hiring and Retention of Minorities and Women on American Law School Faculties</w:t>
      </w:r>
      <w:r w:rsidRPr="001B2FFE">
        <w:rPr>
          <w:rFonts w:ascii="Times New Roman" w:hAnsi="Times New Roman" w:cs="Times New Roman"/>
          <w:sz w:val="20"/>
          <w:szCs w:val="20"/>
        </w:rPr>
        <w:t xml:space="preserve">, 137 </w:t>
      </w:r>
      <w:r w:rsidRPr="001B2FFE">
        <w:rPr>
          <w:rFonts w:ascii="Times New Roman" w:hAnsi="Times New Roman" w:cs="Times New Roman"/>
          <w:i/>
          <w:iCs/>
          <w:sz w:val="20"/>
          <w:szCs w:val="20"/>
        </w:rPr>
        <w:t>University of Pennsylvania Law Review</w:t>
      </w:r>
      <w:r w:rsidRPr="001B2FFE">
        <w:rPr>
          <w:rFonts w:ascii="Times New Roman" w:hAnsi="Times New Roman" w:cs="Times New Roman"/>
          <w:sz w:val="20"/>
          <w:szCs w:val="20"/>
        </w:rPr>
        <w:t xml:space="preserve"> 537, 538 (1988).</w:t>
      </w:r>
    </w:p>
  </w:footnote>
  <w:footnote w:id="17">
    <w:p w14:paraId="3AF6A154" w14:textId="77777777" w:rsidR="005C3FB5" w:rsidRPr="001B2FFE" w:rsidRDefault="005C3FB5" w:rsidP="005C3FB5">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Margaret E. Montoya, </w:t>
      </w:r>
      <w:r w:rsidRPr="001B2FFE">
        <w:rPr>
          <w:rFonts w:ascii="Times New Roman" w:hAnsi="Times New Roman" w:cs="Times New Roman"/>
          <w:i/>
          <w:iCs/>
          <w:sz w:val="20"/>
          <w:szCs w:val="20"/>
        </w:rPr>
        <w:t>Mascaras, Trenzas, y Greñas: Un/Masking the Self While Un/Braiding Latina Stories with Legal Discourse</w:t>
      </w:r>
      <w:r w:rsidRPr="001B2FFE">
        <w:rPr>
          <w:rFonts w:ascii="Times New Roman" w:hAnsi="Times New Roman" w:cs="Times New Roman"/>
          <w:sz w:val="20"/>
          <w:szCs w:val="20"/>
        </w:rPr>
        <w:t xml:space="preserve">, 17 </w:t>
      </w:r>
      <w:r w:rsidRPr="001B2FFE">
        <w:rPr>
          <w:rFonts w:ascii="Times New Roman" w:hAnsi="Times New Roman" w:cs="Times New Roman"/>
          <w:i/>
          <w:iCs/>
          <w:sz w:val="20"/>
          <w:szCs w:val="20"/>
        </w:rPr>
        <w:t>Harvard Journal of Law and Gender</w:t>
      </w:r>
      <w:r w:rsidRPr="001B2FFE">
        <w:rPr>
          <w:rFonts w:ascii="Times New Roman" w:hAnsi="Times New Roman" w:cs="Times New Roman"/>
          <w:sz w:val="20"/>
          <w:szCs w:val="20"/>
        </w:rPr>
        <w:t xml:space="preserve"> 185 (1994); Kathryn Abrams, </w:t>
      </w:r>
      <w:r w:rsidRPr="001B2FFE">
        <w:rPr>
          <w:rFonts w:ascii="Times New Roman" w:hAnsi="Times New Roman" w:cs="Times New Roman"/>
          <w:i/>
          <w:iCs/>
          <w:sz w:val="20"/>
          <w:szCs w:val="20"/>
        </w:rPr>
        <w:t>Hearing the Call of Stories</w:t>
      </w:r>
      <w:r w:rsidRPr="001B2FFE">
        <w:rPr>
          <w:rFonts w:ascii="Times New Roman" w:hAnsi="Times New Roman" w:cs="Times New Roman"/>
          <w:sz w:val="20"/>
          <w:szCs w:val="20"/>
        </w:rPr>
        <w:t xml:space="preserve">, 79 </w:t>
      </w:r>
      <w:r w:rsidRPr="001B2FFE">
        <w:rPr>
          <w:rFonts w:ascii="Times New Roman" w:hAnsi="Times New Roman" w:cs="Times New Roman"/>
          <w:i/>
          <w:iCs/>
          <w:sz w:val="20"/>
          <w:szCs w:val="20"/>
        </w:rPr>
        <w:t>California Law Review</w:t>
      </w:r>
      <w:r w:rsidRPr="001B2FFE">
        <w:rPr>
          <w:rFonts w:ascii="Times New Roman" w:hAnsi="Times New Roman" w:cs="Times New Roman"/>
          <w:sz w:val="20"/>
          <w:szCs w:val="20"/>
        </w:rPr>
        <w:t xml:space="preserve"> 971 (1991).</w:t>
      </w:r>
    </w:p>
  </w:footnote>
  <w:footnote w:id="18">
    <w:p w14:paraId="59540590" w14:textId="77777777" w:rsidR="00511798" w:rsidRPr="001B2FFE" w:rsidRDefault="00511798" w:rsidP="00511798">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Charles R. Lawrence III, </w:t>
      </w:r>
      <w:r w:rsidRPr="001B2FFE">
        <w:rPr>
          <w:rFonts w:ascii="Times New Roman" w:hAnsi="Times New Roman" w:cs="Times New Roman"/>
          <w:i/>
          <w:iCs/>
          <w:sz w:val="20"/>
          <w:szCs w:val="20"/>
        </w:rPr>
        <w:t>The Id, the Ego, and Equal Protection: Reckoning with Unconscious Racism</w:t>
      </w:r>
      <w:r w:rsidRPr="001B2FFE">
        <w:rPr>
          <w:rFonts w:ascii="Times New Roman" w:hAnsi="Times New Roman" w:cs="Times New Roman"/>
          <w:sz w:val="20"/>
          <w:szCs w:val="20"/>
        </w:rPr>
        <w:t xml:space="preserve">, 39 </w:t>
      </w:r>
      <w:r w:rsidRPr="001B2FFE">
        <w:rPr>
          <w:rFonts w:ascii="Times New Roman" w:hAnsi="Times New Roman" w:cs="Times New Roman"/>
          <w:i/>
          <w:iCs/>
          <w:sz w:val="20"/>
          <w:szCs w:val="20"/>
        </w:rPr>
        <w:t>Stanford Law Review</w:t>
      </w:r>
      <w:r w:rsidRPr="001B2FFE">
        <w:rPr>
          <w:rFonts w:ascii="Times New Roman" w:hAnsi="Times New Roman" w:cs="Times New Roman"/>
          <w:sz w:val="20"/>
          <w:szCs w:val="20"/>
        </w:rPr>
        <w:t xml:space="preserve"> 317 (1987).</w:t>
      </w:r>
    </w:p>
  </w:footnote>
  <w:footnote w:id="19">
    <w:p w14:paraId="55859E8A" w14:textId="77777777" w:rsidR="00511798" w:rsidRPr="001B2FFE" w:rsidRDefault="00511798" w:rsidP="00511798">
      <w:pPr>
        <w:spacing w:after="0" w:line="240" w:lineRule="auto"/>
        <w:rPr>
          <w:rFonts w:ascii="Times New Roman" w:eastAsia="Times New Roman" w:hAnsi="Times New Roman" w:cs="Times New Roman"/>
          <w:kern w:val="0"/>
          <w:sz w:val="20"/>
          <w:szCs w:val="20"/>
          <w14:ligatures w14:val="none"/>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eastAsia="Times New Roman" w:hAnsi="Times New Roman" w:cs="Times New Roman"/>
          <w:i/>
          <w:iCs/>
          <w:color w:val="343A40"/>
          <w:kern w:val="0"/>
          <w:sz w:val="20"/>
          <w:szCs w:val="20"/>
          <w:shd w:val="clear" w:color="auto" w:fill="FFFFFF"/>
          <w14:ligatures w14:val="none"/>
        </w:rPr>
        <w:t>Véase</w:t>
      </w:r>
      <w:r w:rsidRPr="001B2FFE">
        <w:rPr>
          <w:rFonts w:ascii="Times New Roman" w:eastAsia="Times New Roman" w:hAnsi="Times New Roman" w:cs="Times New Roman"/>
          <w:color w:val="343A40"/>
          <w:kern w:val="0"/>
          <w:sz w:val="20"/>
          <w:szCs w:val="20"/>
          <w:shd w:val="clear" w:color="auto" w:fill="FFFFFF"/>
          <w14:ligatures w14:val="none"/>
        </w:rPr>
        <w:t xml:space="preserve">: Mari J. Matsuda, </w:t>
      </w:r>
      <w:r w:rsidRPr="001B2FFE">
        <w:rPr>
          <w:rFonts w:ascii="Times New Roman" w:eastAsia="Times New Roman" w:hAnsi="Times New Roman" w:cs="Times New Roman"/>
          <w:i/>
          <w:iCs/>
          <w:color w:val="343A40"/>
          <w:kern w:val="0"/>
          <w:sz w:val="20"/>
          <w:szCs w:val="20"/>
          <w:shd w:val="clear" w:color="auto" w:fill="FFFFFF"/>
          <w14:ligatures w14:val="none"/>
        </w:rPr>
        <w:t>Looking to the Bottom: Critical Legal Studies and Reparations</w:t>
      </w:r>
      <w:r w:rsidRPr="001B2FFE">
        <w:rPr>
          <w:rFonts w:ascii="Times New Roman" w:eastAsia="Times New Roman" w:hAnsi="Times New Roman" w:cs="Times New Roman"/>
          <w:color w:val="343A40"/>
          <w:kern w:val="0"/>
          <w:sz w:val="20"/>
          <w:szCs w:val="20"/>
          <w:shd w:val="clear" w:color="auto" w:fill="FFFFFF"/>
          <w14:ligatures w14:val="none"/>
        </w:rPr>
        <w:t xml:space="preserve">, 22 </w:t>
      </w:r>
      <w:r w:rsidRPr="001B2FFE">
        <w:rPr>
          <w:rFonts w:ascii="Times New Roman" w:eastAsia="Times New Roman" w:hAnsi="Times New Roman" w:cs="Times New Roman"/>
          <w:i/>
          <w:iCs/>
          <w:color w:val="343A40"/>
          <w:kern w:val="0"/>
          <w:sz w:val="20"/>
          <w:szCs w:val="20"/>
          <w:shd w:val="clear" w:color="auto" w:fill="FFFFFF"/>
          <w14:ligatures w14:val="none"/>
        </w:rPr>
        <w:t>Harvard Civil Rights–Civil Liberties Law Review</w:t>
      </w:r>
      <w:r w:rsidRPr="001B2FFE">
        <w:rPr>
          <w:rFonts w:ascii="Times New Roman" w:eastAsia="Times New Roman" w:hAnsi="Times New Roman" w:cs="Times New Roman"/>
          <w:color w:val="343A40"/>
          <w:kern w:val="0"/>
          <w:sz w:val="20"/>
          <w:szCs w:val="20"/>
          <w:shd w:val="clear" w:color="auto" w:fill="FFFFFF"/>
          <w14:ligatures w14:val="none"/>
        </w:rPr>
        <w:t xml:space="preserve"> 323 (1987).</w:t>
      </w:r>
    </w:p>
  </w:footnote>
  <w:footnote w:id="20">
    <w:p w14:paraId="45C58E2E" w14:textId="77777777" w:rsidR="00511798" w:rsidRPr="001B2FFE" w:rsidRDefault="00511798" w:rsidP="00511798">
      <w:pPr>
        <w:pStyle w:val="FootnoteText"/>
        <w:rPr>
          <w:rFonts w:ascii="Times New Roman" w:hAnsi="Times New Roman" w:cs="Times New Roman"/>
          <w:sz w:val="20"/>
          <w:szCs w:val="20"/>
          <w:lang w:val="uz-Cyrl-UZ"/>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lang w:val="uz-Cyrl-UZ"/>
        </w:rPr>
        <w:t>Véase</w:t>
      </w:r>
      <w:r w:rsidRPr="001B2FFE">
        <w:rPr>
          <w:rFonts w:ascii="Times New Roman" w:hAnsi="Times New Roman" w:cs="Times New Roman"/>
          <w:sz w:val="20"/>
          <w:szCs w:val="20"/>
          <w:lang w:val="uz-Cyrl-UZ"/>
        </w:rPr>
        <w:t xml:space="preserve">: Ruth Colker, </w:t>
      </w:r>
      <w:r w:rsidRPr="001B2FFE">
        <w:rPr>
          <w:rFonts w:ascii="Times New Roman" w:hAnsi="Times New Roman" w:cs="Times New Roman"/>
          <w:i/>
          <w:iCs/>
          <w:sz w:val="20"/>
          <w:szCs w:val="20"/>
          <w:lang w:val="uz-Cyrl-UZ"/>
        </w:rPr>
        <w:t>Antisubordination Above All: Sex, Race, and Equal Protection</w:t>
      </w:r>
      <w:r w:rsidRPr="001B2FFE">
        <w:rPr>
          <w:rFonts w:ascii="Times New Roman" w:hAnsi="Times New Roman" w:cs="Times New Roman"/>
          <w:sz w:val="20"/>
          <w:szCs w:val="20"/>
          <w:lang w:val="uz-Cyrl-UZ"/>
        </w:rPr>
        <w:t xml:space="preserve">, 61 </w:t>
      </w:r>
      <w:r w:rsidRPr="001B2FFE">
        <w:rPr>
          <w:rFonts w:ascii="Times New Roman" w:hAnsi="Times New Roman" w:cs="Times New Roman"/>
          <w:i/>
          <w:iCs/>
          <w:sz w:val="20"/>
          <w:szCs w:val="20"/>
          <w:lang w:val="uz-Cyrl-UZ"/>
        </w:rPr>
        <w:t>New York University Law Review</w:t>
      </w:r>
      <w:r w:rsidRPr="001B2FFE">
        <w:rPr>
          <w:rFonts w:ascii="Times New Roman" w:hAnsi="Times New Roman" w:cs="Times New Roman"/>
          <w:sz w:val="20"/>
          <w:szCs w:val="20"/>
          <w:lang w:val="uz-Cyrl-UZ"/>
        </w:rPr>
        <w:t xml:space="preserve"> 1003 (1986).</w:t>
      </w:r>
    </w:p>
  </w:footnote>
  <w:footnote w:id="21">
    <w:p w14:paraId="0583F781" w14:textId="77777777" w:rsidR="00A97D92" w:rsidRPr="001B2FFE" w:rsidRDefault="00A97D92" w:rsidP="00A97D92">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Richard Delgado, </w:t>
      </w:r>
      <w:r w:rsidRPr="001B2FFE">
        <w:rPr>
          <w:rFonts w:ascii="Times New Roman" w:hAnsi="Times New Roman" w:cs="Times New Roman"/>
          <w:i/>
          <w:iCs/>
          <w:sz w:val="20"/>
          <w:szCs w:val="20"/>
        </w:rPr>
        <w:t>The Imperial Scholar Revisited: How to Marginalize Outsider Writing Ten Years Later</w:t>
      </w:r>
      <w:r w:rsidRPr="001B2FFE">
        <w:rPr>
          <w:rFonts w:ascii="Times New Roman" w:hAnsi="Times New Roman" w:cs="Times New Roman"/>
          <w:sz w:val="20"/>
          <w:szCs w:val="20"/>
        </w:rPr>
        <w:t xml:space="preserve">, 140 </w:t>
      </w:r>
      <w:r w:rsidRPr="001B2FFE">
        <w:rPr>
          <w:rFonts w:ascii="Times New Roman" w:hAnsi="Times New Roman" w:cs="Times New Roman"/>
          <w:i/>
          <w:iCs/>
          <w:sz w:val="20"/>
          <w:szCs w:val="20"/>
        </w:rPr>
        <w:t>University of Pennsylvania Law Review</w:t>
      </w:r>
      <w:r w:rsidRPr="001B2FFE">
        <w:rPr>
          <w:rFonts w:ascii="Times New Roman" w:hAnsi="Times New Roman" w:cs="Times New Roman"/>
          <w:sz w:val="20"/>
          <w:szCs w:val="20"/>
        </w:rPr>
        <w:t xml:space="preserve"> 1349 (1992).</w:t>
      </w:r>
    </w:p>
  </w:footnote>
  <w:footnote w:id="22">
    <w:p w14:paraId="440CDD71" w14:textId="77777777" w:rsidR="00B40A4E" w:rsidRPr="001B2FFE" w:rsidRDefault="00B40A4E" w:rsidP="00B40A4E">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Jerry Landay, </w:t>
      </w:r>
      <w:r w:rsidRPr="001B2FFE">
        <w:rPr>
          <w:rFonts w:ascii="Times New Roman" w:hAnsi="Times New Roman" w:cs="Times New Roman"/>
          <w:i/>
          <w:iCs/>
          <w:sz w:val="20"/>
          <w:szCs w:val="20"/>
        </w:rPr>
        <w:t>The Conservative Cabal that’s Transforming American Law, the Federalist Society</w:t>
      </w:r>
      <w:r w:rsidRPr="001B2FFE">
        <w:rPr>
          <w:rFonts w:ascii="Times New Roman" w:hAnsi="Times New Roman" w:cs="Times New Roman"/>
          <w:sz w:val="20"/>
          <w:szCs w:val="20"/>
        </w:rPr>
        <w:t xml:space="preserve">, 32 </w:t>
      </w:r>
      <w:r w:rsidRPr="001B2FFE">
        <w:rPr>
          <w:rFonts w:ascii="Times New Roman" w:hAnsi="Times New Roman" w:cs="Times New Roman"/>
          <w:i/>
          <w:iCs/>
          <w:sz w:val="20"/>
          <w:szCs w:val="20"/>
        </w:rPr>
        <w:t>Washington Monthly</w:t>
      </w:r>
      <w:r w:rsidRPr="001B2FFE">
        <w:rPr>
          <w:rFonts w:ascii="Times New Roman" w:hAnsi="Times New Roman" w:cs="Times New Roman"/>
          <w:sz w:val="20"/>
          <w:szCs w:val="20"/>
        </w:rPr>
        <w:t xml:space="preserve"> 19–23 (2000). Sobre el “originalismo”,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Antonin Scalia, </w:t>
      </w:r>
      <w:r w:rsidRPr="001B2FFE">
        <w:rPr>
          <w:rFonts w:ascii="Times New Roman" w:hAnsi="Times New Roman" w:cs="Times New Roman"/>
          <w:i/>
          <w:iCs/>
          <w:sz w:val="20"/>
          <w:szCs w:val="20"/>
        </w:rPr>
        <w:t>Originalism: The Lesser Evil</w:t>
      </w:r>
      <w:r w:rsidRPr="001B2FFE">
        <w:rPr>
          <w:rFonts w:ascii="Times New Roman" w:hAnsi="Times New Roman" w:cs="Times New Roman"/>
          <w:sz w:val="20"/>
          <w:szCs w:val="20"/>
        </w:rPr>
        <w:t xml:space="preserve">, 57 </w:t>
      </w:r>
      <w:r w:rsidRPr="001B2FFE">
        <w:rPr>
          <w:rFonts w:ascii="Times New Roman" w:hAnsi="Times New Roman" w:cs="Times New Roman"/>
          <w:i/>
          <w:iCs/>
          <w:sz w:val="20"/>
          <w:szCs w:val="20"/>
        </w:rPr>
        <w:t>University of Cincinnati Law Review</w:t>
      </w:r>
      <w:r w:rsidRPr="001B2FFE">
        <w:rPr>
          <w:rFonts w:ascii="Times New Roman" w:hAnsi="Times New Roman" w:cs="Times New Roman"/>
          <w:sz w:val="20"/>
          <w:szCs w:val="20"/>
        </w:rPr>
        <w:t xml:space="preserve"> 849–865 (1989). Cf. Lawrence Lessig, </w:t>
      </w:r>
      <w:r w:rsidRPr="001B2FFE">
        <w:rPr>
          <w:rFonts w:ascii="Times New Roman" w:hAnsi="Times New Roman" w:cs="Times New Roman"/>
          <w:i/>
          <w:iCs/>
          <w:sz w:val="20"/>
          <w:szCs w:val="20"/>
        </w:rPr>
        <w:t>Fidelity in Translation</w:t>
      </w:r>
      <w:r w:rsidRPr="001B2FFE">
        <w:rPr>
          <w:rFonts w:ascii="Times New Roman" w:hAnsi="Times New Roman" w:cs="Times New Roman"/>
          <w:sz w:val="20"/>
          <w:szCs w:val="20"/>
        </w:rPr>
        <w:t xml:space="preserve">, 71 </w:t>
      </w:r>
      <w:r w:rsidRPr="001B2FFE">
        <w:rPr>
          <w:rFonts w:ascii="Times New Roman" w:hAnsi="Times New Roman" w:cs="Times New Roman"/>
          <w:i/>
          <w:iCs/>
          <w:sz w:val="20"/>
          <w:szCs w:val="20"/>
        </w:rPr>
        <w:t>Texas Law Review</w:t>
      </w:r>
      <w:r w:rsidRPr="001B2FFE">
        <w:rPr>
          <w:rFonts w:ascii="Times New Roman" w:hAnsi="Times New Roman" w:cs="Times New Roman"/>
          <w:sz w:val="20"/>
          <w:szCs w:val="20"/>
        </w:rPr>
        <w:t xml:space="preserve"> 1165 (1993); Paul Brest, </w:t>
      </w:r>
      <w:r w:rsidRPr="001B2FFE">
        <w:rPr>
          <w:rFonts w:ascii="Times New Roman" w:hAnsi="Times New Roman" w:cs="Times New Roman"/>
          <w:i/>
          <w:iCs/>
          <w:sz w:val="20"/>
          <w:szCs w:val="20"/>
        </w:rPr>
        <w:t>The Misconceived Quest for the Original Understanding</w:t>
      </w:r>
      <w:r w:rsidRPr="001B2FFE">
        <w:rPr>
          <w:rFonts w:ascii="Times New Roman" w:hAnsi="Times New Roman" w:cs="Times New Roman"/>
          <w:sz w:val="20"/>
          <w:szCs w:val="20"/>
        </w:rPr>
        <w:t xml:space="preserve">, 60 </w:t>
      </w:r>
      <w:r w:rsidRPr="001B2FFE">
        <w:rPr>
          <w:rFonts w:ascii="Times New Roman" w:hAnsi="Times New Roman" w:cs="Times New Roman"/>
          <w:i/>
          <w:iCs/>
          <w:sz w:val="20"/>
          <w:szCs w:val="20"/>
        </w:rPr>
        <w:t>Boston University Law Review</w:t>
      </w:r>
      <w:r w:rsidRPr="001B2FFE">
        <w:rPr>
          <w:rFonts w:ascii="Times New Roman" w:hAnsi="Times New Roman" w:cs="Times New Roman"/>
          <w:sz w:val="20"/>
          <w:szCs w:val="20"/>
        </w:rPr>
        <w:t xml:space="preserve"> 204–238 (1980).</w:t>
      </w:r>
    </w:p>
  </w:footnote>
  <w:footnote w:id="23">
    <w:p w14:paraId="646222BC" w14:textId="77777777" w:rsidR="001C61B0" w:rsidRPr="001B2FFE" w:rsidRDefault="001C61B0" w:rsidP="001C61B0">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Robert Bork, </w:t>
      </w:r>
      <w:r w:rsidRPr="001B2FFE">
        <w:rPr>
          <w:rFonts w:ascii="Times New Roman" w:hAnsi="Times New Roman" w:cs="Times New Roman"/>
          <w:i/>
          <w:iCs/>
          <w:sz w:val="20"/>
          <w:szCs w:val="20"/>
        </w:rPr>
        <w:t>Neutral Principles and Some First Amendment Problems</w:t>
      </w:r>
      <w:r w:rsidRPr="001B2FFE">
        <w:rPr>
          <w:rFonts w:ascii="Times New Roman" w:hAnsi="Times New Roman" w:cs="Times New Roman"/>
          <w:sz w:val="20"/>
          <w:szCs w:val="20"/>
        </w:rPr>
        <w:t xml:space="preserve">, 47 </w:t>
      </w:r>
      <w:r w:rsidRPr="001B2FFE">
        <w:rPr>
          <w:rFonts w:ascii="Times New Roman" w:hAnsi="Times New Roman" w:cs="Times New Roman"/>
          <w:i/>
          <w:iCs/>
          <w:sz w:val="20"/>
          <w:szCs w:val="20"/>
        </w:rPr>
        <w:t>Indiana Law Journal</w:t>
      </w:r>
      <w:r w:rsidRPr="001B2FFE">
        <w:rPr>
          <w:rFonts w:ascii="Times New Roman" w:hAnsi="Times New Roman" w:cs="Times New Roman"/>
          <w:sz w:val="20"/>
          <w:szCs w:val="20"/>
        </w:rPr>
        <w:t xml:space="preserve"> 1 (1971). Cf. Michael H. Redish, </w:t>
      </w:r>
      <w:r w:rsidRPr="001B2FFE">
        <w:rPr>
          <w:rFonts w:ascii="Times New Roman" w:hAnsi="Times New Roman" w:cs="Times New Roman"/>
          <w:i/>
          <w:iCs/>
          <w:sz w:val="20"/>
          <w:szCs w:val="20"/>
        </w:rPr>
        <w:t>Taking a Stroll Through Jurassic Park: Neutral Principles and the Originalist-Minimalist Fallacy in Constitutional Interpretation</w:t>
      </w:r>
      <w:r w:rsidRPr="001B2FFE">
        <w:rPr>
          <w:rFonts w:ascii="Times New Roman" w:hAnsi="Times New Roman" w:cs="Times New Roman"/>
          <w:sz w:val="20"/>
          <w:szCs w:val="20"/>
        </w:rPr>
        <w:t xml:space="preserve">, 88 </w:t>
      </w:r>
      <w:r w:rsidRPr="001B2FFE">
        <w:rPr>
          <w:rFonts w:ascii="Times New Roman" w:hAnsi="Times New Roman" w:cs="Times New Roman"/>
          <w:i/>
          <w:iCs/>
          <w:sz w:val="20"/>
          <w:szCs w:val="20"/>
        </w:rPr>
        <w:t>Northwestern University Law Review</w:t>
      </w:r>
      <w:r w:rsidRPr="001B2FFE">
        <w:rPr>
          <w:rFonts w:ascii="Times New Roman" w:hAnsi="Times New Roman" w:cs="Times New Roman"/>
          <w:sz w:val="20"/>
          <w:szCs w:val="20"/>
        </w:rPr>
        <w:t xml:space="preserve"> 165 (1993);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también nota 22 supra y fuentes allí citadas.</w:t>
      </w:r>
    </w:p>
  </w:footnote>
  <w:footnote w:id="24">
    <w:p w14:paraId="24167DDC" w14:textId="77777777" w:rsidR="0050183D" w:rsidRPr="001B2FFE" w:rsidRDefault="0050183D" w:rsidP="0050183D">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Bowers v. Hardwick</w:t>
      </w:r>
      <w:r w:rsidRPr="001B2FFE">
        <w:rPr>
          <w:rFonts w:ascii="Times New Roman" w:hAnsi="Times New Roman" w:cs="Times New Roman"/>
          <w:sz w:val="20"/>
          <w:szCs w:val="20"/>
        </w:rPr>
        <w:t xml:space="preserve">, 478 U.S. 186 (1986). </w:t>
      </w:r>
    </w:p>
  </w:footnote>
  <w:footnote w:id="25">
    <w:p w14:paraId="13068583" w14:textId="77777777" w:rsidR="00364E62" w:rsidRPr="001B2FFE" w:rsidRDefault="00364E62" w:rsidP="00364E62">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Anne Goldstein, </w:t>
      </w:r>
      <w:r w:rsidRPr="001B2FFE">
        <w:rPr>
          <w:rFonts w:ascii="Times New Roman" w:hAnsi="Times New Roman" w:cs="Times New Roman"/>
          <w:i/>
          <w:iCs/>
          <w:sz w:val="20"/>
          <w:szCs w:val="20"/>
        </w:rPr>
        <w:t>History, Homosexuality, and Political Values: Searching for the Hidden Determinants of Bowers v. Hardwick</w:t>
      </w:r>
      <w:r w:rsidRPr="001B2FFE">
        <w:rPr>
          <w:rFonts w:ascii="Times New Roman" w:hAnsi="Times New Roman" w:cs="Times New Roman"/>
          <w:sz w:val="20"/>
          <w:szCs w:val="20"/>
        </w:rPr>
        <w:t xml:space="preserve">, 97 </w:t>
      </w:r>
      <w:r w:rsidRPr="001B2FFE">
        <w:rPr>
          <w:rFonts w:ascii="Times New Roman" w:hAnsi="Times New Roman" w:cs="Times New Roman"/>
          <w:i/>
          <w:iCs/>
          <w:sz w:val="20"/>
          <w:szCs w:val="20"/>
        </w:rPr>
        <w:t>Yale Law Journal</w:t>
      </w:r>
      <w:r w:rsidRPr="001B2FFE">
        <w:rPr>
          <w:rFonts w:ascii="Times New Roman" w:hAnsi="Times New Roman" w:cs="Times New Roman"/>
          <w:sz w:val="20"/>
          <w:szCs w:val="20"/>
        </w:rPr>
        <w:t xml:space="preserve"> 1073 (1988).</w:t>
      </w:r>
    </w:p>
  </w:footnote>
  <w:footnote w:id="26">
    <w:p w14:paraId="19FA8746" w14:textId="7A3CC900" w:rsidR="003F2C1D" w:rsidRDefault="003F2C1D">
      <w:pPr>
        <w:pStyle w:val="FootnoteText"/>
      </w:pPr>
      <w:r>
        <w:rPr>
          <w:rStyle w:val="FootnoteReference"/>
        </w:rPr>
        <w:footnoteRef/>
      </w:r>
      <w:r>
        <w:t xml:space="preserve"> </w:t>
      </w:r>
      <w:r w:rsidRPr="003F2C1D">
        <w:rPr>
          <w:rFonts w:ascii="Times New Roman" w:hAnsi="Times New Roman" w:cs="Times New Roman"/>
          <w:sz w:val="20"/>
          <w:szCs w:val="20"/>
        </w:rPr>
        <w:t>Traducción nuestra. Texto original en inglés: “The Court is most vulnerable and comes nearest to illegitimacy when it deals with judge made constitutional law having little or no roots in the language or design of the constitution.”</w:t>
      </w:r>
    </w:p>
  </w:footnote>
  <w:footnote w:id="27">
    <w:p w14:paraId="0B8C4E81" w14:textId="77777777" w:rsidR="00BD78CB" w:rsidRPr="001B2FFE" w:rsidRDefault="00BD78CB" w:rsidP="00BD78CB">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Atonio v. Wards Cove Packing Co., Inc.</w:t>
      </w:r>
      <w:r w:rsidRPr="001B2FFE">
        <w:rPr>
          <w:rFonts w:ascii="Times New Roman" w:hAnsi="Times New Roman" w:cs="Times New Roman"/>
          <w:sz w:val="20"/>
          <w:szCs w:val="20"/>
        </w:rPr>
        <w:t xml:space="preserve">, 493 U.S. 802 (1989). </w:t>
      </w:r>
    </w:p>
  </w:footnote>
  <w:footnote w:id="28">
    <w:p w14:paraId="77503ECA" w14:textId="77777777" w:rsidR="00BD78CB" w:rsidRPr="001B2FFE" w:rsidRDefault="00BD78CB" w:rsidP="00BD78CB">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City of Richmond v. J.A. Croson Co.</w:t>
      </w:r>
      <w:r w:rsidRPr="001B2FFE">
        <w:rPr>
          <w:rFonts w:ascii="Times New Roman" w:hAnsi="Times New Roman" w:cs="Times New Roman"/>
          <w:sz w:val="20"/>
          <w:szCs w:val="20"/>
        </w:rPr>
        <w:t xml:space="preserve">, 488 U.S. 469 (1989). </w:t>
      </w:r>
    </w:p>
  </w:footnote>
  <w:footnote w:id="29">
    <w:p w14:paraId="323CE626" w14:textId="77777777" w:rsidR="00BD78CB" w:rsidRPr="001B2FFE" w:rsidRDefault="00BD78CB" w:rsidP="00BD78CB">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Patterson v. McLean Credit Union</w:t>
      </w:r>
      <w:r w:rsidRPr="001B2FFE">
        <w:rPr>
          <w:rFonts w:ascii="Times New Roman" w:hAnsi="Times New Roman" w:cs="Times New Roman"/>
          <w:sz w:val="20"/>
          <w:szCs w:val="20"/>
        </w:rPr>
        <w:t xml:space="preserve">, 484 U.S. 814 (1989). </w:t>
      </w:r>
    </w:p>
  </w:footnote>
  <w:footnote w:id="30">
    <w:p w14:paraId="7F89D057" w14:textId="77777777" w:rsidR="00BD0C03" w:rsidRPr="001B2FFE" w:rsidRDefault="00BD0C03" w:rsidP="00BD0C03">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William B. Gould IV, </w:t>
      </w:r>
      <w:r w:rsidRPr="001B2FFE">
        <w:rPr>
          <w:rFonts w:ascii="Times New Roman" w:hAnsi="Times New Roman" w:cs="Times New Roman"/>
          <w:i/>
          <w:iCs/>
          <w:sz w:val="20"/>
          <w:szCs w:val="20"/>
        </w:rPr>
        <w:t>The Supreme Court and Employment Discrimination Law in 1989: Judicial Retreat and Congressional Response</w:t>
      </w:r>
      <w:r w:rsidRPr="001B2FFE">
        <w:rPr>
          <w:rFonts w:ascii="Times New Roman" w:hAnsi="Times New Roman" w:cs="Times New Roman"/>
          <w:sz w:val="20"/>
          <w:szCs w:val="20"/>
        </w:rPr>
        <w:t xml:space="preserve">, 64 </w:t>
      </w:r>
      <w:r w:rsidRPr="001B2FFE">
        <w:rPr>
          <w:rFonts w:ascii="Times New Roman" w:hAnsi="Times New Roman" w:cs="Times New Roman"/>
          <w:i/>
          <w:iCs/>
          <w:sz w:val="20"/>
          <w:szCs w:val="20"/>
        </w:rPr>
        <w:t>Tulane Law Review</w:t>
      </w:r>
      <w:r w:rsidRPr="001B2FFE">
        <w:rPr>
          <w:rFonts w:ascii="Times New Roman" w:hAnsi="Times New Roman" w:cs="Times New Roman"/>
          <w:sz w:val="20"/>
          <w:szCs w:val="20"/>
        </w:rPr>
        <w:t xml:space="preserve"> 1485 (1990).</w:t>
      </w:r>
    </w:p>
  </w:footnote>
  <w:footnote w:id="31">
    <w:p w14:paraId="29E304AD" w14:textId="77777777" w:rsidR="00BD0C03" w:rsidRPr="001B2FFE" w:rsidRDefault="00BD0C03" w:rsidP="00BD0C03">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Grutter v. Bollinger</w:t>
      </w:r>
      <w:r w:rsidRPr="001B2FFE">
        <w:rPr>
          <w:rFonts w:ascii="Times New Roman" w:hAnsi="Times New Roman" w:cs="Times New Roman"/>
          <w:sz w:val="20"/>
          <w:szCs w:val="20"/>
        </w:rPr>
        <w:t xml:space="preserve">, 539 U.S. 306 (2003). </w:t>
      </w:r>
    </w:p>
  </w:footnote>
  <w:footnote w:id="32">
    <w:p w14:paraId="1C737E7C" w14:textId="0DF41D42" w:rsidR="00286304" w:rsidRPr="001B2FFE" w:rsidRDefault="00286304" w:rsidP="00286304">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00F501A0">
        <w:rPr>
          <w:rFonts w:ascii="Times New Roman" w:hAnsi="Times New Roman" w:cs="Times New Roman"/>
          <w:sz w:val="20"/>
          <w:szCs w:val="20"/>
        </w:rPr>
        <w:t xml:space="preserve">Traducción nuestra. Texto original en inglés: </w:t>
      </w:r>
      <w:r w:rsidR="00F501A0" w:rsidRPr="00F501A0">
        <w:rPr>
          <w:rFonts w:ascii="Times New Roman" w:hAnsi="Times New Roman" w:cs="Times New Roman"/>
          <w:sz w:val="20"/>
          <w:szCs w:val="20"/>
        </w:rPr>
        <w:t>“the Court's approach to civil rights cases has changed markedly ... It is difficult to characterize last term's decisions as a product of anything other than a deliberate retrenching of the civil rights agenda.”</w:t>
      </w:r>
      <w:r w:rsidR="00F501A0">
        <w:rPr>
          <w:rFonts w:ascii="Times New Roman" w:hAnsi="Times New Roman" w:cs="Times New Roman"/>
          <w:sz w:val="20"/>
          <w:szCs w:val="20"/>
        </w:rPr>
        <w:t xml:space="preserve"> </w:t>
      </w:r>
      <w:r w:rsidRPr="001B2FFE">
        <w:rPr>
          <w:rFonts w:ascii="Times New Roman" w:hAnsi="Times New Roman" w:cs="Times New Roman"/>
          <w:sz w:val="20"/>
          <w:szCs w:val="20"/>
        </w:rPr>
        <w:t xml:space="preserve">Hon. Thurgood Marshall, </w:t>
      </w:r>
      <w:r w:rsidRPr="001B2FFE">
        <w:rPr>
          <w:rFonts w:ascii="Times New Roman" w:hAnsi="Times New Roman" w:cs="Times New Roman"/>
          <w:i/>
          <w:iCs/>
          <w:sz w:val="20"/>
          <w:szCs w:val="20"/>
        </w:rPr>
        <w:t>Transcription of Remarks, Annual Judicial Conference</w:t>
      </w:r>
      <w:r w:rsidRPr="001B2FFE">
        <w:rPr>
          <w:rFonts w:ascii="Times New Roman" w:hAnsi="Times New Roman" w:cs="Times New Roman"/>
          <w:sz w:val="20"/>
          <w:szCs w:val="20"/>
        </w:rPr>
        <w:t xml:space="preserve">, Second Circuit of the United States, 130 </w:t>
      </w:r>
      <w:r w:rsidRPr="001B2FFE">
        <w:rPr>
          <w:rFonts w:ascii="Times New Roman" w:hAnsi="Times New Roman" w:cs="Times New Roman"/>
          <w:i/>
          <w:iCs/>
          <w:sz w:val="20"/>
          <w:szCs w:val="20"/>
        </w:rPr>
        <w:t>Federal Rules Decisions</w:t>
      </w:r>
      <w:r w:rsidRPr="001B2FFE">
        <w:rPr>
          <w:rFonts w:ascii="Times New Roman" w:hAnsi="Times New Roman" w:cs="Times New Roman"/>
          <w:sz w:val="20"/>
          <w:szCs w:val="20"/>
        </w:rPr>
        <w:t xml:space="preserve"> 166 (1990).</w:t>
      </w:r>
    </w:p>
  </w:footnote>
  <w:footnote w:id="33">
    <w:p w14:paraId="4040D8B8" w14:textId="77777777" w:rsidR="004138F6" w:rsidRPr="001B2FFE" w:rsidRDefault="004138F6" w:rsidP="004138F6">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Adarand Constructors, Inc. v. Pena</w:t>
      </w:r>
      <w:r w:rsidRPr="001B2FFE">
        <w:rPr>
          <w:rFonts w:ascii="Times New Roman" w:hAnsi="Times New Roman" w:cs="Times New Roman"/>
          <w:sz w:val="20"/>
          <w:szCs w:val="20"/>
        </w:rPr>
        <w:t xml:space="preserve">, 515 U.S. 200 (1995). </w:t>
      </w:r>
    </w:p>
  </w:footnote>
  <w:footnote w:id="34">
    <w:p w14:paraId="5FD93141" w14:textId="77777777" w:rsidR="004138F6" w:rsidRPr="001B2FFE" w:rsidRDefault="004138F6" w:rsidP="004138F6">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color w:val="222222"/>
          <w:sz w:val="20"/>
          <w:szCs w:val="20"/>
          <w:shd w:val="clear" w:color="auto" w:fill="FFFFFF"/>
        </w:rPr>
        <w:t>Véase</w:t>
      </w:r>
      <w:r w:rsidRPr="001B2FFE">
        <w:rPr>
          <w:rFonts w:ascii="Times New Roman" w:hAnsi="Times New Roman" w:cs="Times New Roman"/>
          <w:color w:val="222222"/>
          <w:sz w:val="20"/>
          <w:szCs w:val="20"/>
          <w:shd w:val="clear" w:color="auto" w:fill="FFFFFF"/>
        </w:rPr>
        <w:t xml:space="preserve">, por ejemplo: Jed Rubenfeld, </w:t>
      </w:r>
      <w:r w:rsidRPr="001B2FFE">
        <w:rPr>
          <w:rFonts w:ascii="Times New Roman" w:hAnsi="Times New Roman" w:cs="Times New Roman"/>
          <w:i/>
          <w:iCs/>
          <w:color w:val="222222"/>
          <w:sz w:val="20"/>
          <w:szCs w:val="20"/>
          <w:shd w:val="clear" w:color="auto" w:fill="FFFFFF"/>
        </w:rPr>
        <w:t>The Anti-Antidiscrimination Agenda</w:t>
      </w:r>
      <w:r w:rsidRPr="001B2FFE">
        <w:rPr>
          <w:rFonts w:ascii="Times New Roman" w:hAnsi="Times New Roman" w:cs="Times New Roman"/>
          <w:color w:val="222222"/>
          <w:sz w:val="20"/>
          <w:szCs w:val="20"/>
          <w:shd w:val="clear" w:color="auto" w:fill="FFFFFF"/>
        </w:rPr>
        <w:t xml:space="preserve">, 111 </w:t>
      </w:r>
      <w:r w:rsidRPr="001B2FFE">
        <w:rPr>
          <w:rFonts w:ascii="Times New Roman" w:hAnsi="Times New Roman" w:cs="Times New Roman"/>
          <w:i/>
          <w:iCs/>
          <w:color w:val="222222"/>
          <w:sz w:val="20"/>
          <w:szCs w:val="20"/>
          <w:shd w:val="clear" w:color="auto" w:fill="FFFFFF"/>
        </w:rPr>
        <w:t>Yale Law Journal</w:t>
      </w:r>
      <w:r w:rsidRPr="001B2FFE">
        <w:rPr>
          <w:rFonts w:ascii="Times New Roman" w:hAnsi="Times New Roman" w:cs="Times New Roman"/>
          <w:color w:val="222222"/>
          <w:sz w:val="20"/>
          <w:szCs w:val="20"/>
          <w:shd w:val="clear" w:color="auto" w:fill="FFFFFF"/>
        </w:rPr>
        <w:t xml:space="preserve"> 1170–1177 (2002); David Kairys, </w:t>
      </w:r>
      <w:r w:rsidRPr="001B2FFE">
        <w:rPr>
          <w:rFonts w:ascii="Times New Roman" w:hAnsi="Times New Roman" w:cs="Times New Roman"/>
          <w:i/>
          <w:iCs/>
          <w:color w:val="222222"/>
          <w:sz w:val="20"/>
          <w:szCs w:val="20"/>
          <w:shd w:val="clear" w:color="auto" w:fill="FFFFFF"/>
        </w:rPr>
        <w:t>A Brief History of Race and the Supreme Court</w:t>
      </w:r>
      <w:r w:rsidRPr="001B2FFE">
        <w:rPr>
          <w:rFonts w:ascii="Times New Roman" w:hAnsi="Times New Roman" w:cs="Times New Roman"/>
          <w:color w:val="222222"/>
          <w:sz w:val="20"/>
          <w:szCs w:val="20"/>
          <w:shd w:val="clear" w:color="auto" w:fill="FFFFFF"/>
        </w:rPr>
        <w:t xml:space="preserve">, 79 </w:t>
      </w:r>
      <w:r w:rsidRPr="001B2FFE">
        <w:rPr>
          <w:rFonts w:ascii="Times New Roman" w:hAnsi="Times New Roman" w:cs="Times New Roman"/>
          <w:i/>
          <w:iCs/>
          <w:color w:val="222222"/>
          <w:sz w:val="20"/>
          <w:szCs w:val="20"/>
          <w:shd w:val="clear" w:color="auto" w:fill="FFFFFF"/>
        </w:rPr>
        <w:t>Temple Law Review</w:t>
      </w:r>
      <w:r w:rsidRPr="001B2FFE">
        <w:rPr>
          <w:rFonts w:ascii="Times New Roman" w:hAnsi="Times New Roman" w:cs="Times New Roman"/>
          <w:color w:val="222222"/>
          <w:sz w:val="20"/>
          <w:szCs w:val="20"/>
          <w:shd w:val="clear" w:color="auto" w:fill="FFFFFF"/>
        </w:rPr>
        <w:t xml:space="preserve"> 764–65 (2006).</w:t>
      </w:r>
    </w:p>
  </w:footnote>
  <w:footnote w:id="35">
    <w:p w14:paraId="7FB4AE5F" w14:textId="77777777" w:rsidR="00E16B54" w:rsidRPr="001B2FFE" w:rsidRDefault="00E16B54" w:rsidP="00E16B54">
      <w:pPr>
        <w:spacing w:after="0" w:line="240" w:lineRule="auto"/>
        <w:rPr>
          <w:rFonts w:ascii="Times New Roman" w:hAnsi="Times New Roman" w:cs="Times New Roman"/>
          <w:i/>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Nancy Levit, </w:t>
      </w:r>
      <w:r w:rsidRPr="001B2FFE">
        <w:rPr>
          <w:rFonts w:ascii="Times New Roman" w:hAnsi="Times New Roman" w:cs="Times New Roman"/>
          <w:i/>
          <w:iCs/>
          <w:sz w:val="20"/>
          <w:szCs w:val="20"/>
        </w:rPr>
        <w:t>The Caseload Conundrum, Constitutional Restraint and the Manipulation of Jurisdiction</w:t>
      </w:r>
      <w:r w:rsidRPr="001B2FFE">
        <w:rPr>
          <w:rFonts w:ascii="Times New Roman" w:hAnsi="Times New Roman" w:cs="Times New Roman"/>
          <w:sz w:val="20"/>
          <w:szCs w:val="20"/>
        </w:rPr>
        <w:t xml:space="preserve">, 64 </w:t>
      </w:r>
      <w:r w:rsidRPr="001B2FFE">
        <w:rPr>
          <w:rFonts w:ascii="Times New Roman" w:hAnsi="Times New Roman" w:cs="Times New Roman"/>
          <w:i/>
          <w:iCs/>
          <w:sz w:val="20"/>
          <w:szCs w:val="20"/>
        </w:rPr>
        <w:t>Notre Dame Law Review</w:t>
      </w:r>
      <w:r w:rsidRPr="001B2FFE">
        <w:rPr>
          <w:rFonts w:ascii="Times New Roman" w:hAnsi="Times New Roman" w:cs="Times New Roman"/>
          <w:sz w:val="20"/>
          <w:szCs w:val="20"/>
        </w:rPr>
        <w:t xml:space="preserve"> 321 (1989).</w:t>
      </w:r>
    </w:p>
  </w:footnote>
  <w:footnote w:id="36">
    <w:p w14:paraId="70A5A43F" w14:textId="77777777" w:rsidR="000110F2" w:rsidRPr="001B2FFE" w:rsidRDefault="000110F2" w:rsidP="000110F2">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Para una visión del periodo,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Keith Aoki, </w:t>
      </w:r>
      <w:r w:rsidRPr="001B2FFE">
        <w:rPr>
          <w:rFonts w:ascii="Times New Roman" w:hAnsi="Times New Roman" w:cs="Times New Roman"/>
          <w:i/>
          <w:iCs/>
          <w:sz w:val="20"/>
          <w:szCs w:val="20"/>
        </w:rPr>
        <w:t>The Scholarship of Reconstruction and the Politics of Backlash</w:t>
      </w:r>
      <w:r w:rsidRPr="001B2FFE">
        <w:rPr>
          <w:rFonts w:ascii="Times New Roman" w:hAnsi="Times New Roman" w:cs="Times New Roman"/>
          <w:sz w:val="20"/>
          <w:szCs w:val="20"/>
        </w:rPr>
        <w:t xml:space="preserve">, 81 </w:t>
      </w:r>
      <w:r w:rsidRPr="001B2FFE">
        <w:rPr>
          <w:rFonts w:ascii="Times New Roman" w:hAnsi="Times New Roman" w:cs="Times New Roman"/>
          <w:i/>
          <w:iCs/>
          <w:sz w:val="20"/>
          <w:szCs w:val="20"/>
        </w:rPr>
        <w:t>Iowa Law Review</w:t>
      </w:r>
      <w:r w:rsidRPr="001B2FFE">
        <w:rPr>
          <w:rFonts w:ascii="Times New Roman" w:hAnsi="Times New Roman" w:cs="Times New Roman"/>
          <w:sz w:val="20"/>
          <w:szCs w:val="20"/>
        </w:rPr>
        <w:t xml:space="preserve"> 1467 (1996); Kenneth L. Karst, </w:t>
      </w:r>
      <w:r w:rsidRPr="001B2FFE">
        <w:rPr>
          <w:rFonts w:ascii="Times New Roman" w:hAnsi="Times New Roman" w:cs="Times New Roman"/>
          <w:i/>
          <w:iCs/>
          <w:sz w:val="20"/>
          <w:szCs w:val="20"/>
        </w:rPr>
        <w:t>Religion, Sex, and Politics: Cultural Counterrevolution in Constitutional Perspective</w:t>
      </w:r>
      <w:r w:rsidRPr="001B2FFE">
        <w:rPr>
          <w:rFonts w:ascii="Times New Roman" w:hAnsi="Times New Roman" w:cs="Times New Roman"/>
          <w:sz w:val="20"/>
          <w:szCs w:val="20"/>
        </w:rPr>
        <w:t xml:space="preserve">, 24 </w:t>
      </w:r>
      <w:r w:rsidRPr="001B2FFE">
        <w:rPr>
          <w:rFonts w:ascii="Times New Roman" w:hAnsi="Times New Roman" w:cs="Times New Roman"/>
          <w:i/>
          <w:iCs/>
          <w:sz w:val="20"/>
          <w:szCs w:val="20"/>
        </w:rPr>
        <w:t>University of California Davis Law Review</w:t>
      </w:r>
      <w:r w:rsidRPr="001B2FFE">
        <w:rPr>
          <w:rFonts w:ascii="Times New Roman" w:hAnsi="Times New Roman" w:cs="Times New Roman"/>
          <w:sz w:val="20"/>
          <w:szCs w:val="20"/>
        </w:rPr>
        <w:t xml:space="preserve"> 677 (1991); Stephanie M. Wildman, </w:t>
      </w:r>
      <w:r w:rsidRPr="001B2FFE">
        <w:rPr>
          <w:rFonts w:ascii="Times New Roman" w:hAnsi="Times New Roman" w:cs="Times New Roman"/>
          <w:i/>
          <w:iCs/>
          <w:sz w:val="20"/>
          <w:szCs w:val="20"/>
        </w:rPr>
        <w:t>The Legitimation of Sex Discrimination: A Critical Response to Supreme Court Jurisprudence</w:t>
      </w:r>
      <w:r w:rsidRPr="001B2FFE">
        <w:rPr>
          <w:rFonts w:ascii="Times New Roman" w:hAnsi="Times New Roman" w:cs="Times New Roman"/>
          <w:sz w:val="20"/>
          <w:szCs w:val="20"/>
        </w:rPr>
        <w:t xml:space="preserve">, 63 </w:t>
      </w:r>
      <w:r w:rsidRPr="001B2FFE">
        <w:rPr>
          <w:rFonts w:ascii="Times New Roman" w:hAnsi="Times New Roman" w:cs="Times New Roman"/>
          <w:i/>
          <w:iCs/>
          <w:sz w:val="20"/>
          <w:szCs w:val="20"/>
        </w:rPr>
        <w:t>Oregon Law Review</w:t>
      </w:r>
      <w:r w:rsidRPr="001B2FFE">
        <w:rPr>
          <w:rFonts w:ascii="Times New Roman" w:hAnsi="Times New Roman" w:cs="Times New Roman"/>
          <w:sz w:val="20"/>
          <w:szCs w:val="20"/>
        </w:rPr>
        <w:t xml:space="preserve"> 265 (1984).</w:t>
      </w:r>
    </w:p>
  </w:footnote>
  <w:footnote w:id="37">
    <w:p w14:paraId="4757F05C" w14:textId="77777777" w:rsidR="00CD6018" w:rsidRPr="001B2FFE" w:rsidRDefault="00CD6018" w:rsidP="00CD6018">
      <w:pPr>
        <w:suppressAutoHyphens/>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por ejemplo: Francisco Valdes, </w:t>
      </w:r>
      <w:r w:rsidRPr="001B2FFE">
        <w:rPr>
          <w:rFonts w:ascii="Times New Roman" w:hAnsi="Times New Roman" w:cs="Times New Roman"/>
          <w:i/>
          <w:iCs/>
          <w:sz w:val="20"/>
          <w:szCs w:val="20"/>
        </w:rPr>
        <w:t>Culture by Law: Backlash as Jurisprudence</w:t>
      </w:r>
      <w:r w:rsidRPr="001B2FFE">
        <w:rPr>
          <w:rFonts w:ascii="Times New Roman" w:hAnsi="Times New Roman" w:cs="Times New Roman"/>
          <w:sz w:val="20"/>
          <w:szCs w:val="20"/>
        </w:rPr>
        <w:t xml:space="preserve">, 50 </w:t>
      </w:r>
      <w:r w:rsidRPr="001B2FFE">
        <w:rPr>
          <w:rFonts w:ascii="Times New Roman" w:hAnsi="Times New Roman" w:cs="Times New Roman"/>
          <w:i/>
          <w:iCs/>
          <w:sz w:val="20"/>
          <w:szCs w:val="20"/>
        </w:rPr>
        <w:t>Villanova Law Review</w:t>
      </w:r>
      <w:r w:rsidRPr="001B2FFE">
        <w:rPr>
          <w:rFonts w:ascii="Times New Roman" w:hAnsi="Times New Roman" w:cs="Times New Roman"/>
          <w:sz w:val="20"/>
          <w:szCs w:val="20"/>
        </w:rPr>
        <w:t xml:space="preserve"> 1135 (2005); Francisco Valdes, </w:t>
      </w:r>
      <w:r w:rsidRPr="001B2FFE">
        <w:rPr>
          <w:rFonts w:ascii="Times New Roman" w:hAnsi="Times New Roman" w:cs="Times New Roman"/>
          <w:i/>
          <w:iCs/>
          <w:sz w:val="20"/>
          <w:szCs w:val="20"/>
        </w:rPr>
        <w:t>“We Are Now of the View”: Backlash, Jurisprudence, and the Kulturkampf to Resurrect Old Deals</w:t>
      </w:r>
      <w:r w:rsidRPr="001B2FFE">
        <w:rPr>
          <w:rFonts w:ascii="Times New Roman" w:hAnsi="Times New Roman" w:cs="Times New Roman"/>
          <w:sz w:val="20"/>
          <w:szCs w:val="20"/>
        </w:rPr>
        <w:t xml:space="preserve">, 35 </w:t>
      </w:r>
      <w:r w:rsidRPr="001B2FFE">
        <w:rPr>
          <w:rFonts w:ascii="Times New Roman" w:hAnsi="Times New Roman" w:cs="Times New Roman"/>
          <w:i/>
          <w:iCs/>
          <w:sz w:val="20"/>
          <w:szCs w:val="20"/>
        </w:rPr>
        <w:t>Seton Hall Law Review</w:t>
      </w:r>
      <w:r w:rsidRPr="001B2FFE">
        <w:rPr>
          <w:rFonts w:ascii="Times New Roman" w:hAnsi="Times New Roman" w:cs="Times New Roman"/>
          <w:sz w:val="20"/>
          <w:szCs w:val="20"/>
        </w:rPr>
        <w:t xml:space="preserve"> 1407 (2005);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también Francisco Valdes, </w:t>
      </w:r>
      <w:r w:rsidRPr="001B2FFE">
        <w:rPr>
          <w:rFonts w:ascii="Times New Roman" w:hAnsi="Times New Roman" w:cs="Times New Roman"/>
          <w:i/>
          <w:iCs/>
          <w:sz w:val="20"/>
          <w:szCs w:val="20"/>
        </w:rPr>
        <w:t>The Constitution of Terror: Big Lies, Backlash Jurisprudence and the Rule of Law</w:t>
      </w:r>
      <w:r w:rsidRPr="001B2FFE">
        <w:rPr>
          <w:rFonts w:ascii="Times New Roman" w:hAnsi="Times New Roman" w:cs="Times New Roman"/>
          <w:sz w:val="20"/>
          <w:szCs w:val="20"/>
        </w:rPr>
        <w:t xml:space="preserve">, 7 </w:t>
      </w:r>
      <w:r w:rsidRPr="001B2FFE">
        <w:rPr>
          <w:rFonts w:ascii="Times New Roman" w:hAnsi="Times New Roman" w:cs="Times New Roman"/>
          <w:i/>
          <w:iCs/>
          <w:sz w:val="20"/>
          <w:szCs w:val="20"/>
        </w:rPr>
        <w:t>Nevada Law Journal</w:t>
      </w:r>
      <w:r w:rsidRPr="001B2FFE">
        <w:rPr>
          <w:rFonts w:ascii="Times New Roman" w:hAnsi="Times New Roman" w:cs="Times New Roman"/>
          <w:sz w:val="20"/>
          <w:szCs w:val="20"/>
        </w:rPr>
        <w:t xml:space="preserve"> 973 (2007).</w:t>
      </w:r>
    </w:p>
  </w:footnote>
  <w:footnote w:id="38">
    <w:p w14:paraId="5DC19595" w14:textId="77777777" w:rsidR="00EC112C" w:rsidRPr="001B2FFE" w:rsidRDefault="00EC112C" w:rsidP="00EC112C">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color w:val="222222"/>
          <w:sz w:val="20"/>
          <w:szCs w:val="20"/>
          <w:shd w:val="clear" w:color="auto" w:fill="FFFFFF"/>
        </w:rPr>
        <w:t>Véase</w:t>
      </w:r>
      <w:r w:rsidRPr="001B2FFE">
        <w:rPr>
          <w:rFonts w:ascii="Times New Roman" w:hAnsi="Times New Roman" w:cs="Times New Roman"/>
          <w:color w:val="222222"/>
          <w:sz w:val="20"/>
          <w:szCs w:val="20"/>
          <w:shd w:val="clear" w:color="auto" w:fill="FFFFFF"/>
        </w:rPr>
        <w:t xml:space="preserve">: Chris Black, </w:t>
      </w:r>
      <w:r w:rsidRPr="001B2FFE">
        <w:rPr>
          <w:rFonts w:ascii="Times New Roman" w:hAnsi="Times New Roman" w:cs="Times New Roman"/>
          <w:i/>
          <w:iCs/>
          <w:color w:val="222222"/>
          <w:sz w:val="20"/>
          <w:szCs w:val="20"/>
          <w:shd w:val="clear" w:color="auto" w:fill="FFFFFF"/>
        </w:rPr>
        <w:t>Buchanan Beckons Conservatives to Come “Home”</w:t>
      </w:r>
      <w:r w:rsidRPr="001B2FFE">
        <w:rPr>
          <w:rFonts w:ascii="Times New Roman" w:hAnsi="Times New Roman" w:cs="Times New Roman"/>
          <w:color w:val="222222"/>
          <w:sz w:val="20"/>
          <w:szCs w:val="20"/>
          <w:shd w:val="clear" w:color="auto" w:fill="FFFFFF"/>
        </w:rPr>
        <w:t xml:space="preserve">, </w:t>
      </w:r>
      <w:r w:rsidRPr="001B2FFE">
        <w:rPr>
          <w:rFonts w:ascii="Times New Roman" w:hAnsi="Times New Roman" w:cs="Times New Roman"/>
          <w:i/>
          <w:iCs/>
          <w:color w:val="222222"/>
          <w:sz w:val="20"/>
          <w:szCs w:val="20"/>
          <w:shd w:val="clear" w:color="auto" w:fill="FFFFFF"/>
        </w:rPr>
        <w:t>Boston Globe</w:t>
      </w:r>
      <w:r w:rsidRPr="001B2FFE">
        <w:rPr>
          <w:rFonts w:ascii="Times New Roman" w:hAnsi="Times New Roman" w:cs="Times New Roman"/>
          <w:color w:val="222222"/>
          <w:sz w:val="20"/>
          <w:szCs w:val="20"/>
          <w:shd w:val="clear" w:color="auto" w:fill="FFFFFF"/>
        </w:rPr>
        <w:t xml:space="preserve">, 18 de agosto de 1992, p. A12; Paul Galloway, </w:t>
      </w:r>
      <w:r w:rsidRPr="001B2FFE">
        <w:rPr>
          <w:rFonts w:ascii="Times New Roman" w:hAnsi="Times New Roman" w:cs="Times New Roman"/>
          <w:i/>
          <w:iCs/>
          <w:color w:val="222222"/>
          <w:sz w:val="20"/>
          <w:szCs w:val="20"/>
          <w:shd w:val="clear" w:color="auto" w:fill="FFFFFF"/>
        </w:rPr>
        <w:t>Divided We Stand: Today’s “Cultural War” Goes Deeper than Political Slogans</w:t>
      </w:r>
      <w:r w:rsidRPr="001B2FFE">
        <w:rPr>
          <w:rFonts w:ascii="Times New Roman" w:hAnsi="Times New Roman" w:cs="Times New Roman"/>
          <w:color w:val="222222"/>
          <w:sz w:val="20"/>
          <w:szCs w:val="20"/>
          <w:shd w:val="clear" w:color="auto" w:fill="FFFFFF"/>
        </w:rPr>
        <w:t xml:space="preserve">, </w:t>
      </w:r>
      <w:r w:rsidRPr="001B2FFE">
        <w:rPr>
          <w:rFonts w:ascii="Times New Roman" w:hAnsi="Times New Roman" w:cs="Times New Roman"/>
          <w:i/>
          <w:iCs/>
          <w:color w:val="222222"/>
          <w:sz w:val="20"/>
          <w:szCs w:val="20"/>
          <w:shd w:val="clear" w:color="auto" w:fill="FFFFFF"/>
        </w:rPr>
        <w:t>Chicago Tribune</w:t>
      </w:r>
      <w:r w:rsidRPr="001B2FFE">
        <w:rPr>
          <w:rFonts w:ascii="Times New Roman" w:hAnsi="Times New Roman" w:cs="Times New Roman"/>
          <w:color w:val="222222"/>
          <w:sz w:val="20"/>
          <w:szCs w:val="20"/>
          <w:shd w:val="clear" w:color="auto" w:fill="FFFFFF"/>
        </w:rPr>
        <w:t>, 28 de octubre de 1992, p. C1.</w:t>
      </w:r>
    </w:p>
  </w:footnote>
  <w:footnote w:id="39">
    <w:p w14:paraId="639CFEC1" w14:textId="77777777" w:rsidR="000B5909" w:rsidRPr="001B2FFE" w:rsidRDefault="000B5909" w:rsidP="000B5909">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Romer v. Evans</w:t>
      </w:r>
      <w:r w:rsidRPr="001B2FFE">
        <w:rPr>
          <w:rFonts w:ascii="Times New Roman" w:hAnsi="Times New Roman" w:cs="Times New Roman"/>
          <w:sz w:val="20"/>
          <w:szCs w:val="20"/>
        </w:rPr>
        <w:t>, 517 U.S. 620 (1996).</w:t>
      </w:r>
    </w:p>
  </w:footnote>
  <w:footnote w:id="40">
    <w:p w14:paraId="6DD59553" w14:textId="77777777" w:rsidR="000B5909" w:rsidRPr="001B2FFE" w:rsidRDefault="000B5909" w:rsidP="000B5909">
      <w:pPr>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Lawrence v. Texas</w:t>
      </w:r>
      <w:r w:rsidRPr="001B2FFE">
        <w:rPr>
          <w:rFonts w:ascii="Times New Roman" w:hAnsi="Times New Roman" w:cs="Times New Roman"/>
          <w:sz w:val="20"/>
          <w:szCs w:val="20"/>
        </w:rPr>
        <w:t xml:space="preserve">, 539 U.S. 558 (2003). </w:t>
      </w:r>
    </w:p>
  </w:footnote>
  <w:footnote w:id="41">
    <w:p w14:paraId="46F2868B" w14:textId="77777777" w:rsidR="00591B1E" w:rsidRPr="001B2FFE" w:rsidRDefault="00591B1E" w:rsidP="00591B1E">
      <w:pPr>
        <w:pStyle w:val="FootnoteText"/>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1B2FFE">
        <w:rPr>
          <w:rFonts w:ascii="Times New Roman" w:hAnsi="Times New Roman" w:cs="Times New Roman"/>
          <w:i/>
          <w:iCs/>
          <w:sz w:val="20"/>
          <w:szCs w:val="20"/>
        </w:rPr>
        <w:t>Véase</w:t>
      </w:r>
      <w:r w:rsidRPr="001B2FFE">
        <w:rPr>
          <w:rFonts w:ascii="Times New Roman" w:hAnsi="Times New Roman" w:cs="Times New Roman"/>
          <w:sz w:val="20"/>
          <w:szCs w:val="20"/>
        </w:rPr>
        <w:t xml:space="preserve">, en general: Bernard Schwartz, </w:t>
      </w:r>
      <w:r w:rsidRPr="001B2FFE">
        <w:rPr>
          <w:rStyle w:val="Emphasis"/>
          <w:rFonts w:ascii="Times New Roman" w:hAnsi="Times New Roman" w:cs="Times New Roman"/>
          <w:sz w:val="20"/>
          <w:szCs w:val="20"/>
        </w:rPr>
        <w:t>The New Right and the Constitution: Turning Back the Legal Clock</w:t>
      </w:r>
      <w:r w:rsidRPr="001B2FFE">
        <w:rPr>
          <w:rFonts w:ascii="Times New Roman" w:hAnsi="Times New Roman" w:cs="Times New Roman"/>
          <w:sz w:val="20"/>
          <w:szCs w:val="20"/>
        </w:rPr>
        <w:t xml:space="preserve"> (1990).</w:t>
      </w:r>
    </w:p>
  </w:footnote>
  <w:footnote w:id="42">
    <w:p w14:paraId="6E1860E3" w14:textId="77777777" w:rsidR="00C15FBA" w:rsidRPr="001B2FFE" w:rsidRDefault="00C15FBA" w:rsidP="00C15FBA">
      <w:pPr>
        <w:spacing w:after="0" w:line="240" w:lineRule="auto"/>
        <w:jc w:val="both"/>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882E96">
        <w:rPr>
          <w:rFonts w:ascii="Times New Roman" w:hAnsi="Times New Roman" w:cs="Times New Roman"/>
          <w:i/>
          <w:iCs/>
          <w:sz w:val="20"/>
          <w:szCs w:val="20"/>
        </w:rPr>
        <w:t>Rust v. Sullivan</w:t>
      </w:r>
      <w:r w:rsidRPr="001B2FFE">
        <w:rPr>
          <w:rFonts w:ascii="Times New Roman" w:hAnsi="Times New Roman" w:cs="Times New Roman"/>
          <w:sz w:val="20"/>
          <w:szCs w:val="20"/>
        </w:rPr>
        <w:t xml:space="preserve">, 500 U.S. 173 (1991). </w:t>
      </w:r>
    </w:p>
  </w:footnote>
  <w:footnote w:id="43">
    <w:p w14:paraId="5797916A" w14:textId="77777777" w:rsidR="00941679" w:rsidRPr="00A80283" w:rsidRDefault="00941679" w:rsidP="00941679">
      <w:pPr>
        <w:suppressAutoHyphens/>
        <w:spacing w:after="0" w:line="240" w:lineRule="auto"/>
        <w:rPr>
          <w:rFonts w:ascii="Times New Roman" w:hAnsi="Times New Roman" w:cs="Times New Roman"/>
          <w:sz w:val="20"/>
          <w:szCs w:val="20"/>
          <w:lang w:val="uz-Cyrl-UZ"/>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A80283">
        <w:rPr>
          <w:rFonts w:ascii="Times New Roman" w:hAnsi="Times New Roman" w:cs="Times New Roman"/>
          <w:sz w:val="20"/>
          <w:szCs w:val="20"/>
          <w:lang w:val="uz-Cyrl-UZ"/>
        </w:rPr>
        <w:t xml:space="preserve">Para una discusión crítica de estos “prongs” y de la guerra cultural, </w:t>
      </w:r>
      <w:r w:rsidRPr="00A80283">
        <w:rPr>
          <w:rFonts w:ascii="Times New Roman" w:hAnsi="Times New Roman" w:cs="Times New Roman"/>
          <w:i/>
          <w:iCs/>
          <w:sz w:val="20"/>
          <w:szCs w:val="20"/>
          <w:lang w:val="uz-Cyrl-UZ"/>
        </w:rPr>
        <w:t>véase</w:t>
      </w:r>
      <w:r w:rsidRPr="00A80283">
        <w:rPr>
          <w:rFonts w:ascii="Times New Roman" w:hAnsi="Times New Roman" w:cs="Times New Roman"/>
          <w:sz w:val="20"/>
          <w:szCs w:val="20"/>
          <w:lang w:val="uz-Cyrl-UZ"/>
        </w:rPr>
        <w:t xml:space="preserve">: Francisco Valdes, </w:t>
      </w:r>
      <w:r w:rsidRPr="00A80283">
        <w:rPr>
          <w:rFonts w:ascii="Times New Roman" w:hAnsi="Times New Roman" w:cs="Times New Roman"/>
          <w:i/>
          <w:iCs/>
          <w:sz w:val="20"/>
          <w:szCs w:val="20"/>
          <w:lang w:val="uz-Cyrl-UZ"/>
        </w:rPr>
        <w:t>Mapping and Mobilizing Legal Criticalities: Making the Move From Diaspora to Collective—Or Legal Scholars Making a Difference as Cultural Warriors</w:t>
      </w:r>
      <w:r w:rsidRPr="00A80283">
        <w:rPr>
          <w:rFonts w:ascii="Times New Roman" w:hAnsi="Times New Roman" w:cs="Times New Roman"/>
          <w:sz w:val="20"/>
          <w:szCs w:val="20"/>
          <w:lang w:val="uz-Cyrl-UZ"/>
        </w:rPr>
        <w:t xml:space="preserve">, 100 </w:t>
      </w:r>
      <w:r w:rsidRPr="00A80283">
        <w:rPr>
          <w:rFonts w:ascii="Times New Roman" w:hAnsi="Times New Roman" w:cs="Times New Roman"/>
          <w:i/>
          <w:iCs/>
          <w:sz w:val="20"/>
          <w:szCs w:val="20"/>
          <w:lang w:val="uz-Cyrl-UZ"/>
        </w:rPr>
        <w:t>Denver University Law Review</w:t>
      </w:r>
      <w:r w:rsidRPr="00A80283">
        <w:rPr>
          <w:rFonts w:ascii="Times New Roman" w:hAnsi="Times New Roman" w:cs="Times New Roman"/>
          <w:sz w:val="20"/>
          <w:szCs w:val="20"/>
          <w:lang w:val="uz-Cyrl-UZ"/>
        </w:rPr>
        <w:t xml:space="preserve"> 625 (2023)</w:t>
      </w:r>
      <w:r>
        <w:rPr>
          <w:rFonts w:ascii="Times New Roman" w:hAnsi="Times New Roman" w:cs="Times New Roman"/>
          <w:sz w:val="20"/>
          <w:szCs w:val="20"/>
          <w:lang w:val="uz-Cyrl-UZ"/>
        </w:rPr>
        <w:t xml:space="preserve">; </w:t>
      </w:r>
      <w:r w:rsidRPr="00A80283">
        <w:rPr>
          <w:rFonts w:ascii="Times New Roman" w:hAnsi="Times New Roman" w:cs="Times New Roman"/>
          <w:sz w:val="20"/>
          <w:szCs w:val="20"/>
          <w:lang w:val="uz-Cyrl-UZ"/>
        </w:rPr>
        <w:t xml:space="preserve">Francisco Valdes, </w:t>
      </w:r>
      <w:r w:rsidRPr="00A80283">
        <w:rPr>
          <w:rFonts w:ascii="Times New Roman" w:hAnsi="Times New Roman" w:cs="Times New Roman"/>
          <w:i/>
          <w:iCs/>
          <w:sz w:val="20"/>
          <w:szCs w:val="20"/>
          <w:lang w:val="uz-Cyrl-UZ"/>
        </w:rPr>
        <w:t>Beyond Sexual Orientation in Queer Legal Theory: Majoritarianism, Multidimensionality and Responsibility in Social Justice Scholarship—Or Legal Scholars as Cultural Warriors</w:t>
      </w:r>
      <w:r w:rsidRPr="00A80283">
        <w:rPr>
          <w:rFonts w:ascii="Times New Roman" w:hAnsi="Times New Roman" w:cs="Times New Roman"/>
          <w:sz w:val="20"/>
          <w:szCs w:val="20"/>
          <w:lang w:val="uz-Cyrl-UZ"/>
        </w:rPr>
        <w:t xml:space="preserve">, 75 </w:t>
      </w:r>
      <w:r w:rsidRPr="00A80283">
        <w:rPr>
          <w:rFonts w:ascii="Times New Roman" w:hAnsi="Times New Roman" w:cs="Times New Roman"/>
          <w:i/>
          <w:iCs/>
          <w:sz w:val="20"/>
          <w:szCs w:val="20"/>
          <w:lang w:val="uz-Cyrl-UZ"/>
        </w:rPr>
        <w:t>Denver University Law Review</w:t>
      </w:r>
      <w:r w:rsidRPr="00A80283">
        <w:rPr>
          <w:rFonts w:ascii="Times New Roman" w:hAnsi="Times New Roman" w:cs="Times New Roman"/>
          <w:sz w:val="20"/>
          <w:szCs w:val="20"/>
          <w:lang w:val="uz-Cyrl-UZ"/>
        </w:rPr>
        <w:t xml:space="preserve"> 1409 (1998).</w:t>
      </w:r>
    </w:p>
  </w:footnote>
  <w:footnote w:id="44">
    <w:p w14:paraId="3335AC82" w14:textId="77777777" w:rsidR="006A26E5" w:rsidRPr="00A80283" w:rsidRDefault="006A26E5" w:rsidP="006A26E5">
      <w:pPr>
        <w:pStyle w:val="FootnoteText"/>
        <w:rPr>
          <w:rFonts w:ascii="Times New Roman" w:hAnsi="Times New Roman" w:cs="Times New Roman"/>
          <w:iCs/>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A80283">
        <w:rPr>
          <w:rFonts w:ascii="Times New Roman" w:hAnsi="Times New Roman" w:cs="Times New Roman"/>
          <w:i/>
          <w:sz w:val="20"/>
          <w:szCs w:val="20"/>
        </w:rPr>
        <w:t xml:space="preserve">Véase </w:t>
      </w:r>
      <w:r w:rsidRPr="00A80283">
        <w:rPr>
          <w:rFonts w:ascii="Times New Roman" w:hAnsi="Times New Roman" w:cs="Times New Roman"/>
          <w:iCs/>
          <w:sz w:val="20"/>
          <w:szCs w:val="20"/>
        </w:rPr>
        <w:t>nota 4</w:t>
      </w:r>
      <w:r>
        <w:rPr>
          <w:rFonts w:ascii="Times New Roman" w:hAnsi="Times New Roman" w:cs="Times New Roman"/>
          <w:iCs/>
          <w:sz w:val="20"/>
          <w:szCs w:val="20"/>
        </w:rPr>
        <w:t xml:space="preserve"> </w:t>
      </w:r>
      <w:r w:rsidRPr="00A80283">
        <w:rPr>
          <w:rFonts w:ascii="Times New Roman" w:hAnsi="Times New Roman" w:cs="Times New Roman"/>
          <w:i/>
          <w:sz w:val="20"/>
          <w:szCs w:val="20"/>
        </w:rPr>
        <w:t>supra</w:t>
      </w:r>
      <w:r w:rsidRPr="00A80283">
        <w:rPr>
          <w:rFonts w:ascii="Times New Roman" w:hAnsi="Times New Roman" w:cs="Times New Roman"/>
          <w:iCs/>
          <w:sz w:val="20"/>
          <w:szCs w:val="20"/>
        </w:rPr>
        <w:t xml:space="preserve"> y las fuentes allí citadas.</w:t>
      </w:r>
    </w:p>
  </w:footnote>
  <w:footnote w:id="45">
    <w:p w14:paraId="7859EE13" w14:textId="77777777" w:rsidR="00675570" w:rsidRPr="001B2FFE" w:rsidRDefault="00675570" w:rsidP="00675570">
      <w:pPr>
        <w:suppressAutoHyphens/>
        <w:spacing w:after="0" w:line="240" w:lineRule="auto"/>
        <w:rPr>
          <w:rFonts w:ascii="Times New Roman" w:hAnsi="Times New Roman" w:cs="Times New Roman"/>
          <w:sz w:val="20"/>
          <w:szCs w:val="20"/>
        </w:rPr>
      </w:pPr>
      <w:r w:rsidRPr="001B2FFE">
        <w:rPr>
          <w:rStyle w:val="FootnoteReference"/>
          <w:rFonts w:ascii="Times New Roman" w:hAnsi="Times New Roman" w:cs="Times New Roman"/>
          <w:sz w:val="20"/>
          <w:szCs w:val="20"/>
        </w:rPr>
        <w:footnoteRef/>
      </w:r>
      <w:r w:rsidRPr="001B2FFE">
        <w:rPr>
          <w:rFonts w:ascii="Times New Roman" w:hAnsi="Times New Roman" w:cs="Times New Roman"/>
          <w:sz w:val="20"/>
          <w:szCs w:val="20"/>
        </w:rPr>
        <w:t xml:space="preserve"> </w:t>
      </w:r>
      <w:r w:rsidRPr="00387813">
        <w:rPr>
          <w:rFonts w:ascii="Times New Roman" w:hAnsi="Times New Roman" w:cs="Times New Roman"/>
          <w:i/>
          <w:iCs/>
          <w:sz w:val="20"/>
          <w:szCs w:val="20"/>
        </w:rPr>
        <w:t>Véase</w:t>
      </w:r>
      <w:r w:rsidRPr="00387813">
        <w:rPr>
          <w:rFonts w:ascii="Times New Roman" w:hAnsi="Times New Roman" w:cs="Times New Roman"/>
          <w:sz w:val="20"/>
          <w:szCs w:val="20"/>
        </w:rPr>
        <w:t xml:space="preserve">, por ejemplo: Francisco Valdes, </w:t>
      </w:r>
      <w:r w:rsidRPr="00387813">
        <w:rPr>
          <w:rFonts w:ascii="Times New Roman" w:hAnsi="Times New Roman" w:cs="Times New Roman"/>
          <w:i/>
          <w:iCs/>
          <w:sz w:val="20"/>
          <w:szCs w:val="20"/>
        </w:rPr>
        <w:t>Unpacking Hetero-Patriarchy: Tracing the Conflation of Sex, Gender, and Sexual Orientation to Its Origins</w:t>
      </w:r>
      <w:r w:rsidRPr="00387813">
        <w:rPr>
          <w:rFonts w:ascii="Times New Roman" w:hAnsi="Times New Roman" w:cs="Times New Roman"/>
          <w:sz w:val="20"/>
          <w:szCs w:val="20"/>
        </w:rPr>
        <w:t xml:space="preserve">, 8 </w:t>
      </w:r>
      <w:r w:rsidRPr="00387813">
        <w:rPr>
          <w:rFonts w:ascii="Times New Roman" w:hAnsi="Times New Roman" w:cs="Times New Roman"/>
          <w:i/>
          <w:iCs/>
          <w:sz w:val="20"/>
          <w:szCs w:val="20"/>
        </w:rPr>
        <w:t>Yale Journal of Law and the Humanities</w:t>
      </w:r>
      <w:r w:rsidRPr="00387813">
        <w:rPr>
          <w:rFonts w:ascii="Times New Roman" w:hAnsi="Times New Roman" w:cs="Times New Roman"/>
          <w:sz w:val="20"/>
          <w:szCs w:val="20"/>
        </w:rPr>
        <w:t xml:space="preserve"> 161 (1996).</w:t>
      </w:r>
    </w:p>
    <w:p w14:paraId="2D0F44C4" w14:textId="77777777" w:rsidR="00675570" w:rsidRPr="001B2FFE" w:rsidRDefault="00675570" w:rsidP="00675570">
      <w:pPr>
        <w:pStyle w:val="FootnoteText"/>
        <w:rPr>
          <w:rFonts w:ascii="Times New Roman" w:hAnsi="Times New Roman" w:cs="Times New Roman"/>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9235"/>
      <w:docPartObj>
        <w:docPartGallery w:val="Page Numbers (Top of Page)"/>
        <w:docPartUnique/>
      </w:docPartObj>
    </w:sdtPr>
    <w:sdtEndPr>
      <w:rPr>
        <w:noProof/>
      </w:rPr>
    </w:sdtEndPr>
    <w:sdtContent>
      <w:p w14:paraId="1DD31A4B" w14:textId="2E2C6532" w:rsidR="00B73920" w:rsidRDefault="00B73920">
        <w:pPr>
          <w:pStyle w:val="Header"/>
          <w:jc w:val="right"/>
        </w:pPr>
        <w:r>
          <w:fldChar w:fldCharType="begin"/>
        </w:r>
        <w:r>
          <w:instrText xml:space="preserve"> PAGE   \* MERGEFORMAT </w:instrText>
        </w:r>
        <w:r>
          <w:fldChar w:fldCharType="separate"/>
        </w:r>
        <w:r w:rsidR="001167E9">
          <w:rPr>
            <w:noProof/>
          </w:rPr>
          <w:t>7</w:t>
        </w:r>
        <w:r>
          <w:rPr>
            <w:noProof/>
          </w:rPr>
          <w:fldChar w:fldCharType="end"/>
        </w:r>
      </w:p>
    </w:sdtContent>
  </w:sdt>
  <w:p w14:paraId="0A5628B8" w14:textId="5FD29D5F" w:rsidR="00B73920" w:rsidRDefault="00B739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278"/>
    <w:multiLevelType w:val="hybridMultilevel"/>
    <w:tmpl w:val="38B292B6"/>
    <w:lvl w:ilvl="0" w:tplc="0D48F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AC"/>
    <w:rsid w:val="00000F6E"/>
    <w:rsid w:val="000010D9"/>
    <w:rsid w:val="00004239"/>
    <w:rsid w:val="000110F2"/>
    <w:rsid w:val="00016453"/>
    <w:rsid w:val="00020A44"/>
    <w:rsid w:val="00022DB4"/>
    <w:rsid w:val="00023073"/>
    <w:rsid w:val="00050F93"/>
    <w:rsid w:val="00080F5B"/>
    <w:rsid w:val="000B5909"/>
    <w:rsid w:val="000C3409"/>
    <w:rsid w:val="000C3850"/>
    <w:rsid w:val="000C3B55"/>
    <w:rsid w:val="000C60BA"/>
    <w:rsid w:val="000D0308"/>
    <w:rsid w:val="000E1FE7"/>
    <w:rsid w:val="000E6CCB"/>
    <w:rsid w:val="000F33BC"/>
    <w:rsid w:val="000F4712"/>
    <w:rsid w:val="00102B20"/>
    <w:rsid w:val="00103F16"/>
    <w:rsid w:val="001167E9"/>
    <w:rsid w:val="001264D6"/>
    <w:rsid w:val="00140A5B"/>
    <w:rsid w:val="00171DD7"/>
    <w:rsid w:val="0017323D"/>
    <w:rsid w:val="00175D19"/>
    <w:rsid w:val="001932E2"/>
    <w:rsid w:val="001A7050"/>
    <w:rsid w:val="001A7202"/>
    <w:rsid w:val="001B2FFE"/>
    <w:rsid w:val="001C61B0"/>
    <w:rsid w:val="001C6B6A"/>
    <w:rsid w:val="001D7FB1"/>
    <w:rsid w:val="001E1CEA"/>
    <w:rsid w:val="001E1E48"/>
    <w:rsid w:val="001E2D01"/>
    <w:rsid w:val="001F2A5B"/>
    <w:rsid w:val="002074E3"/>
    <w:rsid w:val="0021355C"/>
    <w:rsid w:val="00222F17"/>
    <w:rsid w:val="00232C52"/>
    <w:rsid w:val="0023752B"/>
    <w:rsid w:val="002436C6"/>
    <w:rsid w:val="00244BBD"/>
    <w:rsid w:val="00254498"/>
    <w:rsid w:val="002616F6"/>
    <w:rsid w:val="00264B1D"/>
    <w:rsid w:val="00265D67"/>
    <w:rsid w:val="00267E46"/>
    <w:rsid w:val="00276C53"/>
    <w:rsid w:val="00283DDA"/>
    <w:rsid w:val="00284770"/>
    <w:rsid w:val="00284DD3"/>
    <w:rsid w:val="00286304"/>
    <w:rsid w:val="00296EF4"/>
    <w:rsid w:val="002A137C"/>
    <w:rsid w:val="002A2463"/>
    <w:rsid w:val="002A3C68"/>
    <w:rsid w:val="002A3D7A"/>
    <w:rsid w:val="002B188B"/>
    <w:rsid w:val="002C60EC"/>
    <w:rsid w:val="002D3540"/>
    <w:rsid w:val="002F62AC"/>
    <w:rsid w:val="003106BD"/>
    <w:rsid w:val="003106F6"/>
    <w:rsid w:val="00315705"/>
    <w:rsid w:val="00335BE0"/>
    <w:rsid w:val="003428B2"/>
    <w:rsid w:val="00345E80"/>
    <w:rsid w:val="003621B0"/>
    <w:rsid w:val="00364E62"/>
    <w:rsid w:val="00366819"/>
    <w:rsid w:val="003675DA"/>
    <w:rsid w:val="0038382A"/>
    <w:rsid w:val="00383E54"/>
    <w:rsid w:val="00384816"/>
    <w:rsid w:val="00387813"/>
    <w:rsid w:val="00392125"/>
    <w:rsid w:val="003A2794"/>
    <w:rsid w:val="003A5C2C"/>
    <w:rsid w:val="003B4C4A"/>
    <w:rsid w:val="003F07E9"/>
    <w:rsid w:val="003F2C1D"/>
    <w:rsid w:val="003F3CE0"/>
    <w:rsid w:val="003F493B"/>
    <w:rsid w:val="003F5EB6"/>
    <w:rsid w:val="004024FC"/>
    <w:rsid w:val="00403ADA"/>
    <w:rsid w:val="00411393"/>
    <w:rsid w:val="004138F6"/>
    <w:rsid w:val="00421D64"/>
    <w:rsid w:val="00422E06"/>
    <w:rsid w:val="00423BBA"/>
    <w:rsid w:val="00424DCB"/>
    <w:rsid w:val="00435E64"/>
    <w:rsid w:val="0043755D"/>
    <w:rsid w:val="00445447"/>
    <w:rsid w:val="00461958"/>
    <w:rsid w:val="00472481"/>
    <w:rsid w:val="004771CB"/>
    <w:rsid w:val="00480CDA"/>
    <w:rsid w:val="00481494"/>
    <w:rsid w:val="0048314F"/>
    <w:rsid w:val="004A18A7"/>
    <w:rsid w:val="004B1D80"/>
    <w:rsid w:val="004E5D74"/>
    <w:rsid w:val="004E648D"/>
    <w:rsid w:val="004F669E"/>
    <w:rsid w:val="0050183D"/>
    <w:rsid w:val="00511798"/>
    <w:rsid w:val="005131D1"/>
    <w:rsid w:val="005178C1"/>
    <w:rsid w:val="00537895"/>
    <w:rsid w:val="00544741"/>
    <w:rsid w:val="0055689B"/>
    <w:rsid w:val="005609FF"/>
    <w:rsid w:val="00591B1E"/>
    <w:rsid w:val="005959BF"/>
    <w:rsid w:val="005A1CFC"/>
    <w:rsid w:val="005B6C5F"/>
    <w:rsid w:val="005B768C"/>
    <w:rsid w:val="005C3FB5"/>
    <w:rsid w:val="00625A25"/>
    <w:rsid w:val="00663D3E"/>
    <w:rsid w:val="00671B2C"/>
    <w:rsid w:val="00675570"/>
    <w:rsid w:val="006924DB"/>
    <w:rsid w:val="00697AAC"/>
    <w:rsid w:val="006A26E5"/>
    <w:rsid w:val="006E32C7"/>
    <w:rsid w:val="006E45CB"/>
    <w:rsid w:val="006E7A18"/>
    <w:rsid w:val="006F57AF"/>
    <w:rsid w:val="007004E3"/>
    <w:rsid w:val="00701635"/>
    <w:rsid w:val="00707D55"/>
    <w:rsid w:val="00713D58"/>
    <w:rsid w:val="007170A6"/>
    <w:rsid w:val="00725043"/>
    <w:rsid w:val="00725FAF"/>
    <w:rsid w:val="00740584"/>
    <w:rsid w:val="007518C5"/>
    <w:rsid w:val="00772C77"/>
    <w:rsid w:val="007751FB"/>
    <w:rsid w:val="00785CBA"/>
    <w:rsid w:val="007A3199"/>
    <w:rsid w:val="007B060E"/>
    <w:rsid w:val="007B7167"/>
    <w:rsid w:val="007C5BB7"/>
    <w:rsid w:val="007C6751"/>
    <w:rsid w:val="007C68AB"/>
    <w:rsid w:val="007D2E5F"/>
    <w:rsid w:val="00813AD8"/>
    <w:rsid w:val="00817606"/>
    <w:rsid w:val="008251BE"/>
    <w:rsid w:val="008320A9"/>
    <w:rsid w:val="0083652E"/>
    <w:rsid w:val="0085247F"/>
    <w:rsid w:val="00860359"/>
    <w:rsid w:val="0087721E"/>
    <w:rsid w:val="00882E96"/>
    <w:rsid w:val="008C46FF"/>
    <w:rsid w:val="008D0714"/>
    <w:rsid w:val="008D11CC"/>
    <w:rsid w:val="008E501F"/>
    <w:rsid w:val="0091243B"/>
    <w:rsid w:val="00923B00"/>
    <w:rsid w:val="009318B6"/>
    <w:rsid w:val="009408C6"/>
    <w:rsid w:val="00941679"/>
    <w:rsid w:val="0097277C"/>
    <w:rsid w:val="0097701D"/>
    <w:rsid w:val="00987964"/>
    <w:rsid w:val="00995729"/>
    <w:rsid w:val="00996101"/>
    <w:rsid w:val="009A6F01"/>
    <w:rsid w:val="009D6A3E"/>
    <w:rsid w:val="009E2647"/>
    <w:rsid w:val="009E4CFD"/>
    <w:rsid w:val="009E70DC"/>
    <w:rsid w:val="009F0171"/>
    <w:rsid w:val="009F3265"/>
    <w:rsid w:val="009F55A3"/>
    <w:rsid w:val="00A02178"/>
    <w:rsid w:val="00A0441B"/>
    <w:rsid w:val="00A12BC9"/>
    <w:rsid w:val="00A36E92"/>
    <w:rsid w:val="00A759CF"/>
    <w:rsid w:val="00A7776F"/>
    <w:rsid w:val="00A80283"/>
    <w:rsid w:val="00A815D8"/>
    <w:rsid w:val="00A97CE8"/>
    <w:rsid w:val="00A97D92"/>
    <w:rsid w:val="00AA3911"/>
    <w:rsid w:val="00AB5880"/>
    <w:rsid w:val="00AC0A81"/>
    <w:rsid w:val="00AD17F0"/>
    <w:rsid w:val="00AE015C"/>
    <w:rsid w:val="00B016E7"/>
    <w:rsid w:val="00B051E5"/>
    <w:rsid w:val="00B105AE"/>
    <w:rsid w:val="00B32E2F"/>
    <w:rsid w:val="00B367CB"/>
    <w:rsid w:val="00B40A4E"/>
    <w:rsid w:val="00B53765"/>
    <w:rsid w:val="00B61E13"/>
    <w:rsid w:val="00B674EB"/>
    <w:rsid w:val="00B73920"/>
    <w:rsid w:val="00B77D76"/>
    <w:rsid w:val="00B97181"/>
    <w:rsid w:val="00B97335"/>
    <w:rsid w:val="00B9740A"/>
    <w:rsid w:val="00BA15B7"/>
    <w:rsid w:val="00BA260C"/>
    <w:rsid w:val="00BC5213"/>
    <w:rsid w:val="00BD0C03"/>
    <w:rsid w:val="00BD5EE6"/>
    <w:rsid w:val="00BD65E9"/>
    <w:rsid w:val="00BD78CB"/>
    <w:rsid w:val="00BE4EB2"/>
    <w:rsid w:val="00BE6CA0"/>
    <w:rsid w:val="00BF1ABB"/>
    <w:rsid w:val="00C01F7A"/>
    <w:rsid w:val="00C15BF7"/>
    <w:rsid w:val="00C15FBA"/>
    <w:rsid w:val="00C16040"/>
    <w:rsid w:val="00C16809"/>
    <w:rsid w:val="00C261C8"/>
    <w:rsid w:val="00C26DCB"/>
    <w:rsid w:val="00C27B75"/>
    <w:rsid w:val="00C27CB4"/>
    <w:rsid w:val="00C40DF8"/>
    <w:rsid w:val="00C522D4"/>
    <w:rsid w:val="00C617A9"/>
    <w:rsid w:val="00C704A6"/>
    <w:rsid w:val="00C717D4"/>
    <w:rsid w:val="00C721C4"/>
    <w:rsid w:val="00C75B19"/>
    <w:rsid w:val="00C84DD5"/>
    <w:rsid w:val="00C85272"/>
    <w:rsid w:val="00CA132E"/>
    <w:rsid w:val="00CA73A2"/>
    <w:rsid w:val="00CC49BB"/>
    <w:rsid w:val="00CD6018"/>
    <w:rsid w:val="00CD6376"/>
    <w:rsid w:val="00CF399A"/>
    <w:rsid w:val="00D040BF"/>
    <w:rsid w:val="00D266C3"/>
    <w:rsid w:val="00D41E19"/>
    <w:rsid w:val="00D51D5C"/>
    <w:rsid w:val="00D57B0F"/>
    <w:rsid w:val="00D64988"/>
    <w:rsid w:val="00D85DB9"/>
    <w:rsid w:val="00D86BCF"/>
    <w:rsid w:val="00DB0151"/>
    <w:rsid w:val="00DD76F8"/>
    <w:rsid w:val="00DE1DD3"/>
    <w:rsid w:val="00DF109B"/>
    <w:rsid w:val="00DF19C5"/>
    <w:rsid w:val="00DF6805"/>
    <w:rsid w:val="00E02056"/>
    <w:rsid w:val="00E16A45"/>
    <w:rsid w:val="00E16B54"/>
    <w:rsid w:val="00E2404B"/>
    <w:rsid w:val="00E24609"/>
    <w:rsid w:val="00E24FDB"/>
    <w:rsid w:val="00E305FF"/>
    <w:rsid w:val="00E31B06"/>
    <w:rsid w:val="00E47DF3"/>
    <w:rsid w:val="00E53D71"/>
    <w:rsid w:val="00E566AE"/>
    <w:rsid w:val="00E610B0"/>
    <w:rsid w:val="00E71835"/>
    <w:rsid w:val="00E719CE"/>
    <w:rsid w:val="00E91134"/>
    <w:rsid w:val="00EA2FC4"/>
    <w:rsid w:val="00EA679F"/>
    <w:rsid w:val="00EB25CE"/>
    <w:rsid w:val="00EC112C"/>
    <w:rsid w:val="00ED5538"/>
    <w:rsid w:val="00EE71C7"/>
    <w:rsid w:val="00EF2141"/>
    <w:rsid w:val="00F0097E"/>
    <w:rsid w:val="00F03CFD"/>
    <w:rsid w:val="00F110E0"/>
    <w:rsid w:val="00F25EED"/>
    <w:rsid w:val="00F501A0"/>
    <w:rsid w:val="00F5411A"/>
    <w:rsid w:val="00F5448E"/>
    <w:rsid w:val="00F54F5C"/>
    <w:rsid w:val="00F779B8"/>
    <w:rsid w:val="00F86B44"/>
    <w:rsid w:val="00FC1A8A"/>
    <w:rsid w:val="00FD47E2"/>
    <w:rsid w:val="00FD58F7"/>
    <w:rsid w:val="00FE7DF2"/>
    <w:rsid w:val="00FF234B"/>
    <w:rsid w:val="00FF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3A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AC"/>
    <w:rPr>
      <w:rFonts w:eastAsiaTheme="majorEastAsia" w:cstheme="majorBidi"/>
      <w:color w:val="272727" w:themeColor="text1" w:themeTint="D8"/>
    </w:rPr>
  </w:style>
  <w:style w:type="paragraph" w:styleId="Title">
    <w:name w:val="Title"/>
    <w:basedOn w:val="Normal"/>
    <w:next w:val="Normal"/>
    <w:link w:val="TitleChar"/>
    <w:uiPriority w:val="10"/>
    <w:qFormat/>
    <w:rsid w:val="002F6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AC"/>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C"/>
    <w:rPr>
      <w:i/>
      <w:iCs/>
      <w:color w:val="404040" w:themeColor="text1" w:themeTint="BF"/>
    </w:rPr>
  </w:style>
  <w:style w:type="paragraph" w:styleId="ListParagraph">
    <w:name w:val="List Paragraph"/>
    <w:basedOn w:val="Normal"/>
    <w:uiPriority w:val="34"/>
    <w:qFormat/>
    <w:rsid w:val="002F62AC"/>
    <w:pPr>
      <w:ind w:left="720"/>
      <w:contextualSpacing/>
    </w:pPr>
  </w:style>
  <w:style w:type="character" w:styleId="IntenseEmphasis">
    <w:name w:val="Intense Emphasis"/>
    <w:basedOn w:val="DefaultParagraphFont"/>
    <w:uiPriority w:val="21"/>
    <w:qFormat/>
    <w:rsid w:val="002F62AC"/>
    <w:rPr>
      <w:i/>
      <w:iCs/>
      <w:color w:val="0F4761" w:themeColor="accent1" w:themeShade="BF"/>
    </w:rPr>
  </w:style>
  <w:style w:type="paragraph" w:styleId="IntenseQuote">
    <w:name w:val="Intense Quote"/>
    <w:basedOn w:val="Normal"/>
    <w:next w:val="Normal"/>
    <w:link w:val="IntenseQuoteChar"/>
    <w:uiPriority w:val="30"/>
    <w:qFormat/>
    <w:rsid w:val="002F6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C"/>
    <w:rPr>
      <w:i/>
      <w:iCs/>
      <w:color w:val="0F4761" w:themeColor="accent1" w:themeShade="BF"/>
    </w:rPr>
  </w:style>
  <w:style w:type="character" w:styleId="IntenseReference">
    <w:name w:val="Intense Reference"/>
    <w:basedOn w:val="DefaultParagraphFont"/>
    <w:uiPriority w:val="32"/>
    <w:qFormat/>
    <w:rsid w:val="002F62AC"/>
    <w:rPr>
      <w:b/>
      <w:bCs/>
      <w:smallCaps/>
      <w:color w:val="0F4761" w:themeColor="accent1" w:themeShade="BF"/>
      <w:spacing w:val="5"/>
    </w:rPr>
  </w:style>
  <w:style w:type="paragraph" w:styleId="Header">
    <w:name w:val="header"/>
    <w:basedOn w:val="Normal"/>
    <w:link w:val="HeaderChar"/>
    <w:uiPriority w:val="99"/>
    <w:unhideWhenUsed/>
    <w:rsid w:val="00B3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CB"/>
  </w:style>
  <w:style w:type="paragraph" w:styleId="Footer">
    <w:name w:val="footer"/>
    <w:basedOn w:val="Normal"/>
    <w:link w:val="FooterChar"/>
    <w:uiPriority w:val="99"/>
    <w:unhideWhenUsed/>
    <w:rsid w:val="00B3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CB"/>
  </w:style>
  <w:style w:type="paragraph" w:styleId="FootnoteText">
    <w:name w:val="footnote text"/>
    <w:basedOn w:val="Normal"/>
    <w:link w:val="FootnoteTextChar"/>
    <w:uiPriority w:val="99"/>
    <w:unhideWhenUsed/>
    <w:rsid w:val="003A5C2C"/>
    <w:pPr>
      <w:spacing w:after="0" w:line="240" w:lineRule="auto"/>
    </w:pPr>
  </w:style>
  <w:style w:type="character" w:customStyle="1" w:styleId="FootnoteTextChar">
    <w:name w:val="Footnote Text Char"/>
    <w:basedOn w:val="DefaultParagraphFont"/>
    <w:link w:val="FootnoteText"/>
    <w:uiPriority w:val="99"/>
    <w:rsid w:val="003A5C2C"/>
  </w:style>
  <w:style w:type="character" w:styleId="FootnoteReference">
    <w:name w:val="footnote reference"/>
    <w:basedOn w:val="DefaultParagraphFont"/>
    <w:uiPriority w:val="99"/>
    <w:unhideWhenUsed/>
    <w:rsid w:val="003A5C2C"/>
    <w:rPr>
      <w:vertAlign w:val="superscript"/>
    </w:rPr>
  </w:style>
  <w:style w:type="character" w:customStyle="1" w:styleId="st">
    <w:name w:val="st"/>
    <w:basedOn w:val="DefaultParagraphFont"/>
    <w:rsid w:val="00AB5880"/>
  </w:style>
  <w:style w:type="character" w:styleId="Emphasis">
    <w:name w:val="Emphasis"/>
    <w:basedOn w:val="DefaultParagraphFont"/>
    <w:uiPriority w:val="20"/>
    <w:qFormat/>
    <w:rsid w:val="001E1CEA"/>
    <w:rPr>
      <w:i/>
      <w:iCs/>
    </w:rPr>
  </w:style>
  <w:style w:type="paragraph" w:styleId="NormalWeb">
    <w:name w:val="Normal (Web)"/>
    <w:basedOn w:val="Normal"/>
    <w:uiPriority w:val="99"/>
    <w:unhideWhenUsed/>
    <w:rsid w:val="00544741"/>
    <w:pPr>
      <w:spacing w:before="100" w:beforeAutospacing="1" w:after="100" w:afterAutospacing="1" w:line="240" w:lineRule="auto"/>
    </w:pPr>
    <w:rPr>
      <w:rFonts w:ascii="Times New Roman" w:eastAsia="Times New Roman" w:hAnsi="Times New Roman" w:cs="Times New Roman"/>
      <w:kern w:val="0"/>
      <w:lang w:val="uz-Cyrl-UZ"/>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AC"/>
    <w:rPr>
      <w:rFonts w:eastAsiaTheme="majorEastAsia" w:cstheme="majorBidi"/>
      <w:color w:val="272727" w:themeColor="text1" w:themeTint="D8"/>
    </w:rPr>
  </w:style>
  <w:style w:type="paragraph" w:styleId="Title">
    <w:name w:val="Title"/>
    <w:basedOn w:val="Normal"/>
    <w:next w:val="Normal"/>
    <w:link w:val="TitleChar"/>
    <w:uiPriority w:val="10"/>
    <w:qFormat/>
    <w:rsid w:val="002F6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AC"/>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C"/>
    <w:rPr>
      <w:i/>
      <w:iCs/>
      <w:color w:val="404040" w:themeColor="text1" w:themeTint="BF"/>
    </w:rPr>
  </w:style>
  <w:style w:type="paragraph" w:styleId="ListParagraph">
    <w:name w:val="List Paragraph"/>
    <w:basedOn w:val="Normal"/>
    <w:uiPriority w:val="34"/>
    <w:qFormat/>
    <w:rsid w:val="002F62AC"/>
    <w:pPr>
      <w:ind w:left="720"/>
      <w:contextualSpacing/>
    </w:pPr>
  </w:style>
  <w:style w:type="character" w:styleId="IntenseEmphasis">
    <w:name w:val="Intense Emphasis"/>
    <w:basedOn w:val="DefaultParagraphFont"/>
    <w:uiPriority w:val="21"/>
    <w:qFormat/>
    <w:rsid w:val="002F62AC"/>
    <w:rPr>
      <w:i/>
      <w:iCs/>
      <w:color w:val="0F4761" w:themeColor="accent1" w:themeShade="BF"/>
    </w:rPr>
  </w:style>
  <w:style w:type="paragraph" w:styleId="IntenseQuote">
    <w:name w:val="Intense Quote"/>
    <w:basedOn w:val="Normal"/>
    <w:next w:val="Normal"/>
    <w:link w:val="IntenseQuoteChar"/>
    <w:uiPriority w:val="30"/>
    <w:qFormat/>
    <w:rsid w:val="002F6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C"/>
    <w:rPr>
      <w:i/>
      <w:iCs/>
      <w:color w:val="0F4761" w:themeColor="accent1" w:themeShade="BF"/>
    </w:rPr>
  </w:style>
  <w:style w:type="character" w:styleId="IntenseReference">
    <w:name w:val="Intense Reference"/>
    <w:basedOn w:val="DefaultParagraphFont"/>
    <w:uiPriority w:val="32"/>
    <w:qFormat/>
    <w:rsid w:val="002F62AC"/>
    <w:rPr>
      <w:b/>
      <w:bCs/>
      <w:smallCaps/>
      <w:color w:val="0F4761" w:themeColor="accent1" w:themeShade="BF"/>
      <w:spacing w:val="5"/>
    </w:rPr>
  </w:style>
  <w:style w:type="paragraph" w:styleId="Header">
    <w:name w:val="header"/>
    <w:basedOn w:val="Normal"/>
    <w:link w:val="HeaderChar"/>
    <w:uiPriority w:val="99"/>
    <w:unhideWhenUsed/>
    <w:rsid w:val="00B3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CB"/>
  </w:style>
  <w:style w:type="paragraph" w:styleId="Footer">
    <w:name w:val="footer"/>
    <w:basedOn w:val="Normal"/>
    <w:link w:val="FooterChar"/>
    <w:uiPriority w:val="99"/>
    <w:unhideWhenUsed/>
    <w:rsid w:val="00B3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CB"/>
  </w:style>
  <w:style w:type="paragraph" w:styleId="FootnoteText">
    <w:name w:val="footnote text"/>
    <w:basedOn w:val="Normal"/>
    <w:link w:val="FootnoteTextChar"/>
    <w:uiPriority w:val="99"/>
    <w:unhideWhenUsed/>
    <w:rsid w:val="003A5C2C"/>
    <w:pPr>
      <w:spacing w:after="0" w:line="240" w:lineRule="auto"/>
    </w:pPr>
  </w:style>
  <w:style w:type="character" w:customStyle="1" w:styleId="FootnoteTextChar">
    <w:name w:val="Footnote Text Char"/>
    <w:basedOn w:val="DefaultParagraphFont"/>
    <w:link w:val="FootnoteText"/>
    <w:uiPriority w:val="99"/>
    <w:rsid w:val="003A5C2C"/>
  </w:style>
  <w:style w:type="character" w:styleId="FootnoteReference">
    <w:name w:val="footnote reference"/>
    <w:basedOn w:val="DefaultParagraphFont"/>
    <w:uiPriority w:val="99"/>
    <w:unhideWhenUsed/>
    <w:rsid w:val="003A5C2C"/>
    <w:rPr>
      <w:vertAlign w:val="superscript"/>
    </w:rPr>
  </w:style>
  <w:style w:type="character" w:customStyle="1" w:styleId="st">
    <w:name w:val="st"/>
    <w:basedOn w:val="DefaultParagraphFont"/>
    <w:rsid w:val="00AB5880"/>
  </w:style>
  <w:style w:type="character" w:styleId="Emphasis">
    <w:name w:val="Emphasis"/>
    <w:basedOn w:val="DefaultParagraphFont"/>
    <w:uiPriority w:val="20"/>
    <w:qFormat/>
    <w:rsid w:val="001E1CEA"/>
    <w:rPr>
      <w:i/>
      <w:iCs/>
    </w:rPr>
  </w:style>
  <w:style w:type="paragraph" w:styleId="NormalWeb">
    <w:name w:val="Normal (Web)"/>
    <w:basedOn w:val="Normal"/>
    <w:uiPriority w:val="99"/>
    <w:unhideWhenUsed/>
    <w:rsid w:val="00544741"/>
    <w:pPr>
      <w:spacing w:before="100" w:beforeAutospacing="1" w:after="100" w:afterAutospacing="1" w:line="240" w:lineRule="auto"/>
    </w:pPr>
    <w:rPr>
      <w:rFonts w:ascii="Times New Roman" w:eastAsia="Times New Roman" w:hAnsi="Times New Roman" w:cs="Times New Roman"/>
      <w:kern w:val="0"/>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4">
      <w:bodyDiv w:val="1"/>
      <w:marLeft w:val="0"/>
      <w:marRight w:val="0"/>
      <w:marTop w:val="0"/>
      <w:marBottom w:val="0"/>
      <w:divBdr>
        <w:top w:val="none" w:sz="0" w:space="0" w:color="auto"/>
        <w:left w:val="none" w:sz="0" w:space="0" w:color="auto"/>
        <w:bottom w:val="none" w:sz="0" w:space="0" w:color="auto"/>
        <w:right w:val="none" w:sz="0" w:space="0" w:color="auto"/>
      </w:divBdr>
    </w:div>
    <w:div w:id="17856361">
      <w:bodyDiv w:val="1"/>
      <w:marLeft w:val="0"/>
      <w:marRight w:val="0"/>
      <w:marTop w:val="0"/>
      <w:marBottom w:val="0"/>
      <w:divBdr>
        <w:top w:val="none" w:sz="0" w:space="0" w:color="auto"/>
        <w:left w:val="none" w:sz="0" w:space="0" w:color="auto"/>
        <w:bottom w:val="none" w:sz="0" w:space="0" w:color="auto"/>
        <w:right w:val="none" w:sz="0" w:space="0" w:color="auto"/>
      </w:divBdr>
    </w:div>
    <w:div w:id="283318830">
      <w:bodyDiv w:val="1"/>
      <w:marLeft w:val="0"/>
      <w:marRight w:val="0"/>
      <w:marTop w:val="0"/>
      <w:marBottom w:val="0"/>
      <w:divBdr>
        <w:top w:val="none" w:sz="0" w:space="0" w:color="auto"/>
        <w:left w:val="none" w:sz="0" w:space="0" w:color="auto"/>
        <w:bottom w:val="none" w:sz="0" w:space="0" w:color="auto"/>
        <w:right w:val="none" w:sz="0" w:space="0" w:color="auto"/>
      </w:divBdr>
    </w:div>
    <w:div w:id="450899370">
      <w:bodyDiv w:val="1"/>
      <w:marLeft w:val="0"/>
      <w:marRight w:val="0"/>
      <w:marTop w:val="0"/>
      <w:marBottom w:val="0"/>
      <w:divBdr>
        <w:top w:val="none" w:sz="0" w:space="0" w:color="auto"/>
        <w:left w:val="none" w:sz="0" w:space="0" w:color="auto"/>
        <w:bottom w:val="none" w:sz="0" w:space="0" w:color="auto"/>
        <w:right w:val="none" w:sz="0" w:space="0" w:color="auto"/>
      </w:divBdr>
    </w:div>
    <w:div w:id="462694902">
      <w:bodyDiv w:val="1"/>
      <w:marLeft w:val="0"/>
      <w:marRight w:val="0"/>
      <w:marTop w:val="0"/>
      <w:marBottom w:val="0"/>
      <w:divBdr>
        <w:top w:val="none" w:sz="0" w:space="0" w:color="auto"/>
        <w:left w:val="none" w:sz="0" w:space="0" w:color="auto"/>
        <w:bottom w:val="none" w:sz="0" w:space="0" w:color="auto"/>
        <w:right w:val="none" w:sz="0" w:space="0" w:color="auto"/>
      </w:divBdr>
    </w:div>
    <w:div w:id="476650979">
      <w:bodyDiv w:val="1"/>
      <w:marLeft w:val="0"/>
      <w:marRight w:val="0"/>
      <w:marTop w:val="0"/>
      <w:marBottom w:val="0"/>
      <w:divBdr>
        <w:top w:val="none" w:sz="0" w:space="0" w:color="auto"/>
        <w:left w:val="none" w:sz="0" w:space="0" w:color="auto"/>
        <w:bottom w:val="none" w:sz="0" w:space="0" w:color="auto"/>
        <w:right w:val="none" w:sz="0" w:space="0" w:color="auto"/>
      </w:divBdr>
    </w:div>
    <w:div w:id="517739967">
      <w:bodyDiv w:val="1"/>
      <w:marLeft w:val="0"/>
      <w:marRight w:val="0"/>
      <w:marTop w:val="0"/>
      <w:marBottom w:val="0"/>
      <w:divBdr>
        <w:top w:val="none" w:sz="0" w:space="0" w:color="auto"/>
        <w:left w:val="none" w:sz="0" w:space="0" w:color="auto"/>
        <w:bottom w:val="none" w:sz="0" w:space="0" w:color="auto"/>
        <w:right w:val="none" w:sz="0" w:space="0" w:color="auto"/>
      </w:divBdr>
    </w:div>
    <w:div w:id="577904181">
      <w:bodyDiv w:val="1"/>
      <w:marLeft w:val="0"/>
      <w:marRight w:val="0"/>
      <w:marTop w:val="0"/>
      <w:marBottom w:val="0"/>
      <w:divBdr>
        <w:top w:val="none" w:sz="0" w:space="0" w:color="auto"/>
        <w:left w:val="none" w:sz="0" w:space="0" w:color="auto"/>
        <w:bottom w:val="none" w:sz="0" w:space="0" w:color="auto"/>
        <w:right w:val="none" w:sz="0" w:space="0" w:color="auto"/>
      </w:divBdr>
    </w:div>
    <w:div w:id="741803335">
      <w:bodyDiv w:val="1"/>
      <w:marLeft w:val="0"/>
      <w:marRight w:val="0"/>
      <w:marTop w:val="0"/>
      <w:marBottom w:val="0"/>
      <w:divBdr>
        <w:top w:val="none" w:sz="0" w:space="0" w:color="auto"/>
        <w:left w:val="none" w:sz="0" w:space="0" w:color="auto"/>
        <w:bottom w:val="none" w:sz="0" w:space="0" w:color="auto"/>
        <w:right w:val="none" w:sz="0" w:space="0" w:color="auto"/>
      </w:divBdr>
    </w:div>
    <w:div w:id="764810735">
      <w:bodyDiv w:val="1"/>
      <w:marLeft w:val="0"/>
      <w:marRight w:val="0"/>
      <w:marTop w:val="0"/>
      <w:marBottom w:val="0"/>
      <w:divBdr>
        <w:top w:val="none" w:sz="0" w:space="0" w:color="auto"/>
        <w:left w:val="none" w:sz="0" w:space="0" w:color="auto"/>
        <w:bottom w:val="none" w:sz="0" w:space="0" w:color="auto"/>
        <w:right w:val="none" w:sz="0" w:space="0" w:color="auto"/>
      </w:divBdr>
    </w:div>
    <w:div w:id="777869550">
      <w:bodyDiv w:val="1"/>
      <w:marLeft w:val="0"/>
      <w:marRight w:val="0"/>
      <w:marTop w:val="0"/>
      <w:marBottom w:val="0"/>
      <w:divBdr>
        <w:top w:val="none" w:sz="0" w:space="0" w:color="auto"/>
        <w:left w:val="none" w:sz="0" w:space="0" w:color="auto"/>
        <w:bottom w:val="none" w:sz="0" w:space="0" w:color="auto"/>
        <w:right w:val="none" w:sz="0" w:space="0" w:color="auto"/>
      </w:divBdr>
    </w:div>
    <w:div w:id="824391652">
      <w:bodyDiv w:val="1"/>
      <w:marLeft w:val="0"/>
      <w:marRight w:val="0"/>
      <w:marTop w:val="0"/>
      <w:marBottom w:val="0"/>
      <w:divBdr>
        <w:top w:val="none" w:sz="0" w:space="0" w:color="auto"/>
        <w:left w:val="none" w:sz="0" w:space="0" w:color="auto"/>
        <w:bottom w:val="none" w:sz="0" w:space="0" w:color="auto"/>
        <w:right w:val="none" w:sz="0" w:space="0" w:color="auto"/>
      </w:divBdr>
    </w:div>
    <w:div w:id="880945452">
      <w:bodyDiv w:val="1"/>
      <w:marLeft w:val="0"/>
      <w:marRight w:val="0"/>
      <w:marTop w:val="0"/>
      <w:marBottom w:val="0"/>
      <w:divBdr>
        <w:top w:val="none" w:sz="0" w:space="0" w:color="auto"/>
        <w:left w:val="none" w:sz="0" w:space="0" w:color="auto"/>
        <w:bottom w:val="none" w:sz="0" w:space="0" w:color="auto"/>
        <w:right w:val="none" w:sz="0" w:space="0" w:color="auto"/>
      </w:divBdr>
    </w:div>
    <w:div w:id="900553978">
      <w:bodyDiv w:val="1"/>
      <w:marLeft w:val="0"/>
      <w:marRight w:val="0"/>
      <w:marTop w:val="0"/>
      <w:marBottom w:val="0"/>
      <w:divBdr>
        <w:top w:val="none" w:sz="0" w:space="0" w:color="auto"/>
        <w:left w:val="none" w:sz="0" w:space="0" w:color="auto"/>
        <w:bottom w:val="none" w:sz="0" w:space="0" w:color="auto"/>
        <w:right w:val="none" w:sz="0" w:space="0" w:color="auto"/>
      </w:divBdr>
    </w:div>
    <w:div w:id="976646690">
      <w:bodyDiv w:val="1"/>
      <w:marLeft w:val="0"/>
      <w:marRight w:val="0"/>
      <w:marTop w:val="0"/>
      <w:marBottom w:val="0"/>
      <w:divBdr>
        <w:top w:val="none" w:sz="0" w:space="0" w:color="auto"/>
        <w:left w:val="none" w:sz="0" w:space="0" w:color="auto"/>
        <w:bottom w:val="none" w:sz="0" w:space="0" w:color="auto"/>
        <w:right w:val="none" w:sz="0" w:space="0" w:color="auto"/>
      </w:divBdr>
    </w:div>
    <w:div w:id="1016082519">
      <w:bodyDiv w:val="1"/>
      <w:marLeft w:val="0"/>
      <w:marRight w:val="0"/>
      <w:marTop w:val="0"/>
      <w:marBottom w:val="0"/>
      <w:divBdr>
        <w:top w:val="none" w:sz="0" w:space="0" w:color="auto"/>
        <w:left w:val="none" w:sz="0" w:space="0" w:color="auto"/>
        <w:bottom w:val="none" w:sz="0" w:space="0" w:color="auto"/>
        <w:right w:val="none" w:sz="0" w:space="0" w:color="auto"/>
      </w:divBdr>
    </w:div>
    <w:div w:id="1070889149">
      <w:bodyDiv w:val="1"/>
      <w:marLeft w:val="0"/>
      <w:marRight w:val="0"/>
      <w:marTop w:val="0"/>
      <w:marBottom w:val="0"/>
      <w:divBdr>
        <w:top w:val="none" w:sz="0" w:space="0" w:color="auto"/>
        <w:left w:val="none" w:sz="0" w:space="0" w:color="auto"/>
        <w:bottom w:val="none" w:sz="0" w:space="0" w:color="auto"/>
        <w:right w:val="none" w:sz="0" w:space="0" w:color="auto"/>
      </w:divBdr>
    </w:div>
    <w:div w:id="1088161689">
      <w:bodyDiv w:val="1"/>
      <w:marLeft w:val="0"/>
      <w:marRight w:val="0"/>
      <w:marTop w:val="0"/>
      <w:marBottom w:val="0"/>
      <w:divBdr>
        <w:top w:val="none" w:sz="0" w:space="0" w:color="auto"/>
        <w:left w:val="none" w:sz="0" w:space="0" w:color="auto"/>
        <w:bottom w:val="none" w:sz="0" w:space="0" w:color="auto"/>
        <w:right w:val="none" w:sz="0" w:space="0" w:color="auto"/>
      </w:divBdr>
    </w:div>
    <w:div w:id="1098214624">
      <w:bodyDiv w:val="1"/>
      <w:marLeft w:val="0"/>
      <w:marRight w:val="0"/>
      <w:marTop w:val="0"/>
      <w:marBottom w:val="0"/>
      <w:divBdr>
        <w:top w:val="none" w:sz="0" w:space="0" w:color="auto"/>
        <w:left w:val="none" w:sz="0" w:space="0" w:color="auto"/>
        <w:bottom w:val="none" w:sz="0" w:space="0" w:color="auto"/>
        <w:right w:val="none" w:sz="0" w:space="0" w:color="auto"/>
      </w:divBdr>
    </w:div>
    <w:div w:id="1121417305">
      <w:bodyDiv w:val="1"/>
      <w:marLeft w:val="0"/>
      <w:marRight w:val="0"/>
      <w:marTop w:val="0"/>
      <w:marBottom w:val="0"/>
      <w:divBdr>
        <w:top w:val="none" w:sz="0" w:space="0" w:color="auto"/>
        <w:left w:val="none" w:sz="0" w:space="0" w:color="auto"/>
        <w:bottom w:val="none" w:sz="0" w:space="0" w:color="auto"/>
        <w:right w:val="none" w:sz="0" w:space="0" w:color="auto"/>
      </w:divBdr>
    </w:div>
    <w:div w:id="1159931322">
      <w:bodyDiv w:val="1"/>
      <w:marLeft w:val="0"/>
      <w:marRight w:val="0"/>
      <w:marTop w:val="0"/>
      <w:marBottom w:val="0"/>
      <w:divBdr>
        <w:top w:val="none" w:sz="0" w:space="0" w:color="auto"/>
        <w:left w:val="none" w:sz="0" w:space="0" w:color="auto"/>
        <w:bottom w:val="none" w:sz="0" w:space="0" w:color="auto"/>
        <w:right w:val="none" w:sz="0" w:space="0" w:color="auto"/>
      </w:divBdr>
    </w:div>
    <w:div w:id="1242443048">
      <w:bodyDiv w:val="1"/>
      <w:marLeft w:val="0"/>
      <w:marRight w:val="0"/>
      <w:marTop w:val="0"/>
      <w:marBottom w:val="0"/>
      <w:divBdr>
        <w:top w:val="none" w:sz="0" w:space="0" w:color="auto"/>
        <w:left w:val="none" w:sz="0" w:space="0" w:color="auto"/>
        <w:bottom w:val="none" w:sz="0" w:space="0" w:color="auto"/>
        <w:right w:val="none" w:sz="0" w:space="0" w:color="auto"/>
      </w:divBdr>
    </w:div>
    <w:div w:id="1279947385">
      <w:bodyDiv w:val="1"/>
      <w:marLeft w:val="0"/>
      <w:marRight w:val="0"/>
      <w:marTop w:val="0"/>
      <w:marBottom w:val="0"/>
      <w:divBdr>
        <w:top w:val="none" w:sz="0" w:space="0" w:color="auto"/>
        <w:left w:val="none" w:sz="0" w:space="0" w:color="auto"/>
        <w:bottom w:val="none" w:sz="0" w:space="0" w:color="auto"/>
        <w:right w:val="none" w:sz="0" w:space="0" w:color="auto"/>
      </w:divBdr>
    </w:div>
    <w:div w:id="1409309066">
      <w:bodyDiv w:val="1"/>
      <w:marLeft w:val="0"/>
      <w:marRight w:val="0"/>
      <w:marTop w:val="0"/>
      <w:marBottom w:val="0"/>
      <w:divBdr>
        <w:top w:val="none" w:sz="0" w:space="0" w:color="auto"/>
        <w:left w:val="none" w:sz="0" w:space="0" w:color="auto"/>
        <w:bottom w:val="none" w:sz="0" w:space="0" w:color="auto"/>
        <w:right w:val="none" w:sz="0" w:space="0" w:color="auto"/>
      </w:divBdr>
    </w:div>
    <w:div w:id="1517426422">
      <w:bodyDiv w:val="1"/>
      <w:marLeft w:val="0"/>
      <w:marRight w:val="0"/>
      <w:marTop w:val="0"/>
      <w:marBottom w:val="0"/>
      <w:divBdr>
        <w:top w:val="none" w:sz="0" w:space="0" w:color="auto"/>
        <w:left w:val="none" w:sz="0" w:space="0" w:color="auto"/>
        <w:bottom w:val="none" w:sz="0" w:space="0" w:color="auto"/>
        <w:right w:val="none" w:sz="0" w:space="0" w:color="auto"/>
      </w:divBdr>
    </w:div>
    <w:div w:id="1633368508">
      <w:bodyDiv w:val="1"/>
      <w:marLeft w:val="0"/>
      <w:marRight w:val="0"/>
      <w:marTop w:val="0"/>
      <w:marBottom w:val="0"/>
      <w:divBdr>
        <w:top w:val="none" w:sz="0" w:space="0" w:color="auto"/>
        <w:left w:val="none" w:sz="0" w:space="0" w:color="auto"/>
        <w:bottom w:val="none" w:sz="0" w:space="0" w:color="auto"/>
        <w:right w:val="none" w:sz="0" w:space="0" w:color="auto"/>
      </w:divBdr>
    </w:div>
    <w:div w:id="1743601104">
      <w:bodyDiv w:val="1"/>
      <w:marLeft w:val="0"/>
      <w:marRight w:val="0"/>
      <w:marTop w:val="0"/>
      <w:marBottom w:val="0"/>
      <w:divBdr>
        <w:top w:val="none" w:sz="0" w:space="0" w:color="auto"/>
        <w:left w:val="none" w:sz="0" w:space="0" w:color="auto"/>
        <w:bottom w:val="none" w:sz="0" w:space="0" w:color="auto"/>
        <w:right w:val="none" w:sz="0" w:space="0" w:color="auto"/>
      </w:divBdr>
    </w:div>
    <w:div w:id="1760565114">
      <w:bodyDiv w:val="1"/>
      <w:marLeft w:val="0"/>
      <w:marRight w:val="0"/>
      <w:marTop w:val="0"/>
      <w:marBottom w:val="0"/>
      <w:divBdr>
        <w:top w:val="none" w:sz="0" w:space="0" w:color="auto"/>
        <w:left w:val="none" w:sz="0" w:space="0" w:color="auto"/>
        <w:bottom w:val="none" w:sz="0" w:space="0" w:color="auto"/>
        <w:right w:val="none" w:sz="0" w:space="0" w:color="auto"/>
      </w:divBdr>
    </w:div>
    <w:div w:id="1910308968">
      <w:bodyDiv w:val="1"/>
      <w:marLeft w:val="0"/>
      <w:marRight w:val="0"/>
      <w:marTop w:val="0"/>
      <w:marBottom w:val="0"/>
      <w:divBdr>
        <w:top w:val="none" w:sz="0" w:space="0" w:color="auto"/>
        <w:left w:val="none" w:sz="0" w:space="0" w:color="auto"/>
        <w:bottom w:val="none" w:sz="0" w:space="0" w:color="auto"/>
        <w:right w:val="none" w:sz="0" w:space="0" w:color="auto"/>
      </w:divBdr>
    </w:div>
    <w:div w:id="1927373869">
      <w:bodyDiv w:val="1"/>
      <w:marLeft w:val="0"/>
      <w:marRight w:val="0"/>
      <w:marTop w:val="0"/>
      <w:marBottom w:val="0"/>
      <w:divBdr>
        <w:top w:val="none" w:sz="0" w:space="0" w:color="auto"/>
        <w:left w:val="none" w:sz="0" w:space="0" w:color="auto"/>
        <w:bottom w:val="none" w:sz="0" w:space="0" w:color="auto"/>
        <w:right w:val="none" w:sz="0" w:space="0" w:color="auto"/>
      </w:divBdr>
    </w:div>
    <w:div w:id="1936815532">
      <w:bodyDiv w:val="1"/>
      <w:marLeft w:val="0"/>
      <w:marRight w:val="0"/>
      <w:marTop w:val="0"/>
      <w:marBottom w:val="0"/>
      <w:divBdr>
        <w:top w:val="none" w:sz="0" w:space="0" w:color="auto"/>
        <w:left w:val="none" w:sz="0" w:space="0" w:color="auto"/>
        <w:bottom w:val="none" w:sz="0" w:space="0" w:color="auto"/>
        <w:right w:val="none" w:sz="0" w:space="0" w:color="auto"/>
      </w:divBdr>
    </w:div>
    <w:div w:id="1940529402">
      <w:bodyDiv w:val="1"/>
      <w:marLeft w:val="0"/>
      <w:marRight w:val="0"/>
      <w:marTop w:val="0"/>
      <w:marBottom w:val="0"/>
      <w:divBdr>
        <w:top w:val="none" w:sz="0" w:space="0" w:color="auto"/>
        <w:left w:val="none" w:sz="0" w:space="0" w:color="auto"/>
        <w:bottom w:val="none" w:sz="0" w:space="0" w:color="auto"/>
        <w:right w:val="none" w:sz="0" w:space="0" w:color="auto"/>
      </w:divBdr>
    </w:div>
    <w:div w:id="1948611032">
      <w:bodyDiv w:val="1"/>
      <w:marLeft w:val="0"/>
      <w:marRight w:val="0"/>
      <w:marTop w:val="0"/>
      <w:marBottom w:val="0"/>
      <w:divBdr>
        <w:top w:val="none" w:sz="0" w:space="0" w:color="auto"/>
        <w:left w:val="none" w:sz="0" w:space="0" w:color="auto"/>
        <w:bottom w:val="none" w:sz="0" w:space="0" w:color="auto"/>
        <w:right w:val="none" w:sz="0" w:space="0" w:color="auto"/>
      </w:divBdr>
    </w:div>
    <w:div w:id="2041740926">
      <w:bodyDiv w:val="1"/>
      <w:marLeft w:val="0"/>
      <w:marRight w:val="0"/>
      <w:marTop w:val="0"/>
      <w:marBottom w:val="0"/>
      <w:divBdr>
        <w:top w:val="none" w:sz="0" w:space="0" w:color="auto"/>
        <w:left w:val="none" w:sz="0" w:space="0" w:color="auto"/>
        <w:bottom w:val="none" w:sz="0" w:space="0" w:color="auto"/>
        <w:right w:val="none" w:sz="0" w:space="0" w:color="auto"/>
      </w:divBdr>
    </w:div>
    <w:div w:id="21229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E875-99D2-AA43-BA04-B5A4997F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5600</Words>
  <Characters>31924</Characters>
  <Application>Microsoft Macintosh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Ayadi, Youssra</dc:creator>
  <cp:keywords/>
  <dc:description/>
  <cp:lastModifiedBy>Frank Valdes</cp:lastModifiedBy>
  <cp:revision>2</cp:revision>
  <dcterms:created xsi:type="dcterms:W3CDTF">2025-05-03T16:46:00Z</dcterms:created>
  <dcterms:modified xsi:type="dcterms:W3CDTF">2025-05-03T16:46:00Z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a118d48d-448a-4614-a6b4-d9358f18a3f6</vt:lpwstr>
  </property>
</Properties>
</file>