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DA0C7" w14:textId="77777777" w:rsidR="003E2F68" w:rsidRDefault="003E2F68" w:rsidP="00E073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</w:pPr>
      <w:r w:rsidRPr="003E2F68">
        <w:rPr>
          <w:rFonts w:ascii="Times New Roman" w:hAnsi="Times New Roman" w:cs="Times New Roman"/>
          <w:b/>
          <w:caps/>
          <w:sz w:val="24"/>
          <w:szCs w:val="24"/>
        </w:rPr>
        <w:t>Los académicos periféricos, la teoría legal y la perspectiva OutCrit: La visión postsubordinación como método jurisprudencial</w:t>
      </w:r>
      <w:r w:rsidRPr="003E2F68"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  <w:t xml:space="preserve"> </w:t>
      </w:r>
    </w:p>
    <w:p w14:paraId="51B98563" w14:textId="36CA7044" w:rsidR="00E07309" w:rsidRPr="00873F48" w:rsidRDefault="00E07309" w:rsidP="00E07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 w:rsidRPr="00873F48">
        <w:rPr>
          <w:rFonts w:ascii="Times New Roman" w:hAnsi="Times New Roman" w:cs="Times New Roman"/>
          <w:sz w:val="24"/>
          <w:szCs w:val="24"/>
          <w:lang w:val="es-US"/>
        </w:rPr>
        <w:t>Francisco Vald</w:t>
      </w:r>
      <w:r w:rsidR="003E2F68">
        <w:rPr>
          <w:rFonts w:ascii="Times New Roman" w:hAnsi="Times New Roman" w:cs="Times New Roman"/>
          <w:sz w:val="24"/>
          <w:szCs w:val="24"/>
          <w:lang w:val="es-US"/>
        </w:rPr>
        <w:t>é</w:t>
      </w:r>
      <w:r w:rsidRPr="00873F48">
        <w:rPr>
          <w:rFonts w:ascii="Times New Roman" w:hAnsi="Times New Roman" w:cs="Times New Roman"/>
          <w:sz w:val="24"/>
          <w:szCs w:val="24"/>
          <w:lang w:val="es-US"/>
        </w:rPr>
        <w:t>s</w:t>
      </w:r>
    </w:p>
    <w:p w14:paraId="7A771001" w14:textId="0474F747" w:rsidR="00E07309" w:rsidRPr="003E2F68" w:rsidRDefault="00400C4E" w:rsidP="00E07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F68">
        <w:rPr>
          <w:rFonts w:ascii="Times New Roman" w:hAnsi="Times New Roman" w:cs="Times New Roman"/>
          <w:sz w:val="24"/>
          <w:szCs w:val="24"/>
        </w:rPr>
        <w:t xml:space="preserve">49 DePaul </w:t>
      </w:r>
      <w:r w:rsidR="00587450" w:rsidRPr="003E2F68"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3E2F68">
        <w:rPr>
          <w:rFonts w:ascii="Times New Roman" w:hAnsi="Times New Roman" w:cs="Times New Roman"/>
          <w:sz w:val="24"/>
          <w:szCs w:val="24"/>
        </w:rPr>
        <w:t>Law Rev</w:t>
      </w:r>
      <w:r w:rsidR="00A7561F" w:rsidRPr="003E2F68">
        <w:rPr>
          <w:rFonts w:ascii="Times New Roman" w:hAnsi="Times New Roman" w:cs="Times New Roman"/>
          <w:sz w:val="24"/>
          <w:szCs w:val="24"/>
        </w:rPr>
        <w:t>iew</w:t>
      </w:r>
      <w:r w:rsidR="00E07309" w:rsidRPr="003E2F68">
        <w:rPr>
          <w:rFonts w:ascii="Times New Roman" w:hAnsi="Times New Roman" w:cs="Times New Roman"/>
          <w:sz w:val="24"/>
          <w:szCs w:val="24"/>
        </w:rPr>
        <w:t xml:space="preserve"> 831 (2000)</w:t>
      </w:r>
    </w:p>
    <w:p w14:paraId="05B96E3B" w14:textId="020BF4B8" w:rsidR="00E07309" w:rsidRPr="003E2F68" w:rsidRDefault="009D54AF" w:rsidP="000F3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07309" w:rsidRPr="003E2F68">
          <w:rPr>
            <w:rStyle w:val="Hyperlink"/>
            <w:rFonts w:ascii="Times New Roman" w:hAnsi="Times New Roman" w:cs="Times New Roman"/>
            <w:sz w:val="24"/>
            <w:szCs w:val="24"/>
          </w:rPr>
          <w:t>https://via.library.depaul.edu/law-review/vol49/iss3/6</w:t>
        </w:r>
      </w:hyperlink>
      <w:r w:rsidR="00E07309" w:rsidRPr="003E2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CC2FD" w14:textId="77777777" w:rsidR="00A7561F" w:rsidRPr="003E2F68" w:rsidRDefault="00A7561F" w:rsidP="00E07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47D38A" w14:textId="571720B3" w:rsidR="000F3902" w:rsidRDefault="00E07309" w:rsidP="00E07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7561F">
        <w:rPr>
          <w:rFonts w:ascii="Times New Roman" w:hAnsi="Times New Roman" w:cs="Times New Roman"/>
          <w:b/>
          <w:sz w:val="24"/>
          <w:szCs w:val="24"/>
          <w:u w:val="single"/>
        </w:rPr>
        <w:t>Introduc</w:t>
      </w:r>
      <w:r w:rsidR="003E2F68">
        <w:rPr>
          <w:rFonts w:ascii="Times New Roman" w:hAnsi="Times New Roman" w:cs="Times New Roman"/>
          <w:b/>
          <w:sz w:val="24"/>
          <w:szCs w:val="24"/>
          <w:u w:val="single"/>
        </w:rPr>
        <w:t>ción</w:t>
      </w:r>
      <w:proofErr w:type="spellEnd"/>
    </w:p>
    <w:p w14:paraId="347F8A64" w14:textId="0257AB9B" w:rsidR="00DC044D" w:rsidRDefault="000F3902" w:rsidP="00DC044D">
      <w:pPr>
        <w:pStyle w:val="p1"/>
        <w:ind w:firstLine="720"/>
      </w:pPr>
      <w:r>
        <w:t xml:space="preserve">Este ensayo considera la relación entre la Teoría Crítica de </w:t>
      </w:r>
      <w:r w:rsidR="00F93471">
        <w:t xml:space="preserve">la </w:t>
      </w:r>
      <w:r>
        <w:t>Raza (</w:t>
      </w:r>
      <w:r>
        <w:rPr>
          <w:i/>
          <w:iCs/>
        </w:rPr>
        <w:t>Critical Race Theory</w:t>
      </w:r>
      <w:r>
        <w:t xml:space="preserve">, CRT) </w:t>
      </w:r>
      <w:r w:rsidR="006F1D9A">
        <w:t>con</w:t>
      </w:r>
      <w:r>
        <w:t xml:space="preserve"> el concepto y </w:t>
      </w:r>
      <w:r w:rsidR="006F1D9A">
        <w:t xml:space="preserve">el </w:t>
      </w:r>
      <w:r>
        <w:t xml:space="preserve">potencial de la visión postsubordinación como método jurídico. </w:t>
      </w:r>
      <w:r w:rsidR="00E2323F">
        <w:t>C</w:t>
      </w:r>
      <w:r>
        <w:t xml:space="preserve">omo se expone a continuación, la postsubordinación es tanto un medio como un fin. </w:t>
      </w:r>
      <w:r w:rsidR="00DC044D">
        <w:t>C</w:t>
      </w:r>
      <w:r>
        <w:t xml:space="preserve">omprende tanto método como contenido, ya que describe el proyecto de articular y </w:t>
      </w:r>
      <w:r w:rsidR="00DC044D">
        <w:t xml:space="preserve">de </w:t>
      </w:r>
      <w:r>
        <w:t>generar las condiciones sociojurídicas necesarias</w:t>
      </w:r>
      <w:r w:rsidR="00DC044D">
        <w:t>,</w:t>
      </w:r>
      <w:r>
        <w:t xml:space="preserve"> para que las comunidades históricamente excluidas alcancen una seguridad material</w:t>
      </w:r>
      <w:r w:rsidR="00DC044D">
        <w:t>,</w:t>
      </w:r>
      <w:r>
        <w:t xml:space="preserve"> dentro de un orden social equitativo.</w:t>
      </w:r>
    </w:p>
    <w:p w14:paraId="2DA93455" w14:textId="1AB41501" w:rsidR="0059685B" w:rsidRDefault="000F3902" w:rsidP="0059685B">
      <w:pPr>
        <w:pStyle w:val="p1"/>
        <w:ind w:firstLine="720"/>
      </w:pPr>
      <w:r>
        <w:t xml:space="preserve">Por “seguridad material” me refiero específicamente al acceso seguro, continuo y garantizado de los grupos marginados a los derechos, </w:t>
      </w:r>
      <w:r w:rsidR="00EC431A">
        <w:t xml:space="preserve">los </w:t>
      </w:r>
      <w:r>
        <w:t xml:space="preserve">bienes y </w:t>
      </w:r>
      <w:r w:rsidR="00EC431A">
        <w:t xml:space="preserve">los </w:t>
      </w:r>
      <w:r>
        <w:t>servicios básicos</w:t>
      </w:r>
      <w:r w:rsidR="00EC431A">
        <w:t>,</w:t>
      </w:r>
      <w:r>
        <w:t xml:space="preserve"> que son</w:t>
      </w:r>
      <w:r w:rsidR="00EC431A">
        <w:t>,</w:t>
      </w:r>
      <w:r>
        <w:t xml:space="preserve"> sustancialmente</w:t>
      </w:r>
      <w:r w:rsidR="00EC431A">
        <w:t>,</w:t>
      </w:r>
      <w:r>
        <w:t xml:space="preserve"> necesarios para el bienestar humano. </w:t>
      </w:r>
      <w:r w:rsidR="0059685B">
        <w:t xml:space="preserve">Desde un punto de vista más doctrinal, y tal vez algo más simple, entiendo por “seguridad sustantiva” el estado general de cosas que sólo es posible después de que los grupos marginados, en </w:t>
      </w:r>
      <w:r w:rsidR="0059685B" w:rsidRPr="00D75509">
        <w:rPr>
          <w:i/>
          <w:iCs/>
        </w:rPr>
        <w:t>tanto que</w:t>
      </w:r>
      <w:r w:rsidR="0059685B">
        <w:t xml:space="preserve"> grupos marginados, finalmente obtengan y disfruten de las </w:t>
      </w:r>
      <w:r w:rsidR="00D75509">
        <w:t>“</w:t>
      </w:r>
      <w:r w:rsidR="0059685B">
        <w:t>tres generaciones</w:t>
      </w:r>
      <w:r w:rsidR="00D75509">
        <w:t>”</w:t>
      </w:r>
      <w:r w:rsidR="0059685B">
        <w:t xml:space="preserve"> de derechos civiles y políticos, económicos, sociales y culturales, y de grupo, que los pactos internacionales ya reconocen y nos prometen a todos. Aunque el régimen internacional de derechos humanos deja mucho que desear, proporciona un punto de partida formal</w:t>
      </w:r>
      <w:r w:rsidR="00D75509">
        <w:t>,</w:t>
      </w:r>
      <w:r w:rsidR="0059685B">
        <w:t xml:space="preserve"> para la visión postsubordinación</w:t>
      </w:r>
      <w:r w:rsidR="00D75509">
        <w:t>,</w:t>
      </w:r>
      <w:r w:rsidR="0059685B">
        <w:t xml:space="preserve"> hacia una sociedad equitativa con justicia</w:t>
      </w:r>
      <w:r w:rsidR="00F27D5D">
        <w:t xml:space="preserve"> igualitaria</w:t>
      </w:r>
      <w:r w:rsidR="0059685B">
        <w:t xml:space="preserve"> y seguridad material para todos.</w:t>
      </w:r>
    </w:p>
    <w:p w14:paraId="10AD3279" w14:textId="2088CDC8" w:rsidR="00E85FAE" w:rsidRDefault="00E85FAE" w:rsidP="00E85FAE">
      <w:pPr>
        <w:pStyle w:val="p1"/>
        <w:ind w:firstLine="720"/>
      </w:pPr>
      <w:r>
        <w:t>La visión postsubordinación, fundamentada en la seguridad material dentro de un orden social equitativo, convoca un tiempo y un lugar en los cuales las personas racializadas, las mujeres, las minorías sexuales y otros grupos tradicionalmente subordinados ya no sean objeto de desprecio social, de crímenes de odio ni de una democracia reactiva. Imagina una sociedad en la que estas poblaciones</w:t>
      </w:r>
      <w:r w:rsidR="009452B9">
        <w:t>,</w:t>
      </w:r>
      <w:r>
        <w:t xml:space="preserve"> históricamente marginadas</w:t>
      </w:r>
      <w:r w:rsidR="009452B9">
        <w:t>,</w:t>
      </w:r>
      <w:r>
        <w:t xml:space="preserve"> estén bien representadas en la cultura popular, en el Congreso y en los pasillos del mundo corporativo. Describe una nación con espacios de juego, escuelas, lugares de trabajo, vecindarios y gobiernos diversos, múltiples y pacíficos. Exige la reestructuración de las condiciones sociales, jurídicas y económicas</w:t>
      </w:r>
      <w:r w:rsidR="005E7026">
        <w:t>,</w:t>
      </w:r>
      <w:r>
        <w:t xml:space="preserve"> para erradicar la imposición sistemática de la pobreza, la violencia y la explotación</w:t>
      </w:r>
      <w:r w:rsidR="005E7026">
        <w:t>,</w:t>
      </w:r>
      <w:r>
        <w:t xml:space="preserve"> basadas en el racismo, el sexismo, la xenofobia, la homofobia y otras ideologías similares de prejuicio y represión.</w:t>
      </w:r>
    </w:p>
    <w:p w14:paraId="11EA9864" w14:textId="68222F62" w:rsidR="00EA1D68" w:rsidRDefault="00EA1D68" w:rsidP="00621EF9">
      <w:pPr>
        <w:pStyle w:val="p1"/>
        <w:ind w:firstLine="720"/>
      </w:pPr>
      <w:r>
        <w:t>Al proponer la visión postsubordinación como método jurídico, este ensayo también busca replantear las preguntas sobre similitud y diferencia como relevantes</w:t>
      </w:r>
      <w:r w:rsidR="00BA54AE">
        <w:t>. Mas sin embargo</w:t>
      </w:r>
      <w:r>
        <w:t>, no como determinantes fundamentales o concluyentes de la posibilidad de formar coaliciones críticas</w:t>
      </w:r>
      <w:r w:rsidR="00A117C1">
        <w:t>,</w:t>
      </w:r>
      <w:r>
        <w:t xml:space="preserve"> </w:t>
      </w:r>
      <w:r w:rsidR="00BA54AE">
        <w:t xml:space="preserve">sino </w:t>
      </w:r>
      <w:r>
        <w:t>como vehículos de justicia social y seguridad material</w:t>
      </w:r>
      <w:r w:rsidR="00A117C1">
        <w:t>,</w:t>
      </w:r>
      <w:r>
        <w:t xml:space="preserve"> en un orden social equitativo y postsubordinación. Por “coaliciones críticas” me refiero a alianzas basadas en un interés </w:t>
      </w:r>
      <w:r>
        <w:lastRenderedPageBreak/>
        <w:t>reflexivo y recíproco en los objetivos o propósitos de un proyecto colaborativo y colectivo</w:t>
      </w:r>
      <w:r w:rsidR="00621EF9">
        <w:rPr>
          <w:rStyle w:val="FootnoteReference"/>
        </w:rPr>
        <w:footnoteReference w:id="1"/>
      </w:r>
      <w:r>
        <w:t>. Las coaliciones críticas significan colaboraciones intergrupales</w:t>
      </w:r>
      <w:r w:rsidR="000D5815">
        <w:t>,</w:t>
      </w:r>
      <w:r>
        <w:t xml:space="preserve"> fundamentadas</w:t>
      </w:r>
      <w:r w:rsidR="000D5815">
        <w:t>,</w:t>
      </w:r>
      <w:r>
        <w:t xml:space="preserve"> explícita y sustancialmente</w:t>
      </w:r>
      <w:r w:rsidR="000D5815">
        <w:t>,</w:t>
      </w:r>
      <w:r>
        <w:t xml:space="preserve"> en convicciones compartidas y compromisos mutuos</w:t>
      </w:r>
      <w:r w:rsidR="000D5815">
        <w:t>,</w:t>
      </w:r>
      <w:r>
        <w:t xml:space="preserve"> basados en valores y metas comunes, en lugar de en la coincidencia fortuita o en estrategias de interés propio cambiantes.</w:t>
      </w:r>
    </w:p>
    <w:p w14:paraId="2B261CBE" w14:textId="6F164077" w:rsidR="00F93471" w:rsidRDefault="00F93471" w:rsidP="00C77BD6">
      <w:pPr>
        <w:pStyle w:val="p1"/>
        <w:ind w:firstLine="720"/>
      </w:pPr>
      <w:r>
        <w:t xml:space="preserve">Aunque este ensayo es, evidentemente, solo un paso, dentro del camino más largo y amplio del segundo decenio de la Teoría Crítica de la Raza (CRT), hacia una sociedad postsubordinación, estas palabras buscan contribuir a que nuestro trabajo venidero acerque a les académiques </w:t>
      </w:r>
      <w:r>
        <w:rPr>
          <w:i/>
          <w:iCs/>
        </w:rPr>
        <w:t>OutCrit</w:t>
      </w:r>
      <w:r>
        <w:t>—diverses en múltiples dimensiones—hacia una era progresista, marcada por la seguridad material y la justicia social para todes.</w:t>
      </w:r>
      <w:r w:rsidR="00C77BD6">
        <w:t xml:space="preserve"> </w:t>
      </w:r>
      <w:r>
        <w:t xml:space="preserve">Por </w:t>
      </w:r>
      <w:r>
        <w:rPr>
          <w:i/>
          <w:iCs/>
        </w:rPr>
        <w:t>OutCrit</w:t>
      </w:r>
      <w:r>
        <w:t xml:space="preserve"> me refiero a “aquellos académicos que se identifican con los grupos marginados de este país, así como a nivel global”. Entre elles se encuentran quienes, en tiempos recientes, han dado origen a discursos jurídicos críticos como CRT, el feminismo jurídico, la teoría cuir y el pensamiento jurídico LatCrit. Esto incluye a feministas críticas de la raza, académiques asiático-american</w:t>
      </w:r>
      <w:r w:rsidR="00C77BD6">
        <w:t>e</w:t>
      </w:r>
      <w:r>
        <w:t>s, y estudios</w:t>
      </w:r>
      <w:r w:rsidR="00C77BD6">
        <w:t>e</w:t>
      </w:r>
      <w:r>
        <w:t>s de los pueblos originarios.</w:t>
      </w:r>
    </w:p>
    <w:p w14:paraId="4EB97636" w14:textId="54F63357" w:rsidR="00F93471" w:rsidRDefault="00E809A3" w:rsidP="00E809A3">
      <w:pPr>
        <w:pStyle w:val="p2"/>
        <w:ind w:firstLine="720"/>
      </w:pPr>
      <w:r>
        <w:t>E</w:t>
      </w:r>
      <w:r w:rsidRPr="00E809A3">
        <w:t>sta denominación OutCrit también es un esfuerzo consciente por conceptualizar y operativizar una interconexión mutua y proactiva</w:t>
      </w:r>
      <w:r>
        <w:t>,</w:t>
      </w:r>
      <w:r w:rsidRPr="00E809A3">
        <w:t xml:space="preserve"> de los análisis y </w:t>
      </w:r>
      <w:r>
        <w:t xml:space="preserve">las </w:t>
      </w:r>
      <w:r w:rsidRPr="00E809A3">
        <w:t>luchas por la justicia social</w:t>
      </w:r>
      <w:r>
        <w:t>,</w:t>
      </w:r>
      <w:r w:rsidRPr="00E809A3">
        <w:t xml:space="preserve"> de grupos subordinados variados y superpuestos</w:t>
      </w:r>
      <w:r w:rsidR="00AE64B2">
        <w:t>—</w:t>
      </w:r>
      <w:r w:rsidRPr="00E809A3">
        <w:t xml:space="preserve">aunque </w:t>
      </w:r>
      <w:r>
        <w:t>“</w:t>
      </w:r>
      <w:r w:rsidRPr="00E809A3">
        <w:t>diferentes</w:t>
      </w:r>
      <w:r>
        <w:t>”</w:t>
      </w:r>
      <w:r w:rsidR="00AE64B2" w:rsidRPr="00AE64B2">
        <w:t xml:space="preserve"> </w:t>
      </w:r>
      <w:r w:rsidR="00AE64B2">
        <w:t>—</w:t>
      </w:r>
      <w:r w:rsidRPr="00E809A3">
        <w:t>en Estados Unidos y en el mundo.</w:t>
      </w:r>
      <w:r>
        <w:t xml:space="preserve"> </w:t>
      </w:r>
      <w:r w:rsidR="00F93471">
        <w:t>Mi propósito y esperanza es que una identificación más amplia</w:t>
      </w:r>
      <w:r w:rsidR="00AE64B2">
        <w:t>,</w:t>
      </w:r>
      <w:r w:rsidR="00F93471">
        <w:t xml:space="preserve"> entre académi</w:t>
      </w:r>
      <w:r>
        <w:t>que</w:t>
      </w:r>
      <w:r w:rsidR="00F93471">
        <w:t xml:space="preserve">s jurídicxs progresistas y marginades como </w:t>
      </w:r>
      <w:r w:rsidR="00F93471">
        <w:rPr>
          <w:i/>
          <w:iCs/>
        </w:rPr>
        <w:t>OutCrits</w:t>
      </w:r>
      <w:r w:rsidR="00AE64B2" w:rsidRPr="00AE64B2">
        <w:t>,</w:t>
      </w:r>
      <w:r w:rsidR="00F93471">
        <w:t xml:space="preserve"> fortalezca nuestra comprensión colectiva e individual</w:t>
      </w:r>
      <w:r w:rsidR="00AE64B2">
        <w:t>,</w:t>
      </w:r>
      <w:r w:rsidR="00F93471">
        <w:t xml:space="preserve"> sobre las necesidades y </w:t>
      </w:r>
      <w:r w:rsidR="00AE64B2">
        <w:t xml:space="preserve">las </w:t>
      </w:r>
      <w:r w:rsidR="00F93471">
        <w:t>metas que deben sustentar los intercambios críticos y los proyectos colaborativos</w:t>
      </w:r>
      <w:r w:rsidR="00AE64B2">
        <w:t>,</w:t>
      </w:r>
      <w:r w:rsidR="00F93471">
        <w:t xml:space="preserve"> entre personas racializadas, minorías sexuales, mujeres y otros grupos excluidos.</w:t>
      </w:r>
    </w:p>
    <w:p w14:paraId="5504989D" w14:textId="57129A1F" w:rsidR="00F93471" w:rsidRDefault="00F93471" w:rsidP="00AE64B2">
      <w:pPr>
        <w:pStyle w:val="p1"/>
        <w:ind w:firstLine="720"/>
      </w:pPr>
      <w:r>
        <w:t xml:space="preserve">Idealmente, el marco y el enfoque de este ensayo—centrados en la visión postsubordinación, la seguridad material, las coaliciones críticas y el análisis del euroheteropatriarcado—contribuirán a fomentar una cultura de comunidad, convocatoria y colaboración antisubordinación entre las redes jurídicas </w:t>
      </w:r>
      <w:r>
        <w:rPr>
          <w:i/>
          <w:iCs/>
        </w:rPr>
        <w:t>OutCrit</w:t>
      </w:r>
      <w:r>
        <w:t>, en múltiples dimensiones</w:t>
      </w:r>
      <w:r w:rsidR="00AE64B2" w:rsidRPr="00AE64B2">
        <w:t xml:space="preserve"> </w:t>
      </w:r>
      <w:r w:rsidR="00AE64B2">
        <w:t>diversas</w:t>
      </w:r>
      <w:r>
        <w:t>. Todo esto, como forma de praxis académica orientada por la visión postsubordinación como método jurídico.</w:t>
      </w:r>
    </w:p>
    <w:p w14:paraId="6159DBC6" w14:textId="65F00C0C" w:rsidR="00BF3FE9" w:rsidRPr="00BF3FE9" w:rsidRDefault="00BF3FE9" w:rsidP="00A75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</w:pPr>
      <w:r w:rsidRPr="00BF3FE9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La visión postsubordinación como método jurisprudencial: Identidades, ideales e ideas</w:t>
      </w:r>
    </w:p>
    <w:p w14:paraId="2307386E" w14:textId="7047BC6C" w:rsidR="00B95069" w:rsidRDefault="0083500B" w:rsidP="00B95069">
      <w:pPr>
        <w:pStyle w:val="p1"/>
        <w:ind w:firstLine="720"/>
      </w:pPr>
      <w:r>
        <w:t xml:space="preserve">La experiencia acumulada y el registro de la jurisprudencia periférica ilustran cómo las iniciativas de la Teoría Crítica de </w:t>
      </w:r>
      <w:r w:rsidR="00742619">
        <w:t xml:space="preserve">la </w:t>
      </w:r>
      <w:r>
        <w:t xml:space="preserve">Raza (CRT), el feminismo, la teoría cuir y LatCrit </w:t>
      </w:r>
      <w:r w:rsidR="00857DE2" w:rsidRPr="00857DE2">
        <w:t>convergen y divergen de numerosas maneras significativas, tanto sustantiva como estructuralmente</w:t>
      </w:r>
      <w:r w:rsidR="00E41C5A">
        <w:t>,</w:t>
      </w:r>
      <w:r w:rsidR="00E41C5A" w:rsidRPr="00E41C5A">
        <w:t xml:space="preserve"> en la teoría jurídica crítica</w:t>
      </w:r>
      <w:r w:rsidR="00857DE2" w:rsidRPr="00857DE2">
        <w:t xml:space="preserve">. </w:t>
      </w:r>
      <w:r>
        <w:t>De maneras</w:t>
      </w:r>
      <w:r w:rsidR="00E41C5A">
        <w:t xml:space="preserve"> diversas</w:t>
      </w:r>
      <w:r>
        <w:t xml:space="preserve"> y en grados</w:t>
      </w:r>
      <w:r w:rsidR="00E41C5A" w:rsidRPr="00E41C5A">
        <w:t xml:space="preserve"> </w:t>
      </w:r>
      <w:r w:rsidR="00E41C5A">
        <w:t>distintos</w:t>
      </w:r>
      <w:r>
        <w:t xml:space="preserve">, estos discursos </w:t>
      </w:r>
      <w:r w:rsidR="007A449E">
        <w:t>periféricos</w:t>
      </w:r>
      <w:r>
        <w:t xml:space="preserve"> buscan representar ciertas perspectivas marginadas</w:t>
      </w:r>
      <w:r w:rsidR="002C27FB">
        <w:t xml:space="preserve">. Asimismo, promueven proyectos </w:t>
      </w:r>
      <w:r w:rsidR="002C27FB">
        <w:lastRenderedPageBreak/>
        <w:t>antisubordinación que son críticos, igualitarios, progresistas y diversos. Aceptan la subjetividad discursiva, la conciencia política y la responsabilidad social. Reconocen el posmodernismo, favorecen la praxis y fomentan la comunidad.</w:t>
      </w:r>
      <w:r w:rsidR="00200D38">
        <w:t xml:space="preserve"> </w:t>
      </w:r>
      <w:r w:rsidR="002C27FB">
        <w:t xml:space="preserve">Además, estos discursos </w:t>
      </w:r>
      <w:r w:rsidR="00197E19">
        <w:t xml:space="preserve">periféricos </w:t>
      </w:r>
      <w:r w:rsidR="00B95069" w:rsidRPr="00B95069">
        <w:t>han imaginado y aludido, pero no han descrito explícitamente, su visión de un orden postsubordinación para orientar nuestro trabajo colectivo antisubordinación.</w:t>
      </w:r>
    </w:p>
    <w:p w14:paraId="02BA33E6" w14:textId="71C51EE1" w:rsidR="00F97CFE" w:rsidRDefault="00F97CFE" w:rsidP="00F97CFE">
      <w:pPr>
        <w:pStyle w:val="p1"/>
        <w:ind w:firstLine="720"/>
      </w:pPr>
      <w:r>
        <w:t>La retórica y las aspiraciones de les académicxs periféricxs indican que trabaja</w:t>
      </w:r>
      <w:r w:rsidR="00465D9A">
        <w:t>mos,</w:t>
      </w:r>
      <w:r>
        <w:t xml:space="preserve"> colectivamente</w:t>
      </w:r>
      <w:r w:rsidR="00465D9A">
        <w:t>,</w:t>
      </w:r>
      <w:r>
        <w:t xml:space="preserve"> hacia una alternativa sociojurídica al statu quo euroheteropatriarcal, lo cual, por definición, implica concebir una visión de un orden postsubordinación. En consecuencia, entre las preguntas pendientes e interrelacionadas para todes les académicxs y activistas </w:t>
      </w:r>
      <w:r w:rsidR="007B75E2">
        <w:t>periféricos</w:t>
      </w:r>
      <w:r>
        <w:t xml:space="preserve"> se encuentran: ¿Cómo se vislumbra una sociedad post-homofóbica</w:t>
      </w:r>
      <w:r w:rsidR="007B75E2">
        <w:t>,</w:t>
      </w:r>
      <w:r>
        <w:t xml:space="preserve"> desde la perspectiva actual de QueerCrit? ¿Cómo se configura una sociedad post-supremacía blanca</w:t>
      </w:r>
      <w:r w:rsidR="007B75E2">
        <w:t>,</w:t>
      </w:r>
      <w:r>
        <w:t xml:space="preserve"> desde las posiciones actuales de RaceCrit y LatCrit? ¿Cómo se imagina una sociedad post-patriarcal</w:t>
      </w:r>
      <w:r w:rsidR="007B75E2">
        <w:t xml:space="preserve">, </w:t>
      </w:r>
      <w:r>
        <w:t xml:space="preserve">desde el punto de vista actual de FemCrit? ¿En qué medida se superponen estas visiones? ¿Cómo puede la teoría y la praxis jurídicas contribuir a la </w:t>
      </w:r>
      <w:r w:rsidR="00CA4B7E">
        <w:t>consecución</w:t>
      </w:r>
      <w:r>
        <w:t xml:space="preserve"> de tales transformaciones? Estas preguntas fundamentales</w:t>
      </w:r>
      <w:r w:rsidR="00CA4B7E" w:rsidRPr="00CA4B7E">
        <w:t xml:space="preserve"> </w:t>
      </w:r>
      <w:r w:rsidR="00CA4B7E">
        <w:t>sobre visión y propósito</w:t>
      </w:r>
      <w:r>
        <w:t xml:space="preserve">, aunque críticas, implican necesariamente </w:t>
      </w:r>
      <w:r w:rsidR="00C35363">
        <w:t>temas</w:t>
      </w:r>
      <w:r>
        <w:t xml:space="preserve"> iniciales sobre “similitud” y “diferencia”</w:t>
      </w:r>
      <w:r w:rsidR="00CA4B7E">
        <w:t>,</w:t>
      </w:r>
      <w:r>
        <w:t xml:space="preserve"> en la jurisprudencia periférica y en la sociedad en general, </w:t>
      </w:r>
      <w:r w:rsidR="00C35363">
        <w:t>asuntos</w:t>
      </w:r>
      <w:r>
        <w:t xml:space="preserve"> que tienen el potencial de obstaculizar la solidaridad, a menos que trabajemos activamente para evitarlo.</w:t>
      </w:r>
      <w:r w:rsidR="00CA4B7E">
        <w:t xml:space="preserve"> </w:t>
      </w:r>
    </w:p>
    <w:p w14:paraId="2166A86F" w14:textId="30EF468E" w:rsidR="00C54AE8" w:rsidRPr="00234F79" w:rsidRDefault="00C54AE8" w:rsidP="00A75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</w:pPr>
      <w:r w:rsidRPr="00C54AE8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Igualdad y diferencia: Hacia coaliciones críticas</w:t>
      </w:r>
    </w:p>
    <w:p w14:paraId="6F369FF5" w14:textId="0CECD0D4" w:rsidR="00B71B64" w:rsidRDefault="00B71B64" w:rsidP="00B71B64">
      <w:pPr>
        <w:pStyle w:val="p1"/>
        <w:ind w:firstLine="720"/>
      </w:pPr>
      <w:r>
        <w:t>En parte, para abordar los asuntos intergrupales de similitud y diferencia, percibidas o reales, les académicxs periféricxs de la Teoría Crítica de la Raza (CRT) y de otras corrientes OutCrit han recurrido, en los últimos años, a una reevaluación crítica y multidisciplinaria de las experiencias históricas de los grupos y de sus luchas desde abajo contra formas diversas pero similares de privilegio y prejuicio. Este giro hacia la experiencia y la lucha grupal, centrado hasta ahora principalmente en la raza y el género, surgió como una forma de trascender los esencialismos limitantes de los análisis históricos</w:t>
      </w:r>
      <w:r w:rsidR="00C07174">
        <w:t>,</w:t>
      </w:r>
      <w:r>
        <w:t xml:space="preserve"> arraigados en concepciones unidimensionales o en percepciones actuales de las “identidades” y de las comunidades relacionadas. </w:t>
      </w:r>
      <w:r w:rsidR="00234F79">
        <w:rPr>
          <w:rStyle w:val="FootnoteReference"/>
        </w:rPr>
        <w:footnoteReference w:id="2"/>
      </w:r>
    </w:p>
    <w:p w14:paraId="17F0C6AC" w14:textId="2668FE04" w:rsidR="00725A9D" w:rsidRDefault="00725A9D" w:rsidP="001C520B">
      <w:pPr>
        <w:pStyle w:val="p1"/>
        <w:ind w:firstLine="720"/>
      </w:pPr>
      <w:r w:rsidRPr="00725A9D">
        <w:t>Este enfoque en la experiencia y la lucha es beneficioso porque ayuda a historizar los acuerdos sociojurídicos y socioeconómicos actuales</w:t>
      </w:r>
      <w:r>
        <w:t>,</w:t>
      </w:r>
      <w:r w:rsidRPr="00725A9D">
        <w:t xml:space="preserve"> de forma más precisa y útil. Esta historia recuerda a todos los OutCrits que las luchas antisubordinación de hoy, como las de ayer, son importantes</w:t>
      </w:r>
      <w:r w:rsidR="007E07E6">
        <w:t>;</w:t>
      </w:r>
      <w:r w:rsidRPr="00725A9D">
        <w:t xml:space="preserve"> independientemente</w:t>
      </w:r>
      <w:r w:rsidR="007E07E6">
        <w:t>,</w:t>
      </w:r>
      <w:r w:rsidRPr="00725A9D">
        <w:t xml:space="preserve"> de las dificultades a las que nos enfrentemos</w:t>
      </w:r>
      <w:r w:rsidR="007E07E6">
        <w:t>. L</w:t>
      </w:r>
      <w:r w:rsidRPr="00725A9D">
        <w:t>a resistencia siempre marca alguna diferencia, aunque no sea fácilmente discernible. Como proceso, el diálogo que este giro ha suscitado es útil y necesario</w:t>
      </w:r>
      <w:r w:rsidR="0076590E">
        <w:t>. E</w:t>
      </w:r>
      <w:r w:rsidRPr="00725A9D">
        <w:t>n parte</w:t>
      </w:r>
      <w:r w:rsidR="0076590E">
        <w:t>,</w:t>
      </w:r>
      <w:r w:rsidRPr="00725A9D">
        <w:t xml:space="preserve"> obliga a los juristas de todas las tendencias a escuchar, leer y aprender sobre las diversas experiencias y luchas de nuestras hermanas y hermanos de coalición. En esencia, este diálogo de igualdad/diferencia es útil y necesario porque puede ayudar a ampliar nuestra comprensión de las estructuras y </w:t>
      </w:r>
      <w:r w:rsidR="0076590E">
        <w:t xml:space="preserve">los </w:t>
      </w:r>
      <w:r w:rsidRPr="00725A9D">
        <w:t>sistemas de subordinación, tanto cuantitativa como cualitativamente. Este diálogo es útil y necesario porque cartografiar la diferencia puede ayudar a promover el pluralismo igualitario</w:t>
      </w:r>
      <w:r w:rsidR="001C520B">
        <w:t>,</w:t>
      </w:r>
      <w:r w:rsidRPr="00725A9D">
        <w:t xml:space="preserve"> en y a través de nuestras luchas </w:t>
      </w:r>
      <w:r w:rsidR="001C520B" w:rsidRPr="00725A9D">
        <w:t xml:space="preserve">continuas </w:t>
      </w:r>
      <w:r w:rsidRPr="00725A9D">
        <w:t>por un orden social justo.</w:t>
      </w:r>
    </w:p>
    <w:p w14:paraId="34B9028B" w14:textId="539F7757" w:rsidR="001A6A8B" w:rsidRDefault="001A6A8B" w:rsidP="001A6A8B">
      <w:pPr>
        <w:pStyle w:val="p1"/>
        <w:ind w:firstLine="720"/>
      </w:pPr>
      <w:r>
        <w:lastRenderedPageBreak/>
        <w:t>De hecho, algunos de los aportes fundamentales producidos durante la primera década de la Teoría Crítica de la Raza (CRT) están vinculados a la exploración de la similitud y la diferencia. Conceptos críticos clave como la interseccionalidad, la multiplicidad, el antiesencialismo y la conciencia múltiple surgieron de debates sobre estas nociones en el análisis jurídico, el discurso antisubordinación y la política identitaria contemporánea</w:t>
      </w:r>
      <w:r w:rsidR="00E44C48">
        <w:rPr>
          <w:rStyle w:val="FootnoteReference"/>
        </w:rPr>
        <w:footnoteReference w:id="3"/>
      </w:r>
      <w:r>
        <w:t xml:space="preserve">. Estos conceptos </w:t>
      </w:r>
      <w:r w:rsidR="00E44C48">
        <w:t>p</w:t>
      </w:r>
      <w:r>
        <w:t>roporciona</w:t>
      </w:r>
      <w:r w:rsidR="00E44C48">
        <w:t>ron</w:t>
      </w:r>
      <w:r>
        <w:t xml:space="preserve"> </w:t>
      </w:r>
      <w:r w:rsidR="00E44C48">
        <w:t xml:space="preserve">las </w:t>
      </w:r>
      <w:r>
        <w:t>bases sólidas que permit</w:t>
      </w:r>
      <w:r w:rsidR="00E44C48">
        <w:t>en</w:t>
      </w:r>
      <w:r>
        <w:t xml:space="preserve"> a les académicxs de CRT y de otras corrientes OutCrit desarrollar análisis contextualizados y multifacéticos</w:t>
      </w:r>
      <w:r w:rsidR="00E44C48">
        <w:t>,</w:t>
      </w:r>
      <w:r>
        <w:t xml:space="preserve"> que fomentan la interconexión de perspectivas y proyectos antisubordinación entre grupos o temas que, de otro modo, se considerarían “diferentes”. Así, este enfoque en la experiencia y la lucha de los grupos marginados contribu</w:t>
      </w:r>
      <w:r w:rsidR="00E44C48">
        <w:t>ye</w:t>
      </w:r>
      <w:r>
        <w:t xml:space="preserve"> a iluminar </w:t>
      </w:r>
      <w:r w:rsidR="00E44C48">
        <w:t>asuntos</w:t>
      </w:r>
      <w:r>
        <w:t xml:space="preserve"> importantes y a mediar algunas tensiones relacionadas con la similitud y la diferencia.</w:t>
      </w:r>
    </w:p>
    <w:p w14:paraId="26481E34" w14:textId="0C2E13FD" w:rsidR="00AA3B00" w:rsidRDefault="00AA3B00" w:rsidP="006E2157">
      <w:pPr>
        <w:pStyle w:val="p1"/>
        <w:ind w:firstLine="720"/>
      </w:pPr>
      <w:r>
        <w:t xml:space="preserve">Este enfoque crítico en la experiencia y la lucha </w:t>
      </w:r>
      <w:r w:rsidR="005F0E96">
        <w:t>cuestiona</w:t>
      </w:r>
      <w:r>
        <w:t>, en efecto, la siguiente pregunta: ¿cómo pueden les académicxs periféricxs unir fuerzas y compartir conciencia en el presente, a partir de nuestras experiencias históricas y nuestras luchas contra la opresión pasada y/o actual?</w:t>
      </w:r>
      <w:r w:rsidR="006E2157">
        <w:t xml:space="preserve"> </w:t>
      </w:r>
      <w:r>
        <w:t xml:space="preserve">Con este enfoque histórico, la Teoría Crítica de la Raza (CRT) y otres académicxs OutCrit han indagado, en esencia, cómo la experiencia y la lucha frente a las dinámicas y </w:t>
      </w:r>
      <w:r w:rsidR="006E2157">
        <w:t xml:space="preserve">las </w:t>
      </w:r>
      <w:r>
        <w:t>estructuras dominantes de subordinación pueden reunir hoy a grupos diversos de personas.</w:t>
      </w:r>
    </w:p>
    <w:p w14:paraId="22469829" w14:textId="2BA992A7" w:rsidR="001A2D80" w:rsidRDefault="006E2157" w:rsidP="001A2D80">
      <w:pPr>
        <w:pStyle w:val="p1"/>
        <w:ind w:firstLine="720"/>
      </w:pPr>
      <w:r>
        <w:t>E</w:t>
      </w:r>
      <w:r w:rsidR="00AA3B00">
        <w:t xml:space="preserve">n parte porque esta investigación se orienta necesariamente hacia el pasado, este enfoque </w:t>
      </w:r>
      <w:r>
        <w:t>d</w:t>
      </w:r>
      <w:r w:rsidR="00AA3B00">
        <w:t>a lugar, de forma no intencionada, a debates inconclusos sobre la similitud y la diferencia</w:t>
      </w:r>
      <w:r>
        <w:t>,</w:t>
      </w:r>
      <w:r w:rsidR="00AA3B00">
        <w:t xml:space="preserve"> a lo largo de distintos ejes identitarios. Así, aunque la crítica antisubordinación nos exige aprender colectivamente del pasado, el riesgo de este enfoque radica en permitir que los “dilemas” de la similitud y la diferencia se conviertan en un estancamiento comparativo o generen una sensación de callejón sin salida.</w:t>
      </w:r>
      <w:r>
        <w:t xml:space="preserve"> </w:t>
      </w:r>
      <w:r w:rsidR="00AA3B00">
        <w:t xml:space="preserve">Si esto ocurre, el enfoque histórico no podrá satisfacer la necesidad de les OutCrits de contar con </w:t>
      </w:r>
      <w:r w:rsidR="00412257">
        <w:t xml:space="preserve">los </w:t>
      </w:r>
      <w:r w:rsidR="00AA3B00">
        <w:t>análisis amplios y contextualizados</w:t>
      </w:r>
      <w:r w:rsidR="001A2D80">
        <w:t>,</w:t>
      </w:r>
      <w:r w:rsidR="00AA3B00">
        <w:t xml:space="preserve"> </w:t>
      </w:r>
      <w:r w:rsidR="001A2D80" w:rsidRPr="001A2D80">
        <w:t>que reconozcan el carácter polifacético e interconectado de la subordinación y se centren también en soluciones de futuro</w:t>
      </w:r>
      <w:r w:rsidR="001A2D80">
        <w:t>,</w:t>
      </w:r>
      <w:r w:rsidR="001A2D80" w:rsidRPr="001A2D80">
        <w:t xml:space="preserve"> para el progreso antisubordinación.</w:t>
      </w:r>
    </w:p>
    <w:p w14:paraId="12386C1F" w14:textId="77777777" w:rsidR="00732E15" w:rsidRPr="00732E15" w:rsidRDefault="00732E15" w:rsidP="00C82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</w:pPr>
      <w:r w:rsidRPr="00732E15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La visión postsubordinación y el euroheteropatriarcado: Hacia la justicia y la seguridad para todos</w:t>
      </w:r>
    </w:p>
    <w:p w14:paraId="0F6BAAD1" w14:textId="68A527BE" w:rsidR="00515601" w:rsidRPr="00515601" w:rsidRDefault="00515601" w:rsidP="00B637B4">
      <w:pPr>
        <w:pStyle w:val="p1"/>
        <w:ind w:firstLine="720"/>
      </w:pPr>
      <w:r>
        <w:t>A diferencia de enfoques centrados, exclusivamente, en la experiencia y la lucha, la visión de la postsubordinación se orienta hacia el futuro. Este enfoque amplía el foco predominante de la investigación OutCrit, para incluir la aspiración y la esperanza</w:t>
      </w:r>
      <w:r w:rsidR="00A14045">
        <w:t>,</w:t>
      </w:r>
      <w:r>
        <w:t xml:space="preserve"> como dimensiones fundamentales en la configuración y </w:t>
      </w:r>
      <w:r w:rsidR="00A14045">
        <w:t xml:space="preserve">la </w:t>
      </w:r>
      <w:r>
        <w:t xml:space="preserve">evaluación de la eficacia y el diseño de </w:t>
      </w:r>
      <w:r>
        <w:lastRenderedPageBreak/>
        <w:t>coaliciones críticas. Además, este método puede ayudar a les académicxs OutCrit a delinear de manera concreta el contenido de coaliciones críticas</w:t>
      </w:r>
      <w:r w:rsidR="00A14045">
        <w:t>,</w:t>
      </w:r>
      <w:r>
        <w:t xml:space="preserve"> fundamentadas en la búsqueda de seguridad material y equidad social para todes. La visión de la postsubordinación proporciona los principios y </w:t>
      </w:r>
      <w:r w:rsidR="00A14045">
        <w:t xml:space="preserve">los </w:t>
      </w:r>
      <w:r>
        <w:t>propósitos que sustent</w:t>
      </w:r>
      <w:r w:rsidR="00A14045">
        <w:t>a</w:t>
      </w:r>
      <w:r>
        <w:t>n la cooperación y la convergencia intergrupal. Al ofrecer un punto de partida</w:t>
      </w:r>
      <w:r w:rsidR="00A14045">
        <w:t>,</w:t>
      </w:r>
      <w:r>
        <w:t xml:space="preserve"> fundamentalmente</w:t>
      </w:r>
      <w:r w:rsidR="00A14045">
        <w:t>,</w:t>
      </w:r>
      <w:r>
        <w:t xml:space="preserve"> diferente para la empresa </w:t>
      </w:r>
      <w:r w:rsidR="00A14045">
        <w:t xml:space="preserve">de </w:t>
      </w:r>
      <w:r>
        <w:t>coalici</w:t>
      </w:r>
      <w:r w:rsidR="00A14045">
        <w:t>ón</w:t>
      </w:r>
      <w:r>
        <w:t>—uno que se enfoca tanto en el futuro como en las bases históricas—la visión como método puede activar análisis políticos y dinámicas que faciliten la colaboración intergrupal, especialmente en contextos donde la historia y la experiencia por sí solas podrían no ser suficientes.</w:t>
      </w:r>
    </w:p>
    <w:p w14:paraId="7E29CF0F" w14:textId="2ED0621E" w:rsidR="00B637B4" w:rsidRDefault="00B637B4" w:rsidP="00B637B4">
      <w:pPr>
        <w:pStyle w:val="p1"/>
        <w:ind w:firstLine="720"/>
      </w:pPr>
      <w:r>
        <w:t xml:space="preserve">Este enfoque, ampliado y orientado hacia el futuro, plantea las siguientes interrogantes: ¿Hacia dónde queremos ir, sin perder de vista de dónde venimos? ¿Hemos llegado a conclusiones y aspiraciones similares, aunque hayamos recorrido caminos distintos? </w:t>
      </w:r>
      <w:r w:rsidR="007069F9">
        <w:t>N</w:t>
      </w:r>
      <w:r>
        <w:t>uestras percepciones, prioridades, esperanzas y objetivos pueden estar parcialmente moldeados por circunstancias pasadas y presentes</w:t>
      </w:r>
      <w:r w:rsidR="007069F9">
        <w:t>. Sin embargo</w:t>
      </w:r>
      <w:r>
        <w:t>, este enfoque ofrece un punto de partida distinto para las coaliciones críticas, ya que invita a les OutCrits a considerar si podemos unir fuerzas ahora</w:t>
      </w:r>
      <w:r w:rsidR="007069F9">
        <w:t>,</w:t>
      </w:r>
      <w:r>
        <w:t xml:space="preserve"> debido a los principios y </w:t>
      </w:r>
      <w:r w:rsidR="007069F9">
        <w:t xml:space="preserve">las </w:t>
      </w:r>
      <w:r>
        <w:t>aspiraciones que albergamos y, quizás, compartimos. Así, este enfoque no solo cuestiona si les académicxs OutCrit y las comunidades periféricas pueden avanzar juntes</w:t>
      </w:r>
      <w:r w:rsidR="007069F9">
        <w:t>,</w:t>
      </w:r>
      <w:r>
        <w:t xml:space="preserve"> basándose en posiciones pasadas o presentes, sino también si grupos distintos pero superpuestos pueden colaborar para alcanzar un destino común</w:t>
      </w:r>
      <w:r w:rsidR="007069F9">
        <w:t>,</w:t>
      </w:r>
      <w:r>
        <w:t xml:space="preserve"> fundamentado en metas y visiones compartidas.</w:t>
      </w:r>
    </w:p>
    <w:p w14:paraId="6A6E864A" w14:textId="13BA4019" w:rsidR="004D4A8A" w:rsidRDefault="004D4A8A" w:rsidP="004D4A8A">
      <w:pPr>
        <w:pStyle w:val="p1"/>
        <w:ind w:firstLine="720"/>
      </w:pPr>
      <w:r>
        <w:t xml:space="preserve">A diferencia de enfoques que invitan a determinar si nuestras trayectorias pasadas y presentes son lo suficientemente similares como para forjar un camino común hacia la justicia social y la seguridad sustantiva, la visión de la postsubordinación propone que también consideremos si nuestras coordenadas de destino son compatibles. Es decir, si nuestras concepciones críticas de justicia social sustantiva coinciden o pueden armonizarse. Al ampliar el enfoque hacia metas, agendas y proyectos, esta visión puede facilitar la construcción de coaliciones </w:t>
      </w:r>
      <w:r w:rsidR="00ED5CFE">
        <w:t>en contextos en los que</w:t>
      </w:r>
      <w:r>
        <w:t xml:space="preserve"> las evaluaciones retrospectivas de similitud y diferencia podrían no ser suficientes. Por tanto, la visión de la postsubordinación, como método jurisprudencial, debe entenderse como un complemento, no un sustituto, del diálogo constructivo y progresista sobre </w:t>
      </w:r>
      <w:r w:rsidR="00E95451">
        <w:t xml:space="preserve">la </w:t>
      </w:r>
      <w:r>
        <w:t xml:space="preserve">similitud y </w:t>
      </w:r>
      <w:r w:rsidR="00E95451">
        <w:t xml:space="preserve">la </w:t>
      </w:r>
      <w:r>
        <w:t xml:space="preserve">diferencia. </w:t>
      </w:r>
    </w:p>
    <w:p w14:paraId="4421576E" w14:textId="4E33274D" w:rsidR="00DA0C7D" w:rsidRDefault="008728B0" w:rsidP="00B50F5A">
      <w:pPr>
        <w:pStyle w:val="p1"/>
        <w:ind w:firstLine="720"/>
      </w:pPr>
      <w:r>
        <w:t>Así, e</w:t>
      </w:r>
      <w:r w:rsidR="00C95B61">
        <w:t>l giro hacia una visión progresista de la postsubordinación p</w:t>
      </w:r>
      <w:r>
        <w:t>osibilita</w:t>
      </w:r>
      <w:r w:rsidR="00C95B61">
        <w:t xml:space="preserve"> el avance teórico y político: la visión postsubordinación, como método jurisprudencial, llama a les académicxs OutCrit a centrar su atención en una realidad sociojurídica omnipresente que, de forma adecuada, puede denominarse </w:t>
      </w:r>
      <w:r w:rsidR="00C95B61">
        <w:rPr>
          <w:i/>
          <w:iCs/>
        </w:rPr>
        <w:t>euroheteropatriarcado</w:t>
      </w:r>
      <w:r w:rsidR="002E4619" w:rsidRPr="002E4619">
        <w:rPr>
          <w:rStyle w:val="FootnoteReference"/>
        </w:rPr>
        <w:footnoteReference w:id="4"/>
      </w:r>
      <w:r w:rsidR="00C95B61">
        <w:t>.</w:t>
      </w:r>
      <w:r w:rsidR="002E4619">
        <w:t xml:space="preserve"> Este término designa la fusión y la conflusión de varias formas de supremacía: la supremacía blanca, la supremacía anglosajona, la supremacía masculina y la supremacía heterosexual, entre otras. Como marco ideológico, el </w:t>
      </w:r>
      <w:r w:rsidR="002E4619">
        <w:lastRenderedPageBreak/>
        <w:t>euroheteropatriarcado también abarca cuestiones de lengua, religión y otros aspectos de la “cultura” y la comunidad, que contribuyen a producir y sostener relaciones sociales y jurídicas jerárquicas. El término busca, por tanto, capturar la operación entrelazada de formas dominantes de racismo, etnocentrismo, androsexismo y heterocentrismo, todas las cuales actúan hoy en día de manera conjunta en los Estados Unidos—y más allá—,para producir castas identitarias y jerarquías económicas que subordinan a personas racializadas, mujeres y minorías sexuales de maneras distintas, pero similares y conocidas.</w:t>
      </w:r>
    </w:p>
    <w:p w14:paraId="535362D0" w14:textId="07D9FE4C" w:rsidR="00F73599" w:rsidRDefault="00DA0C7D" w:rsidP="00F73599">
      <w:pPr>
        <w:pStyle w:val="p1"/>
        <w:ind w:firstLine="720"/>
      </w:pPr>
      <w:r>
        <w:t>Como ideología, el euroheteropatriarcado denota una forma específica de subordinación en un contexto particular, que abarca y refuerza el racismo blanco, el etnocentrismo anglosajón, así como el androsexismo y el heterosexismo, tanto en términos normativos, políticos como legales. Tanto en el ámbito jurídico como en la sociedad, el euroheteropatriarcado produce y regula las líneas divisorias entre los grupos dominantes y los grupos periféricos</w:t>
      </w:r>
      <w:r w:rsidR="00B50F5A">
        <w:t>. A</w:t>
      </w:r>
      <w:r>
        <w:t>unque de maneras distintas, todes les integrantes de los grupos periféricos son definidos por y en relación con el euroheteropatriarcado. Precisamente porque el euroheteropatriarcado es un sistema de reglas, tradiciones y estructuras interconectadas que legitiman y perpetúan</w:t>
      </w:r>
      <w:r w:rsidR="00B50F5A">
        <w:t>,</w:t>
      </w:r>
      <w:r>
        <w:t xml:space="preserve"> conjuntamente</w:t>
      </w:r>
      <w:r w:rsidR="00B50F5A">
        <w:t>,</w:t>
      </w:r>
      <w:r>
        <w:t xml:space="preserve"> el statu quo sociojurídico actual, su desmantelamiento constituye un requisito previo común a las esperanzas y </w:t>
      </w:r>
      <w:r w:rsidR="00B50F5A">
        <w:t xml:space="preserve">las </w:t>
      </w:r>
      <w:r>
        <w:t>visiones de postsubordinación de todes les OutCrits y grupos periféricos. Como punto de partida fundamental, les OutCrits deben reconocer este hecho estructural y sustantivo.</w:t>
      </w:r>
      <w:r w:rsidR="00B50F5A">
        <w:t xml:space="preserve"> </w:t>
      </w:r>
    </w:p>
    <w:p w14:paraId="2F043B08" w14:textId="5F827EFE" w:rsidR="00545030" w:rsidRDefault="00F73599" w:rsidP="0054503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  <w:r w:rsidRPr="00F73599">
        <w:rPr>
          <w:rFonts w:ascii="Times New Roman" w:hAnsi="Times New Roman" w:cs="Times New Roman"/>
          <w:sz w:val="24"/>
          <w:szCs w:val="24"/>
          <w:lang w:val="es-PR"/>
        </w:rPr>
        <w:t xml:space="preserve">En consecuencia, sólo a través de este desmantelamiento del euroheteropatriarcado estará la sociedad preparada para reestructurarse de abajo </w:t>
      </w:r>
      <w:r>
        <w:rPr>
          <w:rFonts w:ascii="Times New Roman" w:hAnsi="Times New Roman" w:cs="Times New Roman"/>
          <w:sz w:val="24"/>
          <w:szCs w:val="24"/>
          <w:lang w:val="es-PR"/>
        </w:rPr>
        <w:t>hacia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 xml:space="preserve"> arriba y podrá adoptar políticas y prácticas transformadoras</w:t>
      </w:r>
      <w:r>
        <w:rPr>
          <w:rFonts w:ascii="Times New Roman" w:hAnsi="Times New Roman" w:cs="Times New Roman"/>
          <w:sz w:val="24"/>
          <w:szCs w:val="24"/>
          <w:lang w:val="es-PR"/>
        </w:rPr>
        <w:t>,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 xml:space="preserve"> que garanticen la justicia social para la </w:t>
      </w:r>
      <w:r>
        <w:rPr>
          <w:rFonts w:ascii="Times New Roman" w:hAnsi="Times New Roman" w:cs="Times New Roman"/>
          <w:sz w:val="24"/>
          <w:szCs w:val="24"/>
          <w:lang w:val="es-PR"/>
        </w:rPr>
        <w:t>“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>gente de color</w:t>
      </w:r>
      <w:r>
        <w:rPr>
          <w:rFonts w:ascii="Times New Roman" w:hAnsi="Times New Roman" w:cs="Times New Roman"/>
          <w:sz w:val="24"/>
          <w:szCs w:val="24"/>
          <w:lang w:val="es-PR"/>
        </w:rPr>
        <w:t>”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 xml:space="preserve">, las </w:t>
      </w:r>
      <w:r>
        <w:rPr>
          <w:rFonts w:ascii="Times New Roman" w:hAnsi="Times New Roman" w:cs="Times New Roman"/>
          <w:sz w:val="24"/>
          <w:szCs w:val="24"/>
          <w:lang w:val="es-PR"/>
        </w:rPr>
        <w:t>“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>mujeres</w:t>
      </w:r>
      <w:r>
        <w:rPr>
          <w:rFonts w:ascii="Times New Roman" w:hAnsi="Times New Roman" w:cs="Times New Roman"/>
          <w:sz w:val="24"/>
          <w:szCs w:val="24"/>
          <w:lang w:val="es-PR"/>
        </w:rPr>
        <w:t>”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 xml:space="preserve">, las </w:t>
      </w:r>
      <w:r>
        <w:rPr>
          <w:rFonts w:ascii="Times New Roman" w:hAnsi="Times New Roman" w:cs="Times New Roman"/>
          <w:sz w:val="24"/>
          <w:szCs w:val="24"/>
          <w:lang w:val="es-PR"/>
        </w:rPr>
        <w:t>“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>minorías sexuales</w:t>
      </w:r>
      <w:r>
        <w:rPr>
          <w:rFonts w:ascii="Times New Roman" w:hAnsi="Times New Roman" w:cs="Times New Roman"/>
          <w:sz w:val="24"/>
          <w:szCs w:val="24"/>
          <w:lang w:val="es-PR"/>
        </w:rPr>
        <w:t>”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 xml:space="preserve"> y otros grupos marginados que se solapan. Sólo tras el desmantelamiento del euroheteropatriarcado será posible un orden de postsubordinación, porque el euroheteropatriarcado, por definición, exige e impone jerarquías de identidad injustas basadas en la raza/etnia, el sexo/género, la sexualidad/orientación sexual y otras líneas divisorias de identidad. Sólo entonces los grupos tradicionalmente subordinados de esta nación podrán salir, en número significativo y de forma estructural, de los márgenes desatendidos y empobrecidos de la ley y la sociedad que nos han creado las élites euroheteropatriarcales, y avanzar hacia la consecución de la seguridad material</w:t>
      </w:r>
      <w:r>
        <w:rPr>
          <w:rFonts w:ascii="Times New Roman" w:hAnsi="Times New Roman" w:cs="Times New Roman"/>
          <w:sz w:val="24"/>
          <w:szCs w:val="24"/>
          <w:lang w:val="es-PR"/>
        </w:rPr>
        <w:t>,</w:t>
      </w:r>
      <w:r w:rsidRPr="00F73599">
        <w:rPr>
          <w:rFonts w:ascii="Times New Roman" w:hAnsi="Times New Roman" w:cs="Times New Roman"/>
          <w:sz w:val="24"/>
          <w:szCs w:val="24"/>
          <w:lang w:val="es-PR"/>
        </w:rPr>
        <w:t xml:space="preserve"> en un orden post-subdinacional equitativo para todos, independientemente de su raza, etnia, género, sexualidad, clase y otras identidades objetivo.</w:t>
      </w:r>
    </w:p>
    <w:p w14:paraId="3DE72BC4" w14:textId="59612B24" w:rsidR="00545030" w:rsidRDefault="00545030" w:rsidP="00545030">
      <w:pPr>
        <w:pStyle w:val="p1"/>
        <w:ind w:firstLine="720"/>
      </w:pPr>
      <w:r>
        <w:rPr>
          <w:rStyle w:val="apple-converted-space"/>
          <w:lang w:val="es-PR"/>
        </w:rPr>
        <w:t>P</w:t>
      </w:r>
      <w:r>
        <w:t>ara transitar desde las realidades opresivas del euroheteropatriarcado hacia los ideales igualitarios de la postsubordinación, les académicxs OutCrit deben contribuir a fomentar un enfoque que valore y celebre la diferencia en las relaciones sociales y jurídicas. Con ese propósito, la visión que aquí se propone es la de una sociedad donde la “diferencia” no solo sea tolerada y aceptada, sino también cultivada y celebrada. Una sociedad en la que los principios legales y las prácticas culturales acomoden y afirmen el pluralismo democrático, en lugar de estigmatizar, cargar o despreciar la manifestación pública de la diferencia, a través de múltiples ejes de la personalidad social y jurídica. Esta visión busca celebrar el hecho perdurable de la diferencia humana y movilizarlo en favor de las luchas por la justicia igualitaria.</w:t>
      </w:r>
    </w:p>
    <w:p w14:paraId="47939BD7" w14:textId="4FC67115" w:rsidR="00545030" w:rsidRPr="00545030" w:rsidRDefault="00545030" w:rsidP="0054503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</w:pP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A partir de este punto de partida, las coaliciones críticas pueden ayudar a reunir a les académicxs OutCrit que se identifican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,</w:t>
      </w: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 xml:space="preserve"> principalmente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,</w:t>
      </w: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 xml:space="preserve"> con comunidades o luchas “diferentes”, en un proceso continuo de convocatoria, intercambio, acomodación y colaboración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,</w:t>
      </w: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 xml:space="preserve"> que nos </w:t>
      </w: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lastRenderedPageBreak/>
        <w:t>permita aprender mutuamente tanto sobre las historias de luchas pasadas y presentes como sobre nuestras visiones sociales orientadas hacia un futuro mejor y más libre. De hecho, a través de la convocatoria y la comunicación, las coaliciones críticas pueden ayudar a les OutCrits no solo a aprender sobre la experiencia y la aspiración, sino también sobre las perspectivas antisubordinación de enfoques “diferentes”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,</w:t>
      </w: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 xml:space="preserve"> aplicadas críticamente a contextos sociojurídicos diversos. Así, las coaliciones críticas pueden ayudarnos a trazar las interconexiones entre lo particular y lo universal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,</w:t>
      </w: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 xml:space="preserve"> dentro y a lo largo del euroheteropatriarcado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;</w:t>
      </w: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 xml:space="preserve"> ayudándonos colaborativamente a teorizar, estrategizar 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concretiza</w:t>
      </w:r>
      <w:r w:rsidRPr="00545030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>r el establecimiento de una sociedad de postsubordinación.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  <w14:ligatures w14:val="none"/>
        </w:rPr>
        <w:t xml:space="preserve"> </w:t>
      </w:r>
    </w:p>
    <w:p w14:paraId="192316D7" w14:textId="65245A5C" w:rsidR="00545030" w:rsidRDefault="00545030" w:rsidP="00545030">
      <w:pPr>
        <w:pStyle w:val="p1"/>
        <w:ind w:firstLine="720"/>
      </w:pPr>
      <w:r>
        <w:t>Al reunirnos en torno a una crítica, un discurso y una praxis antisubordinación, este tipo de coalición puede ayudar a que les académicxs OutCrit y las comunidades periféricas—diverses en múltiples dimensiones—comprendan y acepten las diferencias que definen y delimitan nuestras posiciones, perspectivas, experiencias e identidades respectivas, aunque múltiples. Al congregarnos en entornos y proyectos que sean críticos pero también colaborativos, las coaliciones críticas pueden permitir a todes les OutCrits comprender mejor y combatir la interconexión de sistemas de opresión basados en la identidad—distintos pero entrelazados—en los planos social, cultural, jurídico y económico.</w:t>
      </w:r>
    </w:p>
    <w:p w14:paraId="089CF978" w14:textId="5E104401" w:rsidR="005C7B00" w:rsidRDefault="00545030" w:rsidP="005C7B00">
      <w:pPr>
        <w:pStyle w:val="p1"/>
        <w:ind w:firstLine="720"/>
      </w:pPr>
      <w:r>
        <w:t xml:space="preserve">De este modo, las coaliciones críticas pueden convertirse en vehículos que nos permitan aprender de, y reforzar, diversas luchas antisubordinación; que nos ayuden a celebrar y activar la </w:t>
      </w:r>
      <w:r>
        <w:rPr>
          <w:i/>
          <w:iCs/>
        </w:rPr>
        <w:t>diferencia</w:t>
      </w:r>
      <w:r>
        <w:t xml:space="preserve"> como fuente de conocimiento, reconocimiento y colaboración. Así, las coaliciones críticas pueden ayudarnos a transitar del euroheteropatriarcado arraigado hacia un orden social y jurídico de postsubordinación, en el que todes les integrantes de los grupos periféricos puedan reclamar y disfrutar de forma equitativa los frutos de la seguridad material para todes.</w:t>
      </w:r>
    </w:p>
    <w:p w14:paraId="574DA615" w14:textId="606CDD38" w:rsidR="005C7B00" w:rsidRDefault="005C7B00" w:rsidP="005C7B00">
      <w:pPr>
        <w:pStyle w:val="p1"/>
        <w:ind w:firstLine="720"/>
      </w:pPr>
      <w:r>
        <w:t xml:space="preserve">Con el tiempo, la visión como método puede motivar a les académicxs periféricxs a unir fuerzas y construir, de manera sinérgica, una solidaridad OutCrit, en torno a luchas de grupos marginados que, de otro modo, podríamos no reconocer como propias o como vinculadas a nuestras propias experiencias. Con el tiempo, la visión como método puede contribuir a priorizar al reconocimiento amplio de que todes debemos asumir, personalmente, las luchas contra todas las formas de privilegio injusto y subordinación. Si se sostiene de manera recíproca, este compromiso personal, colectivo y mutuo con una visión expansiva de la vida postsubordinación puede funcionar como punto de referencia de la postura y la solidaridad OutCrit, así como base sólida pero dinámica para coaliciones críticas dedicadas a la equidad y la justicia, tanto en términos sociales como materiales, en distintos contextos, temas o poblaciones. </w:t>
      </w:r>
    </w:p>
    <w:p w14:paraId="742EF695" w14:textId="495BDC21" w:rsidR="005C7B00" w:rsidRPr="005C7B00" w:rsidRDefault="005C7B00" w:rsidP="009D54AF">
      <w:pPr>
        <w:pStyle w:val="p1"/>
        <w:ind w:firstLine="720"/>
      </w:pPr>
      <w:r>
        <w:t>Desde esta posición, nuestro proyecto común y cotidiano debe ser “luchar por un mundo en el que todes tengamos un lugar en la mesa”</w:t>
      </w:r>
      <w:r w:rsidRPr="005C7B00">
        <w:rPr>
          <w:rStyle w:val="FootnoteReference"/>
        </w:rPr>
        <w:t xml:space="preserve"> </w:t>
      </w:r>
      <w:r>
        <w:rPr>
          <w:rStyle w:val="FootnoteReference"/>
        </w:rPr>
        <w:footnoteReference w:id="5"/>
      </w:r>
      <w:r>
        <w:t>. Al utilizar la visión postsubordinación para animar coaliciones críticas y articular proyectos diversos, este enfoque, orientado al futuro, puede ayudar a fundamentar, consolidar y avanzar una teoría y praxis antisubordinación, basada en la solidaridad con principios y en un compromiso compartido con la liberación mutua, frente a historias o legados colonizados y colonizadores.</w:t>
      </w:r>
      <w:bookmarkStart w:id="0" w:name="_GoBack"/>
      <w:bookmarkEnd w:id="0"/>
    </w:p>
    <w:sectPr w:rsidR="005C7B00" w:rsidRPr="005C7B00" w:rsidSect="00C0388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9B0F1" w14:textId="77777777" w:rsidR="000559CE" w:rsidRDefault="000559CE" w:rsidP="00E07309">
      <w:pPr>
        <w:spacing w:after="0" w:line="240" w:lineRule="auto"/>
      </w:pPr>
      <w:r>
        <w:separator/>
      </w:r>
    </w:p>
  </w:endnote>
  <w:endnote w:type="continuationSeparator" w:id="0">
    <w:p w14:paraId="78D2A211" w14:textId="77777777" w:rsidR="000559CE" w:rsidRDefault="000559CE" w:rsidP="00E0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54742" w14:textId="77777777" w:rsidR="000559CE" w:rsidRDefault="000559CE" w:rsidP="00E07309">
      <w:pPr>
        <w:spacing w:after="0" w:line="240" w:lineRule="auto"/>
      </w:pPr>
      <w:r>
        <w:separator/>
      </w:r>
    </w:p>
  </w:footnote>
  <w:footnote w:type="continuationSeparator" w:id="0">
    <w:p w14:paraId="718D37BC" w14:textId="77777777" w:rsidR="000559CE" w:rsidRDefault="000559CE" w:rsidP="00E07309">
      <w:pPr>
        <w:spacing w:after="0" w:line="240" w:lineRule="auto"/>
      </w:pPr>
      <w:r>
        <w:continuationSeparator/>
      </w:r>
    </w:p>
  </w:footnote>
  <w:footnote w:id="1">
    <w:p w14:paraId="1C7F9B65" w14:textId="583942DE" w:rsidR="00621EF9" w:rsidRPr="006B4432" w:rsidRDefault="00621EF9" w:rsidP="00621EF9">
      <w:pPr>
        <w:pStyle w:val="FootnoteText"/>
        <w:rPr>
          <w:rFonts w:ascii="Times New Roman" w:hAnsi="Times New Roman" w:cs="Times New Roman"/>
        </w:rPr>
      </w:pPr>
      <w:r w:rsidRPr="005A72AB">
        <w:rPr>
          <w:rStyle w:val="FootnoteReference"/>
          <w:rFonts w:ascii="Times New Roman" w:hAnsi="Times New Roman" w:cs="Times New Roman"/>
        </w:rPr>
        <w:footnoteRef/>
      </w:r>
      <w:r w:rsidRPr="005A72AB">
        <w:rPr>
          <w:rFonts w:ascii="Times New Roman" w:hAnsi="Times New Roman" w:cs="Times New Roman"/>
        </w:rPr>
        <w:t xml:space="preserve"> Vald</w:t>
      </w:r>
      <w:r w:rsidR="0016348D">
        <w:rPr>
          <w:rFonts w:ascii="Times New Roman" w:hAnsi="Times New Roman" w:cs="Times New Roman"/>
        </w:rPr>
        <w:t>é</w:t>
      </w:r>
      <w:r w:rsidRPr="005A72AB">
        <w:rPr>
          <w:rFonts w:ascii="Times New Roman" w:hAnsi="Times New Roman" w:cs="Times New Roman"/>
        </w:rPr>
        <w:t>s,</w:t>
      </w:r>
      <w:r w:rsidR="0016348D">
        <w:rPr>
          <w:rFonts w:ascii="Times New Roman" w:hAnsi="Times New Roman" w:cs="Times New Roman"/>
        </w:rPr>
        <w:t xml:space="preserve"> </w:t>
      </w:r>
      <w:r w:rsidR="0016348D" w:rsidRPr="005A72AB">
        <w:rPr>
          <w:rFonts w:ascii="Times New Roman" w:hAnsi="Times New Roman" w:cs="Times New Roman"/>
        </w:rPr>
        <w:t>Francisco</w:t>
      </w:r>
      <w:r w:rsidR="0016348D">
        <w:rPr>
          <w:rFonts w:ascii="Times New Roman" w:hAnsi="Times New Roman" w:cs="Times New Roman"/>
        </w:rPr>
        <w:t>. 1999.</w:t>
      </w:r>
      <w:r w:rsidRPr="005A72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Theorizing “</w:t>
      </w:r>
      <w:proofErr w:type="spellStart"/>
      <w:r>
        <w:rPr>
          <w:rFonts w:ascii="Times New Roman" w:hAnsi="Times New Roman" w:cs="Times New Roman"/>
          <w:i/>
        </w:rPr>
        <w:t>O</w:t>
      </w:r>
      <w:r w:rsidRPr="005A72AB">
        <w:rPr>
          <w:rFonts w:ascii="Times New Roman" w:hAnsi="Times New Roman" w:cs="Times New Roman"/>
          <w:i/>
        </w:rPr>
        <w:t>utCrit</w:t>
      </w:r>
      <w:proofErr w:type="spellEnd"/>
      <w:proofErr w:type="gramStart"/>
      <w:r w:rsidRPr="005A72AB">
        <w:rPr>
          <w:rFonts w:ascii="Times New Roman" w:hAnsi="Times New Roman" w:cs="Times New Roman"/>
          <w:i/>
        </w:rPr>
        <w:t xml:space="preserve">" </w:t>
      </w:r>
      <w:r>
        <w:rPr>
          <w:rFonts w:ascii="Times New Roman" w:hAnsi="Times New Roman" w:cs="Times New Roman"/>
          <w:i/>
        </w:rPr>
        <w:t xml:space="preserve"> </w:t>
      </w:r>
      <w:r w:rsidRPr="005A72AB">
        <w:rPr>
          <w:rFonts w:ascii="Times New Roman" w:hAnsi="Times New Roman" w:cs="Times New Roman"/>
          <w:i/>
        </w:rPr>
        <w:t>Theories</w:t>
      </w:r>
      <w:proofErr w:type="gramEnd"/>
      <w:r w:rsidRPr="005A72AB">
        <w:rPr>
          <w:rFonts w:ascii="Times New Roman" w:hAnsi="Times New Roman" w:cs="Times New Roman"/>
          <w:i/>
        </w:rPr>
        <w:t>: Coalitional Method and Comparative Jurisprudential Experience—</w:t>
      </w:r>
      <w:proofErr w:type="spellStart"/>
      <w:r w:rsidRPr="005A72AB">
        <w:rPr>
          <w:rFonts w:ascii="Times New Roman" w:hAnsi="Times New Roman" w:cs="Times New Roman"/>
          <w:i/>
        </w:rPr>
        <w:t>RaceCrits</w:t>
      </w:r>
      <w:proofErr w:type="spellEnd"/>
      <w:r w:rsidRPr="005A72AB">
        <w:rPr>
          <w:rFonts w:ascii="Times New Roman" w:hAnsi="Times New Roman" w:cs="Times New Roman"/>
          <w:i/>
        </w:rPr>
        <w:t xml:space="preserve">, </w:t>
      </w:r>
      <w:proofErr w:type="spellStart"/>
      <w:r w:rsidRPr="005A72AB">
        <w:rPr>
          <w:rFonts w:ascii="Times New Roman" w:hAnsi="Times New Roman" w:cs="Times New Roman"/>
          <w:i/>
        </w:rPr>
        <w:t>QueerCrits</w:t>
      </w:r>
      <w:proofErr w:type="spellEnd"/>
      <w:r w:rsidRPr="005A72AB">
        <w:rPr>
          <w:rFonts w:ascii="Times New Roman" w:hAnsi="Times New Roman" w:cs="Times New Roman"/>
          <w:i/>
        </w:rPr>
        <w:t xml:space="preserve"> and </w:t>
      </w:r>
      <w:proofErr w:type="spellStart"/>
      <w:r w:rsidRPr="005A72AB">
        <w:rPr>
          <w:rFonts w:ascii="Times New Roman" w:hAnsi="Times New Roman" w:cs="Times New Roman"/>
          <w:i/>
        </w:rPr>
        <w:t>LatCrits</w:t>
      </w:r>
      <w:proofErr w:type="spellEnd"/>
      <w:r w:rsidR="005C1C39">
        <w:rPr>
          <w:rFonts w:ascii="Times New Roman" w:hAnsi="Times New Roman" w:cs="Times New Roman"/>
          <w:i/>
        </w:rPr>
        <w:t xml:space="preserve">. </w:t>
      </w:r>
      <w:r w:rsidR="005C1C39" w:rsidRPr="005C1C39">
        <w:rPr>
          <w:rFonts w:ascii="Times New Roman" w:hAnsi="Times New Roman" w:cs="Times New Roman"/>
          <w:i/>
        </w:rPr>
        <w:t xml:space="preserve">University of Miami Law Review, </w:t>
      </w:r>
      <w:r w:rsidR="005C1C39" w:rsidRPr="005C1C39">
        <w:rPr>
          <w:rFonts w:ascii="Times New Roman" w:hAnsi="Times New Roman" w:cs="Times New Roman"/>
        </w:rPr>
        <w:t xml:space="preserve">vol. 53, pp. </w:t>
      </w:r>
      <w:r w:rsidR="00880DA7" w:rsidRPr="00880DA7">
        <w:rPr>
          <w:rFonts w:ascii="Times New Roman" w:hAnsi="Times New Roman" w:cs="Times New Roman"/>
        </w:rPr>
        <w:t>1265–1299. Disponible en: https://repository.law.miami.edu/umlr/vol53/iss4/39/</w:t>
      </w:r>
      <w:r w:rsidRPr="006B4432">
        <w:rPr>
          <w:rFonts w:ascii="Times New Roman" w:hAnsi="Times New Roman" w:cs="Times New Roman"/>
        </w:rPr>
        <w:t xml:space="preserve">; </w:t>
      </w:r>
      <w:r w:rsidR="006B4432" w:rsidRPr="006B4432">
        <w:rPr>
          <w:rFonts w:ascii="Times New Roman" w:hAnsi="Times New Roman" w:cs="Times New Roman"/>
          <w:i/>
        </w:rPr>
        <w:t xml:space="preserve">véase </w:t>
      </w:r>
      <w:r w:rsidR="006B4432" w:rsidRPr="006B4432">
        <w:rPr>
          <w:rFonts w:ascii="Times New Roman" w:hAnsi="Times New Roman" w:cs="Times New Roman"/>
        </w:rPr>
        <w:t>también</w:t>
      </w:r>
      <w:r w:rsidRPr="006B4432">
        <w:rPr>
          <w:rFonts w:ascii="Times New Roman" w:hAnsi="Times New Roman" w:cs="Times New Roman"/>
        </w:rPr>
        <w:t xml:space="preserve"> </w:t>
      </w:r>
      <w:r w:rsidR="006B4432" w:rsidRPr="006B4432">
        <w:rPr>
          <w:rFonts w:ascii="Times New Roman" w:hAnsi="Times New Roman" w:cs="Times New Roman"/>
        </w:rPr>
        <w:t xml:space="preserve">Yamamoto, Eric K. y Su, Julie A. 2002. </w:t>
      </w:r>
      <w:r w:rsidR="006B4432" w:rsidRPr="006B4432">
        <w:rPr>
          <w:rFonts w:ascii="Times New Roman" w:hAnsi="Times New Roman" w:cs="Times New Roman"/>
          <w:i/>
        </w:rPr>
        <w:t>Critical Coalitions: Theory and Praxis</w:t>
      </w:r>
      <w:r w:rsidR="006B4432" w:rsidRPr="006B4432">
        <w:rPr>
          <w:rFonts w:ascii="Times New Roman" w:hAnsi="Times New Roman" w:cs="Times New Roman"/>
        </w:rPr>
        <w:t xml:space="preserve">. En: Valdés, Francisco; Culp, Jerome McCristal Jr.; y Harris, Angela P. (eds.), </w:t>
      </w:r>
      <w:r w:rsidR="006B4432" w:rsidRPr="006B4432">
        <w:rPr>
          <w:rFonts w:ascii="Times New Roman" w:hAnsi="Times New Roman" w:cs="Times New Roman"/>
          <w:i/>
        </w:rPr>
        <w:t>Crossroads, Directions, and a New Critical Race Theory</w:t>
      </w:r>
      <w:r w:rsidR="006B4432" w:rsidRPr="006B4432">
        <w:rPr>
          <w:rFonts w:ascii="Times New Roman" w:hAnsi="Times New Roman" w:cs="Times New Roman"/>
        </w:rPr>
        <w:t>, pp. 379–390. Filadelfia: Temple University Press.</w:t>
      </w:r>
    </w:p>
  </w:footnote>
  <w:footnote w:id="2">
    <w:p w14:paraId="741408DD" w14:textId="16CEEAFB" w:rsidR="00234F79" w:rsidRPr="0088376D" w:rsidRDefault="00234F79" w:rsidP="00234F79">
      <w:pPr>
        <w:pStyle w:val="FootnoteText"/>
        <w:rPr>
          <w:rFonts w:ascii="Times New Roman" w:hAnsi="Times New Roman" w:cs="Times New Roman"/>
        </w:rPr>
      </w:pPr>
      <w:r w:rsidRPr="005A72AB">
        <w:rPr>
          <w:rStyle w:val="FootnoteReference"/>
          <w:rFonts w:ascii="Times New Roman" w:hAnsi="Times New Roman" w:cs="Times New Roman"/>
        </w:rPr>
        <w:footnoteRef/>
      </w:r>
      <w:r w:rsidRPr="005A72AB">
        <w:rPr>
          <w:rFonts w:ascii="Times New Roman" w:hAnsi="Times New Roman" w:cs="Times New Roman"/>
        </w:rPr>
        <w:t xml:space="preserve"> </w:t>
      </w:r>
      <w:r w:rsidR="0088376D" w:rsidRPr="0088376D">
        <w:rPr>
          <w:rFonts w:ascii="Times New Roman" w:hAnsi="Times New Roman" w:cs="Times New Roman"/>
        </w:rPr>
        <w:t xml:space="preserve">Williams, Joan C. (1991). </w:t>
      </w:r>
      <w:r w:rsidR="0088376D" w:rsidRPr="0088376D">
        <w:rPr>
          <w:rFonts w:ascii="Times New Roman" w:hAnsi="Times New Roman" w:cs="Times New Roman"/>
          <w:i/>
        </w:rPr>
        <w:t>Dissolving the Sameness/Difference Debate: A Post-Modern Path Beyond Essentialism in Feminist and Critical Race Theory</w:t>
      </w:r>
      <w:r w:rsidR="0088376D" w:rsidRPr="0088376D">
        <w:rPr>
          <w:rFonts w:ascii="Times New Roman" w:hAnsi="Times New Roman" w:cs="Times New Roman"/>
        </w:rPr>
        <w:t xml:space="preserve">. </w:t>
      </w:r>
      <w:r w:rsidR="0088376D" w:rsidRPr="0088376D">
        <w:rPr>
          <w:rFonts w:ascii="Times New Roman" w:hAnsi="Times New Roman" w:cs="Times New Roman"/>
          <w:i/>
        </w:rPr>
        <w:t>Duke Law Journal</w:t>
      </w:r>
      <w:r w:rsidR="0088376D" w:rsidRPr="0088376D">
        <w:rPr>
          <w:rFonts w:ascii="Times New Roman" w:hAnsi="Times New Roman" w:cs="Times New Roman"/>
        </w:rPr>
        <w:t xml:space="preserve">, 1991(2), 296–323. Disponible en: </w:t>
      </w:r>
      <w:hyperlink r:id="rId1" w:history="1">
        <w:r w:rsidR="0088376D" w:rsidRPr="0088376D">
          <w:rPr>
            <w:rStyle w:val="Hyperlink"/>
            <w:rFonts w:ascii="Times New Roman" w:hAnsi="Times New Roman" w:cs="Times New Roman"/>
          </w:rPr>
          <w:t>https://scholarship.law.duke.edu/dlj/vol40/iss2/3</w:t>
        </w:r>
      </w:hyperlink>
      <w:r w:rsidR="0088376D" w:rsidRPr="0088376D">
        <w:rPr>
          <w:rFonts w:ascii="Times New Roman" w:hAnsi="Times New Roman" w:cs="Times New Roman"/>
        </w:rPr>
        <w:t>.</w:t>
      </w:r>
    </w:p>
  </w:footnote>
  <w:footnote w:id="3">
    <w:p w14:paraId="1C78244F" w14:textId="784BF594" w:rsidR="00F962FC" w:rsidRPr="00F962FC" w:rsidRDefault="00E44C48" w:rsidP="00C06774">
      <w:pPr>
        <w:pStyle w:val="FootnoteText"/>
        <w:rPr>
          <w:rFonts w:ascii="Times New Roman" w:hAnsi="Times New Roman" w:cs="Times New Roman"/>
        </w:rPr>
      </w:pPr>
      <w:r w:rsidRPr="005A72AB">
        <w:rPr>
          <w:rStyle w:val="FootnoteReference"/>
          <w:rFonts w:ascii="Times New Roman" w:hAnsi="Times New Roman" w:cs="Times New Roman"/>
        </w:rPr>
        <w:footnoteRef/>
      </w:r>
      <w:r w:rsidRPr="00C06774">
        <w:rPr>
          <w:rFonts w:ascii="Times New Roman" w:hAnsi="Times New Roman" w:cs="Times New Roman"/>
          <w:lang w:val="es-PR"/>
        </w:rPr>
        <w:t xml:space="preserve"> </w:t>
      </w:r>
      <w:r w:rsidR="00F962FC">
        <w:rPr>
          <w:rFonts w:ascii="Times New Roman" w:hAnsi="Times New Roman" w:cs="Times New Roman"/>
        </w:rPr>
        <w:t>Para l</w:t>
      </w:r>
      <w:r w:rsidR="00F962FC" w:rsidRPr="00F962FC">
        <w:rPr>
          <w:rFonts w:ascii="Times New Roman" w:hAnsi="Times New Roman" w:cs="Times New Roman"/>
        </w:rPr>
        <w:t>ecturas recomendadas sobre estos y conceptos similares</w:t>
      </w:r>
      <w:r w:rsidR="00C06774">
        <w:rPr>
          <w:rFonts w:ascii="Times New Roman" w:hAnsi="Times New Roman" w:cs="Times New Roman"/>
        </w:rPr>
        <w:t xml:space="preserve">, </w:t>
      </w:r>
      <w:r w:rsidR="00C06774" w:rsidRPr="00C06774">
        <w:rPr>
          <w:rFonts w:ascii="Times New Roman" w:hAnsi="Times New Roman" w:cs="Times New Roman"/>
          <w:i/>
        </w:rPr>
        <w:t>véase</w:t>
      </w:r>
      <w:r w:rsidR="00C06774">
        <w:rPr>
          <w:rFonts w:ascii="Times New Roman" w:hAnsi="Times New Roman" w:cs="Times New Roman"/>
        </w:rPr>
        <w:t xml:space="preserve"> </w:t>
      </w:r>
      <w:r w:rsidR="00F962FC" w:rsidRPr="00F962FC">
        <w:rPr>
          <w:rFonts w:ascii="Times New Roman" w:hAnsi="Times New Roman" w:cs="Times New Roman"/>
        </w:rPr>
        <w:t xml:space="preserve">Crenshaw, Kimberlé (1991). </w:t>
      </w:r>
      <w:r w:rsidR="00F962FC" w:rsidRPr="00F962FC">
        <w:rPr>
          <w:rFonts w:ascii="Times New Roman" w:hAnsi="Times New Roman" w:cs="Times New Roman"/>
          <w:i/>
        </w:rPr>
        <w:t>Mapping the Margins: Intersectionality, Identity Politics, and Violence Against Women of Color</w:t>
      </w:r>
      <w:r w:rsidR="00F962FC" w:rsidRPr="00F962FC">
        <w:rPr>
          <w:rFonts w:ascii="Times New Roman" w:hAnsi="Times New Roman" w:cs="Times New Roman"/>
        </w:rPr>
        <w:t xml:space="preserve">. </w:t>
      </w:r>
      <w:r w:rsidR="00F962FC" w:rsidRPr="00F962FC">
        <w:rPr>
          <w:rFonts w:ascii="Times New Roman" w:hAnsi="Times New Roman" w:cs="Times New Roman"/>
          <w:i/>
        </w:rPr>
        <w:t>Stanford Law Review</w:t>
      </w:r>
      <w:r w:rsidR="00F962FC" w:rsidRPr="00F962FC">
        <w:rPr>
          <w:rFonts w:ascii="Times New Roman" w:hAnsi="Times New Roman" w:cs="Times New Roman"/>
        </w:rPr>
        <w:t xml:space="preserve">, 43(6), 1241–1299. Disponible en: </w:t>
      </w:r>
      <w:hyperlink r:id="rId2" w:history="1">
        <w:r w:rsidR="00F962FC" w:rsidRPr="00F962FC">
          <w:rPr>
            <w:rStyle w:val="Hyperlink"/>
            <w:rFonts w:ascii="Times New Roman" w:hAnsi="Times New Roman" w:cs="Times New Roman"/>
          </w:rPr>
          <w:t>https://www.jstor.org/stable/1229039</w:t>
        </w:r>
      </w:hyperlink>
      <w:r w:rsidR="00C06774">
        <w:rPr>
          <w:rFonts w:ascii="Times New Roman" w:hAnsi="Times New Roman" w:cs="Times New Roman"/>
        </w:rPr>
        <w:t xml:space="preserve">; </w:t>
      </w:r>
      <w:r w:rsidR="00F962FC" w:rsidRPr="00F962FC">
        <w:rPr>
          <w:rFonts w:ascii="Times New Roman" w:hAnsi="Times New Roman" w:cs="Times New Roman"/>
        </w:rPr>
        <w:t xml:space="preserve">Crenshaw, Kimberlé (1989). </w:t>
      </w:r>
      <w:r w:rsidR="00F962FC" w:rsidRPr="00F962FC">
        <w:rPr>
          <w:rFonts w:ascii="Times New Roman" w:hAnsi="Times New Roman" w:cs="Times New Roman"/>
          <w:i/>
        </w:rPr>
        <w:t>Demarginalizing the Intersection of Race and Sex: A Black Feminist Critique of Antidiscrimination Doctrine, Feminist Theory and Antiracist Politics</w:t>
      </w:r>
      <w:r w:rsidR="00F962FC" w:rsidRPr="00F962FC">
        <w:rPr>
          <w:rFonts w:ascii="Times New Roman" w:hAnsi="Times New Roman" w:cs="Times New Roman"/>
        </w:rPr>
        <w:t xml:space="preserve">. </w:t>
      </w:r>
      <w:r w:rsidR="00F962FC" w:rsidRPr="00F962FC">
        <w:rPr>
          <w:rFonts w:ascii="Times New Roman" w:hAnsi="Times New Roman" w:cs="Times New Roman"/>
          <w:i/>
        </w:rPr>
        <w:t>University of Chicago Legal Forum</w:t>
      </w:r>
      <w:r w:rsidR="00F962FC" w:rsidRPr="00F962FC">
        <w:rPr>
          <w:rFonts w:ascii="Times New Roman" w:hAnsi="Times New Roman" w:cs="Times New Roman"/>
        </w:rPr>
        <w:t xml:space="preserve">, 1989(1), 139–167. Disponible en: </w:t>
      </w:r>
      <w:hyperlink r:id="rId3" w:history="1">
        <w:r w:rsidR="00F962FC" w:rsidRPr="00F962FC">
          <w:rPr>
            <w:rStyle w:val="Hyperlink"/>
            <w:rFonts w:ascii="Times New Roman" w:hAnsi="Times New Roman" w:cs="Times New Roman"/>
          </w:rPr>
          <w:t>https://chicagounbound.uchicago.edu/uclf/vol1989/iss1/8</w:t>
        </w:r>
      </w:hyperlink>
      <w:r w:rsidR="00C06774">
        <w:rPr>
          <w:rFonts w:ascii="Times New Roman" w:hAnsi="Times New Roman" w:cs="Times New Roman"/>
        </w:rPr>
        <w:t xml:space="preserve">; </w:t>
      </w:r>
      <w:r w:rsidR="00F962FC" w:rsidRPr="00F962FC">
        <w:rPr>
          <w:rFonts w:ascii="Times New Roman" w:hAnsi="Times New Roman" w:cs="Times New Roman"/>
        </w:rPr>
        <w:t xml:space="preserve">Harris, Angela P. (1990). </w:t>
      </w:r>
      <w:r w:rsidR="00F962FC" w:rsidRPr="00F962FC">
        <w:rPr>
          <w:rFonts w:ascii="Times New Roman" w:hAnsi="Times New Roman" w:cs="Times New Roman"/>
          <w:i/>
        </w:rPr>
        <w:t>Race and Essentialism in Feminist Legal Theory</w:t>
      </w:r>
      <w:r w:rsidR="00F962FC" w:rsidRPr="00F962FC">
        <w:rPr>
          <w:rFonts w:ascii="Times New Roman" w:hAnsi="Times New Roman" w:cs="Times New Roman"/>
        </w:rPr>
        <w:t xml:space="preserve">. </w:t>
      </w:r>
      <w:r w:rsidR="00F962FC" w:rsidRPr="00F962FC">
        <w:rPr>
          <w:rFonts w:ascii="Times New Roman" w:hAnsi="Times New Roman" w:cs="Times New Roman"/>
          <w:i/>
        </w:rPr>
        <w:t>Stanford Law Review</w:t>
      </w:r>
      <w:r w:rsidR="00F962FC" w:rsidRPr="00F962FC">
        <w:rPr>
          <w:rFonts w:ascii="Times New Roman" w:hAnsi="Times New Roman" w:cs="Times New Roman"/>
        </w:rPr>
        <w:t xml:space="preserve">, 42(3), 581–616. Disponible en: </w:t>
      </w:r>
      <w:hyperlink r:id="rId4" w:history="1">
        <w:r w:rsidR="00F962FC" w:rsidRPr="00F962FC">
          <w:rPr>
            <w:rStyle w:val="Hyperlink"/>
            <w:rFonts w:ascii="Times New Roman" w:hAnsi="Times New Roman" w:cs="Times New Roman"/>
          </w:rPr>
          <w:t>https://www.jstor.org/stable/1228886</w:t>
        </w:r>
      </w:hyperlink>
      <w:r w:rsidR="00C06774">
        <w:rPr>
          <w:rFonts w:ascii="Times New Roman" w:hAnsi="Times New Roman" w:cs="Times New Roman"/>
        </w:rPr>
        <w:t xml:space="preserve">; </w:t>
      </w:r>
      <w:r w:rsidR="00F962FC" w:rsidRPr="00F962FC">
        <w:rPr>
          <w:rFonts w:ascii="Times New Roman" w:hAnsi="Times New Roman" w:cs="Times New Roman"/>
        </w:rPr>
        <w:t xml:space="preserve">Matsuda, Mari J. (1989). </w:t>
      </w:r>
      <w:r w:rsidR="00F962FC" w:rsidRPr="00F962FC">
        <w:rPr>
          <w:rFonts w:ascii="Times New Roman" w:hAnsi="Times New Roman" w:cs="Times New Roman"/>
          <w:i/>
        </w:rPr>
        <w:t>When the First Quail Calls: Multiple Consciousness as Jurisprudential Method</w:t>
      </w:r>
      <w:r w:rsidR="00F962FC" w:rsidRPr="00F962FC">
        <w:rPr>
          <w:rFonts w:ascii="Times New Roman" w:hAnsi="Times New Roman" w:cs="Times New Roman"/>
        </w:rPr>
        <w:t xml:space="preserve">. </w:t>
      </w:r>
      <w:r w:rsidR="00F962FC" w:rsidRPr="00F962FC">
        <w:rPr>
          <w:rFonts w:ascii="Times New Roman" w:hAnsi="Times New Roman" w:cs="Times New Roman"/>
          <w:i/>
        </w:rPr>
        <w:t>Women’s Rights Law Reporter</w:t>
      </w:r>
      <w:r w:rsidR="00F962FC" w:rsidRPr="00F962FC">
        <w:rPr>
          <w:rFonts w:ascii="Times New Roman" w:hAnsi="Times New Roman" w:cs="Times New Roman"/>
        </w:rPr>
        <w:t xml:space="preserve">, 11, 7–10. Disponible en: </w:t>
      </w:r>
      <w:hyperlink r:id="rId5" w:history="1">
        <w:r w:rsidR="00F962FC" w:rsidRPr="00F962FC">
          <w:rPr>
            <w:rStyle w:val="Hyperlink"/>
            <w:rFonts w:ascii="Times New Roman" w:hAnsi="Times New Roman" w:cs="Times New Roman"/>
          </w:rPr>
          <w:t>https://scholarspace.manoa.hawaii.edu/handle/10125/34938</w:t>
        </w:r>
      </w:hyperlink>
      <w:r w:rsidR="00F962FC" w:rsidRPr="00F962FC">
        <w:rPr>
          <w:rFonts w:ascii="Times New Roman" w:hAnsi="Times New Roman" w:cs="Times New Roman"/>
        </w:rPr>
        <w:t>.</w:t>
      </w:r>
    </w:p>
    <w:p w14:paraId="27B21ED2" w14:textId="4815BE3E" w:rsidR="00E44C48" w:rsidRPr="00F962FC" w:rsidRDefault="00E44C48" w:rsidP="00E44C48">
      <w:pPr>
        <w:pStyle w:val="FootnoteText"/>
        <w:rPr>
          <w:rFonts w:ascii="Times New Roman" w:hAnsi="Times New Roman" w:cs="Times New Roman"/>
        </w:rPr>
      </w:pPr>
    </w:p>
    <w:p w14:paraId="77552C70" w14:textId="77777777" w:rsidR="00E44C48" w:rsidRDefault="00E44C48" w:rsidP="00E44C48">
      <w:pPr>
        <w:pStyle w:val="FootnoteText"/>
      </w:pPr>
    </w:p>
  </w:footnote>
  <w:footnote w:id="4">
    <w:p w14:paraId="63F2180F" w14:textId="77777777" w:rsidR="00DA0C7D" w:rsidRPr="00DA0C7D" w:rsidRDefault="002E4619" w:rsidP="00DA0C7D">
      <w:pPr>
        <w:suppressAutoHyphens/>
        <w:spacing w:after="0"/>
        <w:rPr>
          <w:rFonts w:ascii="Times New Roman" w:hAnsi="Times New Roman" w:cs="Times New Roman"/>
          <w:kern w:val="0"/>
          <w:sz w:val="20"/>
          <w:szCs w:val="20"/>
          <w:lang w:val="uz-Cyrl-UZ"/>
        </w:rPr>
      </w:pPr>
      <w:r w:rsidRPr="005A72A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A0C7D">
        <w:rPr>
          <w:rFonts w:ascii="Times New Roman" w:hAnsi="Times New Roman" w:cs="Times New Roman"/>
          <w:sz w:val="20"/>
          <w:szCs w:val="20"/>
          <w:lang w:val="es-PR"/>
        </w:rPr>
        <w:t xml:space="preserve"> </w:t>
      </w:r>
      <w:r w:rsidR="00DA0C7D" w:rsidRPr="00DA0C7D">
        <w:rPr>
          <w:rFonts w:ascii="Times New Roman" w:hAnsi="Times New Roman" w:cs="Times New Roman"/>
          <w:sz w:val="20"/>
          <w:szCs w:val="20"/>
          <w:lang w:val="es-PR"/>
        </w:rPr>
        <w:t xml:space="preserve">El heteropatriarcado se refiere a una mezcla de androcentrismo y heterocentrismo para privilegiar a los hombres y la masculinidad tanto sexual como socialmente, lo que lleva a la subordinación general de las mujeres y las minorías sexuales. </w:t>
      </w:r>
      <w:proofErr w:type="spellStart"/>
      <w:r w:rsidR="00DA0C7D">
        <w:rPr>
          <w:rFonts w:ascii="Times New Roman" w:hAnsi="Times New Roman" w:cs="Times New Roman"/>
          <w:i/>
          <w:iCs/>
          <w:kern w:val="0"/>
          <w:sz w:val="20"/>
          <w:szCs w:val="20"/>
        </w:rPr>
        <w:t>Véase</w:t>
      </w:r>
      <w:proofErr w:type="spellEnd"/>
      <w:r w:rsidR="00DA0C7D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="00DA0C7D" w:rsidRPr="00DA0C7D">
        <w:rPr>
          <w:rFonts w:ascii="Times New Roman" w:hAnsi="Times New Roman" w:cs="Times New Roman"/>
          <w:kern w:val="0"/>
          <w:sz w:val="20"/>
          <w:szCs w:val="20"/>
          <w:lang w:val="uz-Cyrl-UZ"/>
        </w:rPr>
        <w:t>Valdés,</w:t>
      </w:r>
      <w:r w:rsidR="00DA0C7D" w:rsidRPr="00DA0C7D">
        <w:rPr>
          <w:rFonts w:ascii="Times New Roman" w:hAnsi="Times New Roman" w:cs="Times New Roman"/>
          <w:i/>
          <w:iCs/>
          <w:kern w:val="0"/>
          <w:sz w:val="20"/>
          <w:szCs w:val="20"/>
          <w:lang w:val="uz-Cyrl-UZ"/>
        </w:rPr>
        <w:t xml:space="preserve"> Francisco (1995). Queers, Sissies, Dykes, and Tomboys: Deconstructing the Conflation of “Sex,” “Gender,” and “Sexual Orientation” in Euro-American Law and Society. California Law Review, 83(1), 1–377. </w:t>
      </w:r>
      <w:r w:rsidR="00DA0C7D" w:rsidRPr="00DA0C7D">
        <w:rPr>
          <w:rFonts w:ascii="Times New Roman" w:hAnsi="Times New Roman" w:cs="Times New Roman"/>
          <w:i/>
          <w:iCs/>
          <w:kern w:val="0"/>
          <w:sz w:val="20"/>
          <w:szCs w:val="20"/>
          <w:lang w:val="uz-Cyrl-UZ"/>
        </w:rPr>
        <w:t xml:space="preserve">Disponible en: </w:t>
      </w:r>
      <w:hyperlink r:id="rId6" w:history="1">
        <w:r w:rsidR="00DA0C7D" w:rsidRPr="00DA0C7D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:lang w:val="uz-Cyrl-UZ"/>
          </w:rPr>
          <w:t>https://www.jstor.org/stable/3480882</w:t>
        </w:r>
      </w:hyperlink>
      <w:r w:rsidR="00DA0C7D">
        <w:rPr>
          <w:rFonts w:ascii="Times New Roman" w:hAnsi="Times New Roman" w:cs="Times New Roman"/>
          <w:kern w:val="0"/>
          <w:sz w:val="20"/>
          <w:szCs w:val="20"/>
          <w:lang w:val="uz-Cyrl-UZ"/>
        </w:rPr>
        <w:t xml:space="preserve">; </w:t>
      </w:r>
      <w:r w:rsidR="00DA0C7D" w:rsidRPr="00DA0C7D">
        <w:rPr>
          <w:rFonts w:ascii="Times New Roman" w:hAnsi="Times New Roman" w:cs="Times New Roman"/>
          <w:kern w:val="0"/>
          <w:sz w:val="20"/>
          <w:szCs w:val="20"/>
          <w:lang w:val="uz-Cyrl-UZ"/>
        </w:rPr>
        <w:t xml:space="preserve">Valdés, Francisco (1996). </w:t>
      </w:r>
      <w:r w:rsidR="00DA0C7D" w:rsidRPr="00DA0C7D">
        <w:rPr>
          <w:rFonts w:ascii="Times New Roman" w:hAnsi="Times New Roman" w:cs="Times New Roman"/>
          <w:i/>
          <w:iCs/>
          <w:kern w:val="0"/>
          <w:sz w:val="20"/>
          <w:szCs w:val="20"/>
          <w:lang w:val="uz-Cyrl-UZ"/>
        </w:rPr>
        <w:t>Unpacking Hetero-Patriarchy: Tracing the Conflation of Sex, Gender and Sexual Orientation to Its Origins</w:t>
      </w:r>
      <w:r w:rsidR="00DA0C7D" w:rsidRPr="00DA0C7D">
        <w:rPr>
          <w:rFonts w:ascii="Times New Roman" w:hAnsi="Times New Roman" w:cs="Times New Roman"/>
          <w:kern w:val="0"/>
          <w:sz w:val="20"/>
          <w:szCs w:val="20"/>
          <w:lang w:val="uz-Cyrl-UZ"/>
        </w:rPr>
        <w:t xml:space="preserve">. </w:t>
      </w:r>
      <w:r w:rsidR="00DA0C7D" w:rsidRPr="00DA0C7D">
        <w:rPr>
          <w:rFonts w:ascii="Times New Roman" w:hAnsi="Times New Roman" w:cs="Times New Roman"/>
          <w:i/>
          <w:iCs/>
          <w:kern w:val="0"/>
          <w:sz w:val="20"/>
          <w:szCs w:val="20"/>
          <w:lang w:val="uz-Cyrl-UZ"/>
        </w:rPr>
        <w:t>Yale Journal of Law &amp; the Humanities</w:t>
      </w:r>
      <w:r w:rsidR="00DA0C7D" w:rsidRPr="00DA0C7D">
        <w:rPr>
          <w:rFonts w:ascii="Times New Roman" w:hAnsi="Times New Roman" w:cs="Times New Roman"/>
          <w:kern w:val="0"/>
          <w:sz w:val="20"/>
          <w:szCs w:val="20"/>
          <w:lang w:val="uz-Cyrl-UZ"/>
        </w:rPr>
        <w:t xml:space="preserve">, 8(1), 161–211. Disponible en: </w:t>
      </w:r>
      <w:hyperlink r:id="rId7" w:history="1">
        <w:r w:rsidR="00DA0C7D" w:rsidRPr="00DA0C7D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uz-Cyrl-UZ"/>
          </w:rPr>
          <w:t>https://digitalcommons.law.yale.edu/yjlh/vol8/iss1/7</w:t>
        </w:r>
      </w:hyperlink>
      <w:r w:rsidR="00DA0C7D" w:rsidRPr="00DA0C7D">
        <w:rPr>
          <w:rFonts w:ascii="Times New Roman" w:hAnsi="Times New Roman" w:cs="Times New Roman"/>
          <w:kern w:val="0"/>
          <w:sz w:val="20"/>
          <w:szCs w:val="20"/>
          <w:lang w:val="uz-Cyrl-UZ"/>
        </w:rPr>
        <w:t>.</w:t>
      </w:r>
    </w:p>
    <w:p w14:paraId="777D8545" w14:textId="5991EC7C" w:rsidR="002E4619" w:rsidRPr="00DA0C7D" w:rsidRDefault="002E4619" w:rsidP="00DA0C7D">
      <w:pPr>
        <w:suppressAutoHyphens/>
        <w:spacing w:after="0"/>
        <w:rPr>
          <w:rFonts w:ascii="Times New Roman" w:hAnsi="Times New Roman" w:cs="Times New Roman"/>
          <w:kern w:val="0"/>
          <w:sz w:val="20"/>
          <w:szCs w:val="20"/>
          <w:lang w:val="uz-Cyrl-UZ"/>
        </w:rPr>
      </w:pPr>
    </w:p>
  </w:footnote>
  <w:footnote w:id="5">
    <w:p w14:paraId="0810A6D3" w14:textId="014821AA" w:rsidR="005C7B00" w:rsidRPr="005A72AB" w:rsidRDefault="005C7B00" w:rsidP="005C7B00">
      <w:pPr>
        <w:pStyle w:val="FootnoteText"/>
        <w:rPr>
          <w:rFonts w:ascii="Times New Roman" w:hAnsi="Times New Roman" w:cs="Times New Roman"/>
          <w:i/>
          <w:iCs/>
        </w:rPr>
      </w:pPr>
      <w:r w:rsidRPr="005A72AB">
        <w:rPr>
          <w:rStyle w:val="FootnoteReference"/>
          <w:rFonts w:ascii="Times New Roman" w:hAnsi="Times New Roman" w:cs="Times New Roman"/>
        </w:rPr>
        <w:footnoteRef/>
      </w:r>
      <w:r w:rsidRPr="005A72AB">
        <w:rPr>
          <w:rFonts w:ascii="Times New Roman" w:hAnsi="Times New Roman" w:cs="Times New Roman"/>
        </w:rPr>
        <w:t xml:space="preserve"> </w:t>
      </w:r>
      <w:r w:rsidRPr="005C7B00">
        <w:rPr>
          <w:rFonts w:ascii="Times New Roman" w:hAnsi="Times New Roman" w:cs="Times New Roman"/>
        </w:rPr>
        <w:t xml:space="preserve">Lawrence, Charles R., III (1995). </w:t>
      </w:r>
      <w:r w:rsidRPr="005C7B00">
        <w:rPr>
          <w:rFonts w:ascii="Times New Roman" w:hAnsi="Times New Roman" w:cs="Times New Roman"/>
          <w:i/>
          <w:iCs/>
        </w:rPr>
        <w:t>Foreword: Race, Multiculturalism, and the Jurisprudence of Transformation. Stanford Law Review</w:t>
      </w:r>
      <w:r w:rsidRPr="005C7B00">
        <w:rPr>
          <w:rFonts w:ascii="Times New Roman" w:hAnsi="Times New Roman" w:cs="Times New Roman"/>
        </w:rPr>
        <w:t>, 47(5), 819–847. Disponible en: https://doi.org/10.2307/1229175.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7256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992366" w14:textId="5D556C2C" w:rsidR="00BB1061" w:rsidRDefault="00BB10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4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6607C9" w14:textId="77777777" w:rsidR="00BB1061" w:rsidRDefault="00BB10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218"/>
    <w:multiLevelType w:val="hybridMultilevel"/>
    <w:tmpl w:val="1EC60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5E7C"/>
    <w:multiLevelType w:val="hybridMultilevel"/>
    <w:tmpl w:val="2E42E128"/>
    <w:lvl w:ilvl="0" w:tplc="4C2EC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03BD"/>
    <w:multiLevelType w:val="hybridMultilevel"/>
    <w:tmpl w:val="7930B966"/>
    <w:lvl w:ilvl="0" w:tplc="F6F24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00A7B"/>
    <w:multiLevelType w:val="hybridMultilevel"/>
    <w:tmpl w:val="6A72FA92"/>
    <w:lvl w:ilvl="0" w:tplc="22CEB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62334"/>
    <w:multiLevelType w:val="multilevel"/>
    <w:tmpl w:val="6A76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40393"/>
    <w:multiLevelType w:val="hybridMultilevel"/>
    <w:tmpl w:val="C6EABABA"/>
    <w:lvl w:ilvl="0" w:tplc="6EFAE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1BC5"/>
    <w:multiLevelType w:val="multilevel"/>
    <w:tmpl w:val="01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B3889"/>
    <w:multiLevelType w:val="multilevel"/>
    <w:tmpl w:val="5930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E005D"/>
    <w:multiLevelType w:val="hybridMultilevel"/>
    <w:tmpl w:val="1BDAFFE4"/>
    <w:lvl w:ilvl="0" w:tplc="1C3EC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09"/>
    <w:rsid w:val="000365ED"/>
    <w:rsid w:val="000559CE"/>
    <w:rsid w:val="00093CF6"/>
    <w:rsid w:val="000D5815"/>
    <w:rsid w:val="000E5C35"/>
    <w:rsid w:val="000F3902"/>
    <w:rsid w:val="00151DA6"/>
    <w:rsid w:val="0016348D"/>
    <w:rsid w:val="00183BDD"/>
    <w:rsid w:val="001845B5"/>
    <w:rsid w:val="00197E19"/>
    <w:rsid w:val="001A2D80"/>
    <w:rsid w:val="001A6A8B"/>
    <w:rsid w:val="001B52A2"/>
    <w:rsid w:val="001B6B14"/>
    <w:rsid w:val="001C520B"/>
    <w:rsid w:val="00200D38"/>
    <w:rsid w:val="00225647"/>
    <w:rsid w:val="00234F79"/>
    <w:rsid w:val="002649C5"/>
    <w:rsid w:val="002A0474"/>
    <w:rsid w:val="002C27FB"/>
    <w:rsid w:val="002E4619"/>
    <w:rsid w:val="003C1A66"/>
    <w:rsid w:val="003E2F68"/>
    <w:rsid w:val="00400C4E"/>
    <w:rsid w:val="00412257"/>
    <w:rsid w:val="00420988"/>
    <w:rsid w:val="004311FD"/>
    <w:rsid w:val="004577CA"/>
    <w:rsid w:val="00465D9A"/>
    <w:rsid w:val="00471C5C"/>
    <w:rsid w:val="004C51C9"/>
    <w:rsid w:val="004D1B13"/>
    <w:rsid w:val="004D4A8A"/>
    <w:rsid w:val="00503239"/>
    <w:rsid w:val="00507C26"/>
    <w:rsid w:val="00515601"/>
    <w:rsid w:val="00523364"/>
    <w:rsid w:val="0052681B"/>
    <w:rsid w:val="00545030"/>
    <w:rsid w:val="0056207F"/>
    <w:rsid w:val="00587450"/>
    <w:rsid w:val="0059685B"/>
    <w:rsid w:val="005A3ACE"/>
    <w:rsid w:val="005A72AB"/>
    <w:rsid w:val="005C1C39"/>
    <w:rsid w:val="005C299E"/>
    <w:rsid w:val="005C7B00"/>
    <w:rsid w:val="005E7026"/>
    <w:rsid w:val="005F0E96"/>
    <w:rsid w:val="005F3592"/>
    <w:rsid w:val="00621EF9"/>
    <w:rsid w:val="00670E30"/>
    <w:rsid w:val="00674BBC"/>
    <w:rsid w:val="006B4432"/>
    <w:rsid w:val="006B720C"/>
    <w:rsid w:val="006E2157"/>
    <w:rsid w:val="006F1D9A"/>
    <w:rsid w:val="0070116C"/>
    <w:rsid w:val="007069F9"/>
    <w:rsid w:val="00725A9D"/>
    <w:rsid w:val="00732E15"/>
    <w:rsid w:val="00742619"/>
    <w:rsid w:val="007465CB"/>
    <w:rsid w:val="007566CB"/>
    <w:rsid w:val="0076590E"/>
    <w:rsid w:val="007A449E"/>
    <w:rsid w:val="007B75E2"/>
    <w:rsid w:val="007D24FA"/>
    <w:rsid w:val="007E07E6"/>
    <w:rsid w:val="007E39AB"/>
    <w:rsid w:val="00824C4A"/>
    <w:rsid w:val="00824E11"/>
    <w:rsid w:val="0083500B"/>
    <w:rsid w:val="00857DE2"/>
    <w:rsid w:val="008728B0"/>
    <w:rsid w:val="00873F48"/>
    <w:rsid w:val="00880DA7"/>
    <w:rsid w:val="0088376D"/>
    <w:rsid w:val="008B6F87"/>
    <w:rsid w:val="009452B9"/>
    <w:rsid w:val="009D0380"/>
    <w:rsid w:val="009D54AF"/>
    <w:rsid w:val="009E117F"/>
    <w:rsid w:val="00A03892"/>
    <w:rsid w:val="00A117C1"/>
    <w:rsid w:val="00A14045"/>
    <w:rsid w:val="00A26159"/>
    <w:rsid w:val="00A60FE9"/>
    <w:rsid w:val="00A7561F"/>
    <w:rsid w:val="00AA3B00"/>
    <w:rsid w:val="00AE64B2"/>
    <w:rsid w:val="00AF61EE"/>
    <w:rsid w:val="00B50F5A"/>
    <w:rsid w:val="00B51BA5"/>
    <w:rsid w:val="00B637B4"/>
    <w:rsid w:val="00B71B64"/>
    <w:rsid w:val="00B95069"/>
    <w:rsid w:val="00BA54AE"/>
    <w:rsid w:val="00BB1061"/>
    <w:rsid w:val="00BC0309"/>
    <w:rsid w:val="00BF3FE9"/>
    <w:rsid w:val="00C03883"/>
    <w:rsid w:val="00C06774"/>
    <w:rsid w:val="00C07174"/>
    <w:rsid w:val="00C35363"/>
    <w:rsid w:val="00C54AE8"/>
    <w:rsid w:val="00C77BD6"/>
    <w:rsid w:val="00C82D64"/>
    <w:rsid w:val="00C95B61"/>
    <w:rsid w:val="00CA4B7E"/>
    <w:rsid w:val="00D75509"/>
    <w:rsid w:val="00D87541"/>
    <w:rsid w:val="00DA0C7D"/>
    <w:rsid w:val="00DB1731"/>
    <w:rsid w:val="00DB3F88"/>
    <w:rsid w:val="00DB6411"/>
    <w:rsid w:val="00DC044D"/>
    <w:rsid w:val="00DE145E"/>
    <w:rsid w:val="00E07309"/>
    <w:rsid w:val="00E2323F"/>
    <w:rsid w:val="00E33F01"/>
    <w:rsid w:val="00E41C5A"/>
    <w:rsid w:val="00E44C48"/>
    <w:rsid w:val="00E809A3"/>
    <w:rsid w:val="00E85FAE"/>
    <w:rsid w:val="00E95451"/>
    <w:rsid w:val="00EA1D68"/>
    <w:rsid w:val="00EA7267"/>
    <w:rsid w:val="00EC431A"/>
    <w:rsid w:val="00ED3A73"/>
    <w:rsid w:val="00ED5CFE"/>
    <w:rsid w:val="00F01893"/>
    <w:rsid w:val="00F264C4"/>
    <w:rsid w:val="00F27D5D"/>
    <w:rsid w:val="00F30CEE"/>
    <w:rsid w:val="00F73599"/>
    <w:rsid w:val="00F93471"/>
    <w:rsid w:val="00F962FC"/>
    <w:rsid w:val="00F97CFE"/>
    <w:rsid w:val="00FA1567"/>
    <w:rsid w:val="00FC2F41"/>
    <w:rsid w:val="00FE0646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89B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3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09"/>
  </w:style>
  <w:style w:type="paragraph" w:styleId="Footer">
    <w:name w:val="footer"/>
    <w:basedOn w:val="Normal"/>
    <w:link w:val="FooterChar"/>
    <w:uiPriority w:val="99"/>
    <w:unhideWhenUsed/>
    <w:rsid w:val="00E0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09"/>
  </w:style>
  <w:style w:type="paragraph" w:styleId="ListParagraph">
    <w:name w:val="List Paragraph"/>
    <w:basedOn w:val="Normal"/>
    <w:uiPriority w:val="34"/>
    <w:qFormat/>
    <w:rsid w:val="00E073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D03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03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038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87541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0F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z-Cyrl-UZ"/>
      <w14:ligatures w14:val="none"/>
    </w:rPr>
  </w:style>
  <w:style w:type="paragraph" w:customStyle="1" w:styleId="p2">
    <w:name w:val="p2"/>
    <w:basedOn w:val="Normal"/>
    <w:rsid w:val="000F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z-Cyrl-UZ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76D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F73599"/>
  </w:style>
  <w:style w:type="character" w:customStyle="1" w:styleId="apple-converted-space">
    <w:name w:val="apple-converted-space"/>
    <w:basedOn w:val="DefaultParagraphFont"/>
    <w:rsid w:val="005450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3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09"/>
  </w:style>
  <w:style w:type="paragraph" w:styleId="Footer">
    <w:name w:val="footer"/>
    <w:basedOn w:val="Normal"/>
    <w:link w:val="FooterChar"/>
    <w:uiPriority w:val="99"/>
    <w:unhideWhenUsed/>
    <w:rsid w:val="00E07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09"/>
  </w:style>
  <w:style w:type="paragraph" w:styleId="ListParagraph">
    <w:name w:val="List Paragraph"/>
    <w:basedOn w:val="Normal"/>
    <w:uiPriority w:val="34"/>
    <w:qFormat/>
    <w:rsid w:val="00E073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D03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03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038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87541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0F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z-Cyrl-UZ"/>
      <w14:ligatures w14:val="none"/>
    </w:rPr>
  </w:style>
  <w:style w:type="paragraph" w:customStyle="1" w:styleId="p2">
    <w:name w:val="p2"/>
    <w:basedOn w:val="Normal"/>
    <w:rsid w:val="000F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z-Cyrl-UZ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76D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F73599"/>
  </w:style>
  <w:style w:type="character" w:customStyle="1" w:styleId="apple-converted-space">
    <w:name w:val="apple-converted-space"/>
    <w:basedOn w:val="DefaultParagraphFont"/>
    <w:rsid w:val="0054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via.library.depaul.edu/law-review/vol49/iss3/6" TargetMode="External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hicagounbound.uchicago.edu/uclf/vol1989/iss1/8" TargetMode="External"/><Relationship Id="rId4" Type="http://schemas.openxmlformats.org/officeDocument/2006/relationships/hyperlink" Target="https://www.jstor.org/stable/1228886" TargetMode="External"/><Relationship Id="rId5" Type="http://schemas.openxmlformats.org/officeDocument/2006/relationships/hyperlink" Target="https://scholarspace.manoa.hawaii.edu/handle/10125/34938" TargetMode="External"/><Relationship Id="rId6" Type="http://schemas.openxmlformats.org/officeDocument/2006/relationships/hyperlink" Target="https://www.jstor.org/stable/3480882" TargetMode="External"/><Relationship Id="rId7" Type="http://schemas.openxmlformats.org/officeDocument/2006/relationships/hyperlink" Target="https://digitalcommons.law.yale.edu/yjlh/vol8/iss1/7" TargetMode="External"/><Relationship Id="rId1" Type="http://schemas.openxmlformats.org/officeDocument/2006/relationships/hyperlink" Target="https://scholarship.law.duke.edu/dlj/vol40/iss2/3" TargetMode="External"/><Relationship Id="rId2" Type="http://schemas.openxmlformats.org/officeDocument/2006/relationships/hyperlink" Target="https://www.jstor.org/stable/1229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6424-7D7C-8646-839E-AB660F17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3382</Words>
  <Characters>19280</Characters>
  <Application>Microsoft Macintosh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Links>
    <vt:vector size="3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https://via.library.depaul.edu/law-review/vol49/iss3/6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https://scholarspace.manoa.hawaii.edu/handle/10125/34938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https://www.jstor.org/stable/1228886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https://chicagounbound.uchicago.edu/uclf/vol1989/iss1/8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https://www.jstor.org/stable/1229039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https://scholarship.law.duke.edu/dlj/vol40/iss2/3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Katia Nicole</dc:creator>
  <cp:keywords/>
  <dc:description/>
  <cp:lastModifiedBy>Frank Valdes</cp:lastModifiedBy>
  <cp:revision>2</cp:revision>
  <dcterms:created xsi:type="dcterms:W3CDTF">2025-05-03T16:41:00Z</dcterms:created>
  <dcterms:modified xsi:type="dcterms:W3CDTF">2025-05-03T16:41:00Z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c8df1ccfd9226754bba43edbbe8074b286be80549da7d3e510efe456b2c4ae71</vt:lpwstr>
  </property>
</Properties>
</file>