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ED984" w14:textId="7926D997" w:rsidR="00675990" w:rsidRPr="00847608" w:rsidRDefault="000148FC" w:rsidP="000148FC">
      <w:pPr>
        <w:spacing w:after="0" w:line="240" w:lineRule="auto"/>
        <w:jc w:val="center"/>
        <w:rPr>
          <w:rFonts w:ascii="Times New Roman" w:hAnsi="Times New Roman" w:cs="Times New Roman"/>
          <w:b/>
          <w:bCs/>
          <w:caps/>
          <w:sz w:val="24"/>
          <w:szCs w:val="24"/>
          <w:lang w:val="es-ES"/>
        </w:rPr>
      </w:pPr>
      <w:bookmarkStart w:id="0" w:name="_GoBack"/>
      <w:bookmarkEnd w:id="0"/>
      <w:r w:rsidRPr="00847608">
        <w:rPr>
          <w:rFonts w:ascii="Times New Roman" w:hAnsi="Times New Roman" w:cs="Times New Roman"/>
          <w:b/>
          <w:bCs/>
          <w:caps/>
          <w:sz w:val="24"/>
          <w:szCs w:val="24"/>
          <w:lang w:val="es-ES"/>
        </w:rPr>
        <w:t>La constitución del terror: Grandes mentiras, jurisprudencia de retroceso y el estado de derecho en los Estados Unidos hoy</w:t>
      </w:r>
    </w:p>
    <w:p w14:paraId="23A39CC6" w14:textId="35FC2B93" w:rsidR="00675990" w:rsidRPr="00847608" w:rsidRDefault="00675990" w:rsidP="00675990">
      <w:pPr>
        <w:spacing w:after="0" w:line="240" w:lineRule="auto"/>
        <w:jc w:val="center"/>
        <w:rPr>
          <w:rFonts w:ascii="Times New Roman" w:hAnsi="Times New Roman" w:cs="Times New Roman"/>
          <w:sz w:val="24"/>
          <w:szCs w:val="24"/>
          <w:lang w:val="es-ES"/>
        </w:rPr>
      </w:pPr>
      <w:r w:rsidRPr="00847608">
        <w:rPr>
          <w:rFonts w:ascii="Times New Roman" w:hAnsi="Times New Roman" w:cs="Times New Roman"/>
          <w:sz w:val="24"/>
          <w:szCs w:val="24"/>
          <w:lang w:val="es-ES"/>
        </w:rPr>
        <w:t xml:space="preserve">Francisco </w:t>
      </w:r>
      <w:proofErr w:type="spellStart"/>
      <w:r w:rsidRPr="00847608">
        <w:rPr>
          <w:rFonts w:ascii="Times New Roman" w:hAnsi="Times New Roman" w:cs="Times New Roman"/>
          <w:sz w:val="24"/>
          <w:szCs w:val="24"/>
          <w:lang w:val="es-ES"/>
        </w:rPr>
        <w:t>Valdes</w:t>
      </w:r>
      <w:proofErr w:type="spellEnd"/>
    </w:p>
    <w:p w14:paraId="0F12B4D7" w14:textId="1E93901F" w:rsidR="00675990" w:rsidRPr="00847608" w:rsidRDefault="00FC66A8" w:rsidP="00675990">
      <w:pPr>
        <w:spacing w:after="0" w:line="240" w:lineRule="auto"/>
        <w:jc w:val="center"/>
        <w:rPr>
          <w:rFonts w:ascii="Times New Roman" w:hAnsi="Times New Roman" w:cs="Times New Roman"/>
          <w:sz w:val="24"/>
          <w:szCs w:val="24"/>
          <w:lang w:val="es-ES"/>
        </w:rPr>
      </w:pPr>
      <w:r w:rsidRPr="00847608">
        <w:rPr>
          <w:rFonts w:ascii="Times New Roman" w:hAnsi="Times New Roman" w:cs="Times New Roman"/>
          <w:sz w:val="24"/>
          <w:szCs w:val="24"/>
          <w:lang w:val="es-ES"/>
        </w:rPr>
        <w:t xml:space="preserve">7 </w:t>
      </w:r>
      <w:proofErr w:type="spellStart"/>
      <w:r w:rsidR="00986336" w:rsidRPr="00847608">
        <w:rPr>
          <w:rFonts w:ascii="Times New Roman" w:hAnsi="Times New Roman" w:cs="Times New Roman"/>
          <w:sz w:val="24"/>
          <w:szCs w:val="24"/>
          <w:lang w:val="es-ES"/>
        </w:rPr>
        <w:t>University</w:t>
      </w:r>
      <w:proofErr w:type="spellEnd"/>
      <w:r w:rsidR="00986336" w:rsidRPr="00847608">
        <w:rPr>
          <w:rFonts w:ascii="Times New Roman" w:hAnsi="Times New Roman" w:cs="Times New Roman"/>
          <w:sz w:val="24"/>
          <w:szCs w:val="24"/>
          <w:lang w:val="es-ES"/>
        </w:rPr>
        <w:t xml:space="preserve"> of </w:t>
      </w:r>
      <w:r w:rsidRPr="00847608">
        <w:rPr>
          <w:rFonts w:ascii="Times New Roman" w:hAnsi="Times New Roman" w:cs="Times New Roman"/>
          <w:sz w:val="24"/>
          <w:szCs w:val="24"/>
          <w:lang w:val="es-ES"/>
        </w:rPr>
        <w:t xml:space="preserve">Nevada </w:t>
      </w:r>
      <w:proofErr w:type="spellStart"/>
      <w:r w:rsidRPr="00847608">
        <w:rPr>
          <w:rFonts w:ascii="Times New Roman" w:hAnsi="Times New Roman" w:cs="Times New Roman"/>
          <w:sz w:val="24"/>
          <w:szCs w:val="24"/>
          <w:lang w:val="es-ES"/>
        </w:rPr>
        <w:t>Law</w:t>
      </w:r>
      <w:proofErr w:type="spellEnd"/>
      <w:r w:rsidRPr="00847608">
        <w:rPr>
          <w:rFonts w:ascii="Times New Roman" w:hAnsi="Times New Roman" w:cs="Times New Roman"/>
          <w:sz w:val="24"/>
          <w:szCs w:val="24"/>
          <w:lang w:val="es-ES"/>
        </w:rPr>
        <w:t xml:space="preserve"> </w:t>
      </w:r>
      <w:proofErr w:type="spellStart"/>
      <w:r w:rsidRPr="00847608">
        <w:rPr>
          <w:rFonts w:ascii="Times New Roman" w:hAnsi="Times New Roman" w:cs="Times New Roman"/>
          <w:sz w:val="24"/>
          <w:szCs w:val="24"/>
          <w:lang w:val="es-ES"/>
        </w:rPr>
        <w:t>Journal</w:t>
      </w:r>
      <w:proofErr w:type="spellEnd"/>
      <w:r w:rsidRPr="00847608">
        <w:rPr>
          <w:rFonts w:ascii="Times New Roman" w:hAnsi="Times New Roman" w:cs="Times New Roman"/>
          <w:sz w:val="24"/>
          <w:szCs w:val="24"/>
          <w:lang w:val="es-ES"/>
        </w:rPr>
        <w:t xml:space="preserve"> 973 (2007)</w:t>
      </w:r>
    </w:p>
    <w:p w14:paraId="42DF6D71" w14:textId="25E73869" w:rsidR="00F55BC7" w:rsidRPr="00847608" w:rsidRDefault="00F55BC7" w:rsidP="00675990">
      <w:pPr>
        <w:spacing w:after="0" w:line="240" w:lineRule="auto"/>
        <w:jc w:val="center"/>
        <w:rPr>
          <w:rFonts w:ascii="Times New Roman" w:hAnsi="Times New Roman" w:cs="Times New Roman"/>
          <w:sz w:val="24"/>
          <w:szCs w:val="24"/>
          <w:lang w:val="es-ES"/>
        </w:rPr>
      </w:pPr>
      <w:r w:rsidRPr="00847608">
        <w:rPr>
          <w:rFonts w:ascii="Times New Roman" w:hAnsi="Times New Roman" w:cs="Times New Roman"/>
          <w:sz w:val="24"/>
          <w:szCs w:val="24"/>
          <w:lang w:val="es-ES"/>
        </w:rPr>
        <w:t>https://scholars.law.unlv.edu/nlj/vol7/iss3/14/</w:t>
      </w:r>
    </w:p>
    <w:p w14:paraId="06C5E258" w14:textId="77777777" w:rsidR="00FC66A8" w:rsidRPr="00847608" w:rsidRDefault="00FC66A8" w:rsidP="00FC66A8">
      <w:pPr>
        <w:spacing w:after="0" w:line="240" w:lineRule="auto"/>
        <w:rPr>
          <w:rFonts w:ascii="Times New Roman" w:hAnsi="Times New Roman" w:cs="Times New Roman"/>
          <w:sz w:val="24"/>
          <w:szCs w:val="24"/>
          <w:lang w:val="es-ES"/>
        </w:rPr>
      </w:pPr>
    </w:p>
    <w:p w14:paraId="3A2591AD" w14:textId="77777777" w:rsidR="00FC66A8" w:rsidRPr="00847608" w:rsidRDefault="00FC66A8" w:rsidP="00FC66A8">
      <w:pPr>
        <w:spacing w:after="0" w:line="240" w:lineRule="auto"/>
        <w:rPr>
          <w:rFonts w:ascii="Times New Roman" w:hAnsi="Times New Roman" w:cs="Times New Roman"/>
          <w:sz w:val="24"/>
          <w:szCs w:val="24"/>
          <w:lang w:val="es-ES"/>
        </w:rPr>
      </w:pPr>
    </w:p>
    <w:p w14:paraId="1895FA06" w14:textId="4F837C0F" w:rsidR="00675990" w:rsidRPr="00847608" w:rsidRDefault="00675990" w:rsidP="00675990">
      <w:pPr>
        <w:spacing w:after="0" w:line="240" w:lineRule="auto"/>
        <w:rPr>
          <w:rFonts w:ascii="Times New Roman" w:hAnsi="Times New Roman" w:cs="Times New Roman"/>
          <w:b/>
          <w:sz w:val="24"/>
          <w:szCs w:val="24"/>
          <w:u w:val="single"/>
          <w:lang w:val="es-ES"/>
        </w:rPr>
      </w:pPr>
      <w:r w:rsidRPr="00847608">
        <w:rPr>
          <w:rFonts w:ascii="Times New Roman" w:hAnsi="Times New Roman" w:cs="Times New Roman"/>
          <w:b/>
          <w:sz w:val="24"/>
          <w:szCs w:val="24"/>
          <w:u w:val="single"/>
          <w:lang w:val="es-ES"/>
        </w:rPr>
        <w:t>Introduc</w:t>
      </w:r>
      <w:r w:rsidR="00F37649" w:rsidRPr="00847608">
        <w:rPr>
          <w:rFonts w:ascii="Times New Roman" w:hAnsi="Times New Roman" w:cs="Times New Roman"/>
          <w:b/>
          <w:sz w:val="24"/>
          <w:szCs w:val="24"/>
          <w:u w:val="single"/>
          <w:lang w:val="es-ES"/>
        </w:rPr>
        <w:t>ción</w:t>
      </w:r>
      <w:r w:rsidRPr="00847608">
        <w:rPr>
          <w:rFonts w:ascii="Times New Roman" w:hAnsi="Times New Roman" w:cs="Times New Roman"/>
          <w:b/>
          <w:sz w:val="24"/>
          <w:szCs w:val="24"/>
          <w:u w:val="single"/>
          <w:lang w:val="es-ES"/>
        </w:rPr>
        <w:t xml:space="preserve"> </w:t>
      </w:r>
    </w:p>
    <w:p w14:paraId="04998C26" w14:textId="5DD31EC9" w:rsidR="008D39AA" w:rsidRPr="00847608" w:rsidRDefault="00EF5E43" w:rsidP="00010FA7">
      <w:pPr>
        <w:pStyle w:val="p1"/>
        <w:ind w:firstLine="720"/>
        <w:rPr>
          <w:lang w:val="es-ES"/>
        </w:rPr>
      </w:pPr>
      <w:r w:rsidRPr="00847608">
        <w:rPr>
          <w:lang w:val="es-ES"/>
        </w:rPr>
        <w:t xml:space="preserve">Hoy celebramos la primera conferencia anual de una segunda década en la teoría, la comunidad y la praxis de </w:t>
      </w:r>
      <w:proofErr w:type="spellStart"/>
      <w:r w:rsidRPr="00847608">
        <w:rPr>
          <w:lang w:val="es-ES"/>
        </w:rPr>
        <w:t>LatCrit</w:t>
      </w:r>
      <w:proofErr w:type="spellEnd"/>
      <w:r w:rsidRPr="00847608">
        <w:rPr>
          <w:lang w:val="es-ES"/>
        </w:rPr>
        <w:t xml:space="preserve">, un experimento de jurisprudencia crítica </w:t>
      </w:r>
      <w:r w:rsidR="00EE6602" w:rsidRPr="00847608">
        <w:rPr>
          <w:lang w:val="es-ES"/>
        </w:rPr>
        <w:t>periférica</w:t>
      </w:r>
      <w:r w:rsidRPr="00847608">
        <w:rPr>
          <w:lang w:val="es-ES"/>
        </w:rPr>
        <w:t xml:space="preserve"> que Jerome </w:t>
      </w:r>
      <w:proofErr w:type="spellStart"/>
      <w:r w:rsidRPr="00847608">
        <w:rPr>
          <w:lang w:val="es-ES"/>
        </w:rPr>
        <w:t>Culp</w:t>
      </w:r>
      <w:proofErr w:type="spellEnd"/>
      <w:r w:rsidRPr="00847608">
        <w:rPr>
          <w:lang w:val="es-ES"/>
        </w:rPr>
        <w:t xml:space="preserve">, Jr. contribuyó de manera decisiva a </w:t>
      </w:r>
      <w:r w:rsidR="007A0A48" w:rsidRPr="00847608">
        <w:rPr>
          <w:lang w:val="es-ES"/>
        </w:rPr>
        <w:t>posibilitar</w:t>
      </w:r>
      <w:r w:rsidR="007A0A48" w:rsidRPr="00847608">
        <w:rPr>
          <w:rStyle w:val="FootnoteReference"/>
          <w:lang w:val="es-ES"/>
        </w:rPr>
        <w:footnoteReference w:id="1"/>
      </w:r>
      <w:r w:rsidRPr="00847608">
        <w:rPr>
          <w:lang w:val="es-ES"/>
        </w:rPr>
        <w:t>. Lamentablemente, lo hacemos con Jerome entre nosotros solo en espíritu</w:t>
      </w:r>
      <w:r w:rsidR="00F37649" w:rsidRPr="00847608">
        <w:rPr>
          <w:rStyle w:val="FootnoteReference"/>
          <w:lang w:val="es-ES"/>
        </w:rPr>
        <w:footnoteReference w:id="2"/>
      </w:r>
      <w:r w:rsidRPr="00847608">
        <w:rPr>
          <w:lang w:val="es-ES"/>
        </w:rPr>
        <w:t>.</w:t>
      </w:r>
      <w:r w:rsidR="007A0A48" w:rsidRPr="00847608">
        <w:rPr>
          <w:lang w:val="es-ES"/>
        </w:rPr>
        <w:t xml:space="preserve"> </w:t>
      </w:r>
      <w:r w:rsidRPr="00847608">
        <w:rPr>
          <w:lang w:val="es-ES"/>
        </w:rPr>
        <w:t xml:space="preserve">Mientras estuvo presente en cuerpo y alma, asistió a todas las conferencias de </w:t>
      </w:r>
      <w:proofErr w:type="spellStart"/>
      <w:r w:rsidRPr="00847608">
        <w:rPr>
          <w:lang w:val="es-ES"/>
        </w:rPr>
        <w:t>LatCrit</w:t>
      </w:r>
      <w:proofErr w:type="spellEnd"/>
      <w:r w:rsidRPr="00847608">
        <w:rPr>
          <w:lang w:val="es-ES"/>
        </w:rPr>
        <w:t>, desde la primera en San Diego hasta la octava en Cleveland</w:t>
      </w:r>
      <w:r w:rsidR="007A0A48" w:rsidRPr="00847608">
        <w:rPr>
          <w:rStyle w:val="FootnoteReference"/>
          <w:lang w:val="es-ES"/>
        </w:rPr>
        <w:footnoteReference w:id="3"/>
      </w:r>
      <w:r w:rsidRPr="00847608">
        <w:rPr>
          <w:lang w:val="es-ES"/>
        </w:rPr>
        <w:t>.</w:t>
      </w:r>
      <w:r w:rsidR="007A0A48" w:rsidRPr="00847608">
        <w:rPr>
          <w:lang w:val="es-ES"/>
        </w:rPr>
        <w:t xml:space="preserve"> </w:t>
      </w:r>
      <w:r w:rsidRPr="00847608">
        <w:rPr>
          <w:lang w:val="es-ES"/>
        </w:rPr>
        <w:t>En aquella primera conferencia, formuló una pregunta que entonces fue fundacional y que sigue siendo vigente: ¿cómo participar en las luchas de quienes no son nosotros?</w:t>
      </w:r>
      <w:r w:rsidR="007A0A48" w:rsidRPr="00847608">
        <w:rPr>
          <w:rStyle w:val="FootnoteReference"/>
          <w:lang w:val="es-ES"/>
        </w:rPr>
        <w:t xml:space="preserve"> </w:t>
      </w:r>
      <w:r w:rsidR="007A0A48" w:rsidRPr="00847608">
        <w:rPr>
          <w:rStyle w:val="FootnoteReference"/>
          <w:lang w:val="es-ES"/>
        </w:rPr>
        <w:footnoteReference w:customMarkFollows="1" w:id="4"/>
        <w:t xml:space="preserve">4 </w:t>
      </w:r>
      <w:r w:rsidRPr="00847608">
        <w:rPr>
          <w:lang w:val="es-ES"/>
        </w:rPr>
        <w:t>Esa es la pregunta que siempre tenemos delante.</w:t>
      </w:r>
      <w:r w:rsidR="007A0A48" w:rsidRPr="00847608">
        <w:rPr>
          <w:lang w:val="es-ES"/>
        </w:rPr>
        <w:t xml:space="preserve"> </w:t>
      </w:r>
      <w:r w:rsidRPr="00847608">
        <w:rPr>
          <w:lang w:val="es-ES"/>
        </w:rPr>
        <w:t>Aunque luchar por los propios derechos no es fácil, luchar por los derechos de otras personas puede ser aún más difícil.</w:t>
      </w:r>
      <w:r w:rsidR="007A0A48" w:rsidRPr="00847608">
        <w:rPr>
          <w:lang w:val="es-ES"/>
        </w:rPr>
        <w:t xml:space="preserve"> </w:t>
      </w:r>
      <w:r w:rsidR="0080320C" w:rsidRPr="00847608">
        <w:rPr>
          <w:lang w:val="es-ES"/>
        </w:rPr>
        <w:t>Al invocar</w:t>
      </w:r>
      <w:r w:rsidRPr="00847608">
        <w:rPr>
          <w:lang w:val="es-ES"/>
        </w:rPr>
        <w:t xml:space="preserve"> ese espíritu expansivo y comprometido, el título de esta charla—la </w:t>
      </w:r>
      <w:proofErr w:type="spellStart"/>
      <w:r w:rsidRPr="00847608">
        <w:rPr>
          <w:i/>
          <w:iCs/>
          <w:lang w:val="es-ES"/>
        </w:rPr>
        <w:t>Second</w:t>
      </w:r>
      <w:proofErr w:type="spellEnd"/>
      <w:r w:rsidRPr="00847608">
        <w:rPr>
          <w:i/>
          <w:iCs/>
          <w:lang w:val="es-ES"/>
        </w:rPr>
        <w:t xml:space="preserve"> </w:t>
      </w:r>
      <w:proofErr w:type="spellStart"/>
      <w:r w:rsidRPr="00847608">
        <w:rPr>
          <w:i/>
          <w:iCs/>
          <w:lang w:val="es-ES"/>
        </w:rPr>
        <w:t>Annual</w:t>
      </w:r>
      <w:proofErr w:type="spellEnd"/>
      <w:r w:rsidRPr="00847608">
        <w:rPr>
          <w:i/>
          <w:iCs/>
          <w:lang w:val="es-ES"/>
        </w:rPr>
        <w:t xml:space="preserve"> Jerome </w:t>
      </w:r>
      <w:proofErr w:type="spellStart"/>
      <w:r w:rsidRPr="00847608">
        <w:rPr>
          <w:i/>
          <w:iCs/>
          <w:lang w:val="es-ES"/>
        </w:rPr>
        <w:t>McCristal</w:t>
      </w:r>
      <w:proofErr w:type="spellEnd"/>
      <w:r w:rsidRPr="00847608">
        <w:rPr>
          <w:i/>
          <w:iCs/>
          <w:lang w:val="es-ES"/>
        </w:rPr>
        <w:t xml:space="preserve"> </w:t>
      </w:r>
      <w:proofErr w:type="spellStart"/>
      <w:r w:rsidRPr="00847608">
        <w:rPr>
          <w:i/>
          <w:iCs/>
          <w:lang w:val="es-ES"/>
        </w:rPr>
        <w:t>Culp</w:t>
      </w:r>
      <w:proofErr w:type="spellEnd"/>
      <w:r w:rsidRPr="00847608">
        <w:rPr>
          <w:i/>
          <w:iCs/>
          <w:lang w:val="es-ES"/>
        </w:rPr>
        <w:t xml:space="preserve">, Jr. Memorial </w:t>
      </w:r>
      <w:proofErr w:type="spellStart"/>
      <w:r w:rsidRPr="00847608">
        <w:rPr>
          <w:i/>
          <w:iCs/>
          <w:lang w:val="es-ES"/>
        </w:rPr>
        <w:t>LatCrit</w:t>
      </w:r>
      <w:proofErr w:type="spellEnd"/>
      <w:r w:rsidRPr="00847608">
        <w:rPr>
          <w:i/>
          <w:iCs/>
          <w:lang w:val="es-ES"/>
        </w:rPr>
        <w:t xml:space="preserve"> Lecture</w:t>
      </w:r>
      <w:r w:rsidR="00F37649" w:rsidRPr="00847608">
        <w:rPr>
          <w:rStyle w:val="FootnoteReference"/>
          <w:lang w:val="es-ES"/>
        </w:rPr>
        <w:footnoteReference w:customMarkFollows="1" w:id="5"/>
        <w:t>5</w:t>
      </w:r>
      <w:r w:rsidRPr="00847608">
        <w:rPr>
          <w:lang w:val="es-ES"/>
        </w:rPr>
        <w:t>—aborda grandes ideas y temas complejos sobre la justicia y el constitucionalismo en el Estado de Derecho, dentro del poco tiempo y espacio asignados.</w:t>
      </w:r>
    </w:p>
    <w:p w14:paraId="711F027F" w14:textId="06F62C92" w:rsidR="008D39AA" w:rsidRPr="00847608" w:rsidRDefault="008D39AA" w:rsidP="008D39AA">
      <w:pPr>
        <w:pStyle w:val="p1"/>
        <w:ind w:firstLine="720"/>
        <w:rPr>
          <w:lang w:val="es-ES"/>
        </w:rPr>
      </w:pPr>
      <w:r w:rsidRPr="00847608">
        <w:rPr>
          <w:lang w:val="es-ES"/>
        </w:rPr>
        <w:t xml:space="preserve">Con estas circunstancias y limitaciones en mente, en esta conferencia me propongo centrarme en el proceso mediante el cual se ha constituido un clima de intimidación, control y terror dentro de los Estados Unidos—especialmente desde el año 2000—para silenciar toda </w:t>
      </w:r>
      <w:r w:rsidRPr="00847608">
        <w:rPr>
          <w:lang w:val="es-ES"/>
        </w:rPr>
        <w:lastRenderedPageBreak/>
        <w:t>disidencia u oposición</w:t>
      </w:r>
      <w:r w:rsidR="001D3FF3" w:rsidRPr="00847608">
        <w:rPr>
          <w:lang w:val="es-ES"/>
        </w:rPr>
        <w:t>,</w:t>
      </w:r>
      <w:r w:rsidRPr="00847608">
        <w:rPr>
          <w:lang w:val="es-ES"/>
        </w:rPr>
        <w:t xml:space="preserve"> frente a la consolidación del poder político y económico en manos del inquilino</w:t>
      </w:r>
      <w:r w:rsidR="001D3FF3" w:rsidRPr="00847608">
        <w:rPr>
          <w:lang w:val="es-ES"/>
        </w:rPr>
        <w:t xml:space="preserve"> actual</w:t>
      </w:r>
      <w:r w:rsidRPr="00847608">
        <w:rPr>
          <w:lang w:val="es-ES"/>
        </w:rPr>
        <w:t xml:space="preserve"> de la Casa Blanca y de sus manipuladores ideológicos.</w:t>
      </w:r>
    </w:p>
    <w:p w14:paraId="4433F530" w14:textId="77777777" w:rsidR="00B51444" w:rsidRPr="00847608" w:rsidRDefault="008D39AA" w:rsidP="00244BF0">
      <w:pPr>
        <w:pStyle w:val="p1"/>
        <w:ind w:firstLine="720"/>
        <w:rPr>
          <w:lang w:val="es-ES"/>
        </w:rPr>
      </w:pPr>
      <w:r w:rsidRPr="00847608">
        <w:rPr>
          <w:lang w:val="es-ES"/>
        </w:rPr>
        <w:t>Dado que esta constitución de un estado de terror es fundamental para entender el derecho y la sociedad actuales, espero que podamos dirigir nuestra atención crítica y colectiva hacia algunas de las Grandes Mentiras que allana</w:t>
      </w:r>
      <w:r w:rsidR="001D3FF3" w:rsidRPr="00847608">
        <w:rPr>
          <w:lang w:val="es-ES"/>
        </w:rPr>
        <w:t>ron</w:t>
      </w:r>
      <w:r w:rsidRPr="00847608">
        <w:rPr>
          <w:lang w:val="es-ES"/>
        </w:rPr>
        <w:t xml:space="preserve"> el camino para esta configuración progresiva de una nación aterrorizada por las élites políticas y económicas dominantes, que así controlan el derecho y la legislación.</w:t>
      </w:r>
      <w:r w:rsidR="00244BF0" w:rsidRPr="00847608">
        <w:rPr>
          <w:lang w:val="es-ES"/>
        </w:rPr>
        <w:t xml:space="preserve"> </w:t>
      </w:r>
      <w:r w:rsidRPr="00847608">
        <w:rPr>
          <w:lang w:val="es-ES"/>
        </w:rPr>
        <w:t>Estas Grandes Mentiras, con frecuencia, emanan de sectores de la cultura jurídica nacional identificados con la ley. Y lo hacen, quizás de forma más perversa, a través de las personas designadas al poder judicial—o, al menos, con su complicidad consciente—para reinterpretar la Constitución de los Estados Unidos y, por tanto, la Ley Suprema del país, conforme a sus intereses o ambiciones ideológicas.</w:t>
      </w:r>
      <w:r w:rsidR="00244BF0" w:rsidRPr="00847608">
        <w:rPr>
          <w:lang w:val="es-ES"/>
        </w:rPr>
        <w:t xml:space="preserve"> </w:t>
      </w:r>
    </w:p>
    <w:p w14:paraId="0A97619F" w14:textId="44E81153" w:rsidR="008D39AA" w:rsidRPr="00847608" w:rsidRDefault="008D39AA" w:rsidP="00B51444">
      <w:pPr>
        <w:pStyle w:val="p1"/>
        <w:ind w:firstLine="720"/>
        <w:rPr>
          <w:lang w:val="es-ES"/>
        </w:rPr>
      </w:pPr>
      <w:r w:rsidRPr="00847608">
        <w:rPr>
          <w:lang w:val="es-ES"/>
        </w:rPr>
        <w:t>Me detengo en estas Grandes Mentiras vinculadas al derecho porque formamos parte de la cultura jurídica de esta nación—estamos insertos en ella y, en cierto modo, también empoderados dentro de sus estructuras.</w:t>
      </w:r>
      <w:r w:rsidR="00B51444" w:rsidRPr="00847608">
        <w:rPr>
          <w:lang w:val="es-ES"/>
        </w:rPr>
        <w:t xml:space="preserve"> </w:t>
      </w:r>
      <w:r w:rsidRPr="00847608">
        <w:rPr>
          <w:lang w:val="es-ES"/>
        </w:rPr>
        <w:t>Como juristas con la formación académica necesaria para desenmascarar estas falsedades—y en particular sus distorsiones de la interpretación constitucional y del derecho—espero activar una alarma antisubordina</w:t>
      </w:r>
      <w:r w:rsidR="00847608">
        <w:rPr>
          <w:lang w:val="es-ES"/>
        </w:rPr>
        <w:t>ción</w:t>
      </w:r>
      <w:r w:rsidRPr="00847608">
        <w:rPr>
          <w:lang w:val="es-ES"/>
        </w:rPr>
        <w:t>.</w:t>
      </w:r>
      <w:r w:rsidR="00B51444" w:rsidRPr="00847608">
        <w:rPr>
          <w:lang w:val="es-ES"/>
        </w:rPr>
        <w:t xml:space="preserve"> </w:t>
      </w:r>
      <w:r w:rsidRPr="00847608">
        <w:rPr>
          <w:lang w:val="es-ES"/>
        </w:rPr>
        <w:t>Como toda alarma, esta debería impulsarnos a actuar, tanto en lo personal como en lo colectivo, especialmente en calidad de juristas críticos comprometidos con la justicia social y material desde abajo.</w:t>
      </w:r>
    </w:p>
    <w:p w14:paraId="3AAC4CC1" w14:textId="39E9B8DA" w:rsidR="00B4465C" w:rsidRPr="00847608" w:rsidRDefault="00B4465C" w:rsidP="00B4465C">
      <w:pPr>
        <w:pStyle w:val="p1"/>
        <w:rPr>
          <w:u w:val="single"/>
          <w:lang w:val="es-ES"/>
        </w:rPr>
      </w:pPr>
      <w:r w:rsidRPr="00847608">
        <w:rPr>
          <w:b/>
          <w:bCs/>
          <w:u w:val="single"/>
          <w:lang w:val="es-ES"/>
        </w:rPr>
        <w:t>Teoría crítica periférica y activismo académico: ¿Qué haría Jerome?</w:t>
      </w:r>
    </w:p>
    <w:p w14:paraId="373C60A4" w14:textId="6B219111" w:rsidR="00604EFA" w:rsidRPr="00847608" w:rsidRDefault="00843393" w:rsidP="00B76948">
      <w:pPr>
        <w:pStyle w:val="p1"/>
        <w:ind w:firstLine="720"/>
        <w:rPr>
          <w:lang w:val="es-ES"/>
        </w:rPr>
      </w:pPr>
      <w:r w:rsidRPr="00847608">
        <w:rPr>
          <w:lang w:val="es-ES"/>
        </w:rPr>
        <w:t xml:space="preserve">Aunque Jerome comprendía con claridad que la teoría y la práctica antisubordinación son siempre esfuerzos multifacéticos y multidimensionales, también enfatizaba la importancia, la centralidad—lo indispensable—de la producción de conocimiento para la misión de la erudición jurídica </w:t>
      </w:r>
      <w:r w:rsidR="002579B2" w:rsidRPr="00847608">
        <w:rPr>
          <w:lang w:val="es-ES"/>
        </w:rPr>
        <w:t>periférica</w:t>
      </w:r>
      <w:r w:rsidRPr="00847608">
        <w:rPr>
          <w:lang w:val="es-ES"/>
        </w:rPr>
        <w:t>.</w:t>
      </w:r>
      <w:r w:rsidR="002579B2" w:rsidRPr="00847608">
        <w:rPr>
          <w:lang w:val="es-ES"/>
        </w:rPr>
        <w:t xml:space="preserve"> </w:t>
      </w:r>
      <w:r w:rsidRPr="00847608">
        <w:rPr>
          <w:lang w:val="es-ES"/>
        </w:rPr>
        <w:t xml:space="preserve">En otras palabras, nunca se apartó de los </w:t>
      </w:r>
      <w:r w:rsidR="002579B2" w:rsidRPr="00847608">
        <w:rPr>
          <w:lang w:val="es-ES"/>
        </w:rPr>
        <w:t>papeles</w:t>
      </w:r>
      <w:r w:rsidRPr="00847608">
        <w:rPr>
          <w:lang w:val="es-ES"/>
        </w:rPr>
        <w:t xml:space="preserve"> y </w:t>
      </w:r>
      <w:r w:rsidR="002579B2" w:rsidRPr="00847608">
        <w:rPr>
          <w:lang w:val="es-ES"/>
        </w:rPr>
        <w:t xml:space="preserve">las </w:t>
      </w:r>
      <w:r w:rsidRPr="00847608">
        <w:rPr>
          <w:lang w:val="es-ES"/>
        </w:rPr>
        <w:t>responsabilidades que nos corresponden</w:t>
      </w:r>
      <w:r w:rsidR="00952044" w:rsidRPr="00847608">
        <w:rPr>
          <w:lang w:val="es-ES"/>
        </w:rPr>
        <w:t>,</w:t>
      </w:r>
      <w:r w:rsidRPr="00847608">
        <w:rPr>
          <w:lang w:val="es-ES"/>
        </w:rPr>
        <w:t xml:space="preserve"> específicamente</w:t>
      </w:r>
      <w:r w:rsidR="00952044" w:rsidRPr="00847608">
        <w:rPr>
          <w:lang w:val="es-ES"/>
        </w:rPr>
        <w:t>,</w:t>
      </w:r>
      <w:r w:rsidRPr="00847608">
        <w:rPr>
          <w:lang w:val="es-ES"/>
        </w:rPr>
        <w:t xml:space="preserve"> como personas estudiosas críticas en una sociedad legalista.</w:t>
      </w:r>
      <w:r w:rsidR="00952044" w:rsidRPr="00847608">
        <w:rPr>
          <w:lang w:val="es-ES"/>
        </w:rPr>
        <w:t xml:space="preserve"> </w:t>
      </w:r>
      <w:r w:rsidRPr="00847608">
        <w:rPr>
          <w:lang w:val="es-ES"/>
        </w:rPr>
        <w:t>Si bien debemos seguir comprometidas con actividades y comunidades</w:t>
      </w:r>
      <w:r w:rsidR="00952044" w:rsidRPr="00847608">
        <w:rPr>
          <w:lang w:val="es-ES"/>
        </w:rPr>
        <w:t xml:space="preserve"> diversas</w:t>
      </w:r>
      <w:r w:rsidRPr="00847608">
        <w:rPr>
          <w:lang w:val="es-ES"/>
        </w:rPr>
        <w:t xml:space="preserve">, nuestras contribuciones únicas—si es que existen—en la búsqueda histórica de la justicia social, tanto local como global, deben apoyarse en gran medida en los recursos, </w:t>
      </w:r>
      <w:r w:rsidR="00952044" w:rsidRPr="00847608">
        <w:rPr>
          <w:lang w:val="es-ES"/>
        </w:rPr>
        <w:t xml:space="preserve">las </w:t>
      </w:r>
      <w:r w:rsidRPr="00847608">
        <w:rPr>
          <w:lang w:val="es-ES"/>
        </w:rPr>
        <w:t xml:space="preserve">habilidades, </w:t>
      </w:r>
      <w:r w:rsidR="00952044" w:rsidRPr="00847608">
        <w:rPr>
          <w:lang w:val="es-ES"/>
        </w:rPr>
        <w:t xml:space="preserve">los </w:t>
      </w:r>
      <w:r w:rsidRPr="00847608">
        <w:rPr>
          <w:lang w:val="es-ES"/>
        </w:rPr>
        <w:t xml:space="preserve">talentos y </w:t>
      </w:r>
      <w:r w:rsidR="000F330A" w:rsidRPr="00847608">
        <w:rPr>
          <w:lang w:val="es-ES"/>
        </w:rPr>
        <w:t xml:space="preserve">las </w:t>
      </w:r>
      <w:r w:rsidRPr="00847608">
        <w:rPr>
          <w:lang w:val="es-ES"/>
        </w:rPr>
        <w:t xml:space="preserve">oportunidades que nos definen, colectiva e individualmente, como juristas </w:t>
      </w:r>
      <w:r w:rsidR="000F330A" w:rsidRPr="00847608">
        <w:rPr>
          <w:lang w:val="es-ES"/>
        </w:rPr>
        <w:t>periféricos</w:t>
      </w:r>
      <w:r w:rsidRPr="00847608">
        <w:rPr>
          <w:lang w:val="es-ES"/>
        </w:rPr>
        <w:t>.</w:t>
      </w:r>
      <w:r w:rsidR="000F330A" w:rsidRPr="00847608">
        <w:rPr>
          <w:lang w:val="es-ES"/>
        </w:rPr>
        <w:t xml:space="preserve"> </w:t>
      </w:r>
      <w:r w:rsidRPr="00847608">
        <w:rPr>
          <w:lang w:val="es-ES"/>
        </w:rPr>
        <w:t>Para simplificar, podríamos organizar nuestros tipos particulares de formación, capacidades y aportaciones en torno a tres ejes básicos de iniciativa y actividad académica:</w:t>
      </w:r>
      <w:r w:rsidR="000F330A" w:rsidRPr="00847608">
        <w:rPr>
          <w:lang w:val="es-ES"/>
        </w:rPr>
        <w:t xml:space="preserve"> </w:t>
      </w:r>
      <w:r w:rsidRPr="00847608">
        <w:rPr>
          <w:lang w:val="es-ES"/>
        </w:rPr>
        <w:t>(1) la interrogación,</w:t>
      </w:r>
      <w:r w:rsidR="000F330A" w:rsidRPr="00847608">
        <w:rPr>
          <w:lang w:val="es-ES"/>
        </w:rPr>
        <w:t xml:space="preserve"> </w:t>
      </w:r>
      <w:r w:rsidRPr="00847608">
        <w:rPr>
          <w:lang w:val="es-ES"/>
        </w:rPr>
        <w:t>(2) la interconexión y</w:t>
      </w:r>
      <w:r w:rsidR="000F330A" w:rsidRPr="00847608">
        <w:rPr>
          <w:lang w:val="es-ES"/>
        </w:rPr>
        <w:t xml:space="preserve"> </w:t>
      </w:r>
      <w:r w:rsidRPr="00847608">
        <w:rPr>
          <w:lang w:val="es-ES"/>
        </w:rPr>
        <w:t>(3) la introducción.</w:t>
      </w:r>
      <w:r w:rsidR="000F330A" w:rsidRPr="00847608">
        <w:rPr>
          <w:lang w:val="es-ES"/>
        </w:rPr>
        <w:t xml:space="preserve"> </w:t>
      </w:r>
      <w:r w:rsidRPr="00847608">
        <w:rPr>
          <w:lang w:val="es-ES"/>
        </w:rPr>
        <w:t>Permítanme explicarlo brevemente.</w:t>
      </w:r>
    </w:p>
    <w:p w14:paraId="0018E9FF" w14:textId="15ED6C5B" w:rsidR="00604EFA" w:rsidRPr="00847608" w:rsidRDefault="00604EFA" w:rsidP="00C76D6D">
      <w:pPr>
        <w:pStyle w:val="p1"/>
        <w:ind w:firstLine="720"/>
        <w:rPr>
          <w:lang w:val="es-ES"/>
        </w:rPr>
      </w:pPr>
      <w:r w:rsidRPr="00847608">
        <w:rPr>
          <w:lang w:val="es-ES"/>
        </w:rPr>
        <w:t xml:space="preserve">La </w:t>
      </w:r>
      <w:r w:rsidRPr="00847608">
        <w:rPr>
          <w:rStyle w:val="s1"/>
          <w:i/>
          <w:iCs/>
          <w:lang w:val="es-ES"/>
        </w:rPr>
        <w:t>interrogación</w:t>
      </w:r>
      <w:r w:rsidRPr="00847608">
        <w:rPr>
          <w:lang w:val="es-ES"/>
        </w:rPr>
        <w:t xml:space="preserve">, quizá la más básica, consiste en formular las preguntas críticas. Interrogar críticamente implica cuestionar los múltiples conjuntos de suposiciones, imperativos y efectos—tanto tácitos como explícitos—que sostienen el </w:t>
      </w:r>
      <w:r w:rsidRPr="00847608">
        <w:rPr>
          <w:i/>
          <w:iCs/>
          <w:lang w:val="es-ES"/>
        </w:rPr>
        <w:t>statu quo</w:t>
      </w:r>
      <w:r w:rsidRPr="00847608">
        <w:rPr>
          <w:lang w:val="es-ES"/>
        </w:rPr>
        <w:t>.</w:t>
      </w:r>
      <w:r w:rsidR="001F3DDD" w:rsidRPr="00847608">
        <w:rPr>
          <w:lang w:val="es-ES"/>
        </w:rPr>
        <w:t xml:space="preserve"> </w:t>
      </w:r>
      <w:r w:rsidRPr="00847608">
        <w:rPr>
          <w:lang w:val="es-ES"/>
        </w:rPr>
        <w:t xml:space="preserve">Como </w:t>
      </w:r>
      <w:r w:rsidR="003A3033" w:rsidRPr="00847608">
        <w:rPr>
          <w:lang w:val="es-ES"/>
        </w:rPr>
        <w:t>académicos</w:t>
      </w:r>
      <w:r w:rsidRPr="00847608">
        <w:rPr>
          <w:lang w:val="es-ES"/>
        </w:rPr>
        <w:t xml:space="preserve"> de OutCrit</w:t>
      </w:r>
      <w:r w:rsidR="001F3DDD" w:rsidRPr="00847608">
        <w:rPr>
          <w:rStyle w:val="FootnoteReference"/>
          <w:lang w:val="es-ES"/>
        </w:rPr>
        <w:footnoteReference w:customMarkFollows="1" w:id="6"/>
        <w:t>6</w:t>
      </w:r>
      <w:r w:rsidRPr="00847608">
        <w:rPr>
          <w:lang w:val="es-ES"/>
        </w:rPr>
        <w:t xml:space="preserve">, llevamos la interrogación al siguiente nivel al interconectar observaciones locales o, de </w:t>
      </w:r>
      <w:r w:rsidRPr="00847608">
        <w:rPr>
          <w:lang w:val="es-ES"/>
        </w:rPr>
        <w:lastRenderedPageBreak/>
        <w:t>otro modo, aisladas, trasladando los análisis socio</w:t>
      </w:r>
      <w:r w:rsidR="00847608">
        <w:rPr>
          <w:lang w:val="es-ES"/>
        </w:rPr>
        <w:t>-</w:t>
      </w:r>
      <w:r w:rsidRPr="00847608">
        <w:rPr>
          <w:lang w:val="es-ES"/>
        </w:rPr>
        <w:t>jurídicos de lo atomizado a lo estructural, del individuo a los sistemas multifacéticos de subordinación</w:t>
      </w:r>
      <w:r w:rsidR="003A3033" w:rsidRPr="00847608">
        <w:rPr>
          <w:lang w:val="es-ES"/>
        </w:rPr>
        <w:t>,</w:t>
      </w:r>
      <w:r w:rsidRPr="00847608">
        <w:rPr>
          <w:lang w:val="es-ES"/>
        </w:rPr>
        <w:t xml:space="preserve"> que se entrelazan para encerrarnos a todas y todos.</w:t>
      </w:r>
      <w:r w:rsidR="003A3033" w:rsidRPr="00847608">
        <w:rPr>
          <w:lang w:val="es-ES"/>
        </w:rPr>
        <w:t xml:space="preserve"> </w:t>
      </w:r>
      <w:r w:rsidRPr="00847608">
        <w:rPr>
          <w:lang w:val="es-ES"/>
        </w:rPr>
        <w:t xml:space="preserve">Este paso de la interrogación a la </w:t>
      </w:r>
      <w:r w:rsidRPr="00847608">
        <w:rPr>
          <w:rStyle w:val="s1"/>
          <w:i/>
          <w:iCs/>
          <w:lang w:val="es-ES"/>
        </w:rPr>
        <w:t>interconexión</w:t>
      </w:r>
      <w:r w:rsidRPr="00847608">
        <w:rPr>
          <w:lang w:val="es-ES"/>
        </w:rPr>
        <w:t xml:space="preserve"> nos permite discernir y documentar los patrones que, al acumularse, transforman particularidades diversas en supremacías “diferentes”, pero mutuamente reforzadas.</w:t>
      </w:r>
      <w:r w:rsidR="00B76948" w:rsidRPr="00847608">
        <w:rPr>
          <w:lang w:val="es-ES"/>
        </w:rPr>
        <w:t xml:space="preserve"> </w:t>
      </w:r>
      <w:r w:rsidRPr="00847608">
        <w:rPr>
          <w:lang w:val="es-ES"/>
        </w:rPr>
        <w:t xml:space="preserve">Por último, el tercer tipo básico de capacidad es la </w:t>
      </w:r>
      <w:r w:rsidRPr="00847608">
        <w:rPr>
          <w:rStyle w:val="s1"/>
          <w:i/>
          <w:iCs/>
          <w:lang w:val="es-ES"/>
        </w:rPr>
        <w:t>introducción</w:t>
      </w:r>
      <w:r w:rsidRPr="00847608">
        <w:rPr>
          <w:lang w:val="es-ES"/>
        </w:rPr>
        <w:t>: el acto de importar conocimientos “nuevos”—a menudo de carácter histórico—y aplicarlos a la situación o cuestión que se analiza. La introducción implica recuperar saberes y hechos suprimidos o invisibilizados, para recontextualizar y replantear aquello que ya hemos interrogado e interconectado.</w:t>
      </w:r>
      <w:r w:rsidR="00C76D6D" w:rsidRPr="00847608">
        <w:rPr>
          <w:lang w:val="es-ES"/>
        </w:rPr>
        <w:t xml:space="preserve"> </w:t>
      </w:r>
      <w:r w:rsidRPr="00847608">
        <w:rPr>
          <w:lang w:val="es-ES"/>
        </w:rPr>
        <w:t xml:space="preserve">En conjunto, este trío constituye una caja de herramientas básica de </w:t>
      </w:r>
      <w:proofErr w:type="spellStart"/>
      <w:r w:rsidRPr="00847608">
        <w:rPr>
          <w:lang w:val="es-ES"/>
        </w:rPr>
        <w:t>OutCrit</w:t>
      </w:r>
      <w:proofErr w:type="spellEnd"/>
      <w:r w:rsidRPr="00847608">
        <w:rPr>
          <w:lang w:val="es-ES"/>
        </w:rPr>
        <w:t>, útil para desentrañar y confrontar los sistemas interrelacionados de privilegio y subordinación.</w:t>
      </w:r>
    </w:p>
    <w:p w14:paraId="50630A4A" w14:textId="56B7D4C3" w:rsidR="00D61B88" w:rsidRPr="00847608" w:rsidRDefault="00D61B88" w:rsidP="002B7D98">
      <w:pPr>
        <w:pStyle w:val="p1"/>
        <w:ind w:firstLine="720"/>
        <w:rPr>
          <w:lang w:val="es-ES"/>
        </w:rPr>
      </w:pPr>
      <w:r w:rsidRPr="00847608">
        <w:rPr>
          <w:lang w:val="es-ES"/>
        </w:rPr>
        <w:t>Como nos enseñaron Jerome y otras personas pioneras del pensamiento crítico, estas tres herramientas o técnicas nos permiten reunir y reorganizar información para producir, registrar y transmitir conocimientos antisubordinación, así como para impulsar la resistencia personal frente a todos los sistemas de opresión. Lo hacen a partir de una comprensión renovada y más aguda de las castas sociales, las injusticias que se refuerzan mutuamente y sus orígenes identitarios.</w:t>
      </w:r>
      <w:r w:rsidR="002B7D98" w:rsidRPr="00847608">
        <w:rPr>
          <w:lang w:val="es-ES"/>
        </w:rPr>
        <w:t xml:space="preserve"> </w:t>
      </w:r>
      <w:r w:rsidRPr="00847608">
        <w:rPr>
          <w:lang w:val="es-ES"/>
        </w:rPr>
        <w:t>Estos fundamentos nos llevan, por tanto, a la que quizá sea la pregunta principal que este momento histórico nos plantea: “¿Qué haría Jerome?” Es decir, ¿qué haría Jerome ahora con este conjunto específico de herramientas, ante los retos concretos de este momento, en el que la ley se utiliza para constituir un estado ambiental de terror permanente?</w:t>
      </w:r>
    </w:p>
    <w:p w14:paraId="73C6D358" w14:textId="77777777" w:rsidR="00EB2619" w:rsidRPr="00847608" w:rsidRDefault="005979E9" w:rsidP="00EB2619">
      <w:pPr>
        <w:pStyle w:val="p1"/>
        <w:ind w:firstLine="720"/>
        <w:rPr>
          <w:lang w:val="es-ES"/>
        </w:rPr>
      </w:pPr>
      <w:r w:rsidRPr="00847608">
        <w:rPr>
          <w:lang w:val="es-ES"/>
        </w:rPr>
        <w:t xml:space="preserve">Esta constitución del terror se construye, en gran medida, sobre la resurrección de nociones, afirmaciones y doctrinas constitucionales desacreditadas, que buscan reinstaurar prácticas muy antiguas (y crudas) en el Derecho y la sociedad estadounidenses. Con frecuencia, este proyecto de resurrección, inmenso y continuo, se disfraza mediante una colección de Grandes Mentiras que operan en conjunto—dentro y fuera de los Estados Unidos—y que intentan justificar la injusticia, precisamente, en términos constitucionales que se imponen sobre todo lo demás. </w:t>
      </w:r>
    </w:p>
    <w:p w14:paraId="1D320974" w14:textId="77777777" w:rsidR="00E0171E" w:rsidRPr="00847608" w:rsidRDefault="005979E9" w:rsidP="00E0171E">
      <w:pPr>
        <w:pStyle w:val="p1"/>
        <w:ind w:firstLine="720"/>
        <w:rPr>
          <w:lang w:val="es-ES"/>
        </w:rPr>
      </w:pPr>
      <w:r w:rsidRPr="00847608">
        <w:rPr>
          <w:lang w:val="es-ES"/>
        </w:rPr>
        <w:t>Estas Grandes Mentiras no solo contribuyen a constituir un Estado estadounidense del terror, sino que también violan o pervierten la propia Constitución, con el fin de sostener la constitución intelectual y política del terror que hoy se presenta como Estado de Derecho en estos Estados Unidos.</w:t>
      </w:r>
      <w:r w:rsidR="00EB2619" w:rsidRPr="00847608">
        <w:rPr>
          <w:lang w:val="es-ES"/>
        </w:rPr>
        <w:t xml:space="preserve"> </w:t>
      </w:r>
      <w:r w:rsidRPr="00847608">
        <w:rPr>
          <w:lang w:val="es-ES"/>
        </w:rPr>
        <w:t>Apliquemos, entonces, la interrogación, la interconexión y la introducción a solo tres de estas Grandes Mentiras relacionadas con la interpretación constitucional y el Derecho, tal como las esbozamos a la manera de Jerome.</w:t>
      </w:r>
    </w:p>
    <w:p w14:paraId="6472616B" w14:textId="34E28AC5" w:rsidR="00597F37" w:rsidRPr="00847608" w:rsidRDefault="00E0171E" w:rsidP="00FD0995">
      <w:pPr>
        <w:pStyle w:val="p1"/>
        <w:rPr>
          <w:lang w:val="es-ES"/>
        </w:rPr>
      </w:pPr>
      <w:r w:rsidRPr="00E0171E">
        <w:rPr>
          <w:b/>
          <w:bCs/>
          <w:iCs/>
          <w:u w:val="single"/>
          <w:lang w:val="es-ES"/>
        </w:rPr>
        <w:t xml:space="preserve">El </w:t>
      </w:r>
      <w:proofErr w:type="spellStart"/>
      <w:r w:rsidRPr="00E0171E">
        <w:rPr>
          <w:b/>
          <w:bCs/>
          <w:iCs/>
          <w:u w:val="single"/>
          <w:lang w:val="es-ES"/>
        </w:rPr>
        <w:t>originalismo</w:t>
      </w:r>
      <w:proofErr w:type="spellEnd"/>
      <w:r w:rsidRPr="00E0171E">
        <w:rPr>
          <w:b/>
          <w:bCs/>
          <w:iCs/>
          <w:u w:val="single"/>
          <w:lang w:val="es-ES"/>
        </w:rPr>
        <w:t xml:space="preserve"> moderno: estructura fraudulenta de reinterpretación constituciona</w:t>
      </w:r>
      <w:r w:rsidR="00FB6135" w:rsidRPr="00847608">
        <w:rPr>
          <w:b/>
          <w:bCs/>
          <w:iCs/>
          <w:u w:val="single"/>
          <w:lang w:val="es-ES"/>
        </w:rPr>
        <w:t>l</w:t>
      </w:r>
    </w:p>
    <w:p w14:paraId="1DF1F401" w14:textId="11A44601" w:rsidR="00840328" w:rsidRPr="00847608" w:rsidRDefault="00840328" w:rsidP="008B02B1">
      <w:pPr>
        <w:pStyle w:val="p1"/>
        <w:ind w:firstLine="720"/>
        <w:rPr>
          <w:lang w:val="es-ES"/>
        </w:rPr>
      </w:pPr>
      <w:r w:rsidRPr="00847608">
        <w:rPr>
          <w:lang w:val="es-ES"/>
        </w:rPr>
        <w:lastRenderedPageBreak/>
        <w:t xml:space="preserve">La primera Gran Mentira sostiene que las formas predominantes del </w:t>
      </w:r>
      <w:proofErr w:type="spellStart"/>
      <w:r w:rsidRPr="00847608">
        <w:rPr>
          <w:lang w:val="es-ES"/>
        </w:rPr>
        <w:t>originalismo</w:t>
      </w:r>
      <w:proofErr w:type="spellEnd"/>
      <w:r w:rsidRPr="00847608">
        <w:rPr>
          <w:lang w:val="es-ES"/>
        </w:rPr>
        <w:t xml:space="preserve"> contemporáneo ofrecen el “verdadero” marco sustantivo para interpretar la Constitución en una democracia constitucional—específicamente, en los Estados Unidos.</w:t>
      </w:r>
      <w:r w:rsidR="00F655D9" w:rsidRPr="00847608">
        <w:rPr>
          <w:lang w:val="es-ES"/>
        </w:rPr>
        <w:t xml:space="preserve"> </w:t>
      </w:r>
      <w:r w:rsidRPr="00847608">
        <w:rPr>
          <w:lang w:val="es-ES"/>
        </w:rPr>
        <w:t xml:space="preserve">El </w:t>
      </w:r>
      <w:proofErr w:type="spellStart"/>
      <w:r w:rsidRPr="00847608">
        <w:rPr>
          <w:lang w:val="es-ES"/>
        </w:rPr>
        <w:t>originalismo</w:t>
      </w:r>
      <w:proofErr w:type="spellEnd"/>
      <w:r w:rsidRPr="00847608">
        <w:rPr>
          <w:lang w:val="es-ES"/>
        </w:rPr>
        <w:t>, por supuesto, se refiere a la ideología que postula la “intención personal de los Forjadores” (junto con ciertos indicios históricos selectivos) como la primera y mejor respuesta a todas las cuestiones constitucionales.</w:t>
      </w:r>
      <w:r w:rsidR="008B02B1" w:rsidRPr="00847608">
        <w:rPr>
          <w:lang w:val="es-ES"/>
        </w:rPr>
        <w:t xml:space="preserve"> </w:t>
      </w:r>
      <w:r w:rsidRPr="00847608">
        <w:rPr>
          <w:lang w:val="es-ES"/>
        </w:rPr>
        <w:t xml:space="preserve">De forma alternativa, el </w:t>
      </w:r>
      <w:proofErr w:type="spellStart"/>
      <w:r w:rsidRPr="00847608">
        <w:rPr>
          <w:lang w:val="es-ES"/>
        </w:rPr>
        <w:t>originalismo</w:t>
      </w:r>
      <w:proofErr w:type="spellEnd"/>
      <w:r w:rsidRPr="00847608">
        <w:rPr>
          <w:lang w:val="es-ES"/>
        </w:rPr>
        <w:t xml:space="preserve"> también recurre a diccionarios y otras fuentes externas para imponer una interpretación determinada como la “comprensión pública” original de cualquier disposición</w:t>
      </w:r>
      <w:r w:rsidR="008B02B1" w:rsidRPr="00847608">
        <w:rPr>
          <w:rStyle w:val="FootnoteReference"/>
          <w:lang w:val="es-ES"/>
        </w:rPr>
        <w:footnoteReference w:customMarkFollows="1" w:id="7"/>
        <w:t>7</w:t>
      </w:r>
      <w:r w:rsidRPr="00847608">
        <w:rPr>
          <w:lang w:val="es-ES"/>
        </w:rPr>
        <w:t>.</w:t>
      </w:r>
      <w:r w:rsidR="008B02B1" w:rsidRPr="00847608">
        <w:rPr>
          <w:lang w:val="es-ES"/>
        </w:rPr>
        <w:t xml:space="preserve"> </w:t>
      </w:r>
      <w:r w:rsidRPr="00847608">
        <w:rPr>
          <w:lang w:val="es-ES"/>
        </w:rPr>
        <w:t xml:space="preserve">Sin embargo, el </w:t>
      </w:r>
      <w:proofErr w:type="spellStart"/>
      <w:r w:rsidRPr="00847608">
        <w:rPr>
          <w:lang w:val="es-ES"/>
        </w:rPr>
        <w:t>originalismo</w:t>
      </w:r>
      <w:proofErr w:type="spellEnd"/>
      <w:r w:rsidRPr="00847608">
        <w:rPr>
          <w:lang w:val="es-ES"/>
        </w:rPr>
        <w:t xml:space="preserve"> busca eliminar todo—o casi todo—lo demás en la interpretación constitucional y, por tanto, en la Ley Suprema del país.</w:t>
      </w:r>
    </w:p>
    <w:p w14:paraId="376A4C34" w14:textId="1CD66A01" w:rsidR="001713E2" w:rsidRPr="00847608" w:rsidRDefault="00097E4A" w:rsidP="001075EC">
      <w:pPr>
        <w:pStyle w:val="p1"/>
        <w:ind w:firstLine="720"/>
        <w:rPr>
          <w:lang w:val="es-ES"/>
        </w:rPr>
      </w:pPr>
      <w:r w:rsidRPr="00847608">
        <w:rPr>
          <w:lang w:val="es-ES"/>
        </w:rPr>
        <w:t xml:space="preserve">Por lo tanto, el </w:t>
      </w:r>
      <w:proofErr w:type="spellStart"/>
      <w:r w:rsidRPr="00847608">
        <w:rPr>
          <w:lang w:val="es-ES"/>
        </w:rPr>
        <w:t>originalismo</w:t>
      </w:r>
      <w:proofErr w:type="spellEnd"/>
      <w:r w:rsidRPr="00847608">
        <w:rPr>
          <w:lang w:val="es-ES"/>
        </w:rPr>
        <w:t xml:space="preserve"> moderno ha sido descrito con acierto (y con indulgencia) como un enfoque de “un solo paso” para abordar el asunto, serio y complejo, de la interpretación constitucional.</w:t>
      </w:r>
      <w:r w:rsidRPr="00847608">
        <w:rPr>
          <w:rStyle w:val="FootnoteReference"/>
          <w:lang w:val="es-ES"/>
        </w:rPr>
        <w:t xml:space="preserve"> </w:t>
      </w:r>
      <w:r w:rsidRPr="00847608">
        <w:rPr>
          <w:rStyle w:val="FootnoteReference"/>
          <w:lang w:val="es-ES"/>
        </w:rPr>
        <w:footnoteReference w:customMarkFollows="1" w:id="8"/>
        <w:t>8</w:t>
      </w:r>
      <w:r w:rsidRPr="00847608">
        <w:rPr>
          <w:lang w:val="es-ES"/>
        </w:rPr>
        <w:t xml:space="preserve"> Ese único paso consiste, básicamente, en que los jueces miren hacia atrás, hacia finales del siglo XVIII—cuando la Constitución fue redactada y ratificada exclusivamente por hombres blancos propietarios—y luego hagan lo que imaginan que esas personas habrían hecho en aquel entonces.</w:t>
      </w:r>
      <w:r w:rsidR="007A067F" w:rsidRPr="00847608">
        <w:rPr>
          <w:lang w:val="es-ES"/>
        </w:rPr>
        <w:t xml:space="preserve"> </w:t>
      </w:r>
      <w:r w:rsidRPr="00847608">
        <w:rPr>
          <w:lang w:val="es-ES"/>
        </w:rPr>
        <w:t>Pero esta insistencia en mirar únicamente hacia atrás, al contexto “original” imaginado, ignora el “segundo paso” indispensable del proceso: aplicar las palabras a contextos cambiantes, es decir, al presente y al futuro.</w:t>
      </w:r>
      <w:r w:rsidR="007A067F" w:rsidRPr="00847608">
        <w:rPr>
          <w:lang w:val="es-ES"/>
        </w:rPr>
        <w:t xml:space="preserve"> </w:t>
      </w:r>
      <w:r w:rsidRPr="00847608">
        <w:rPr>
          <w:lang w:val="es-ES"/>
        </w:rPr>
        <w:t>En otras palabras, consiste en “traducir” los fines u objetivos originales a situaciones actuales, del mismo modo en que las personas intérpretes traducen términos o textos de un idioma a otro, intentando conservar y transmitir los propósitos originales o los significados coherentes.</w:t>
      </w:r>
    </w:p>
    <w:p w14:paraId="7308AFFC" w14:textId="03D5C6DF" w:rsidR="00586192" w:rsidRPr="00847608" w:rsidRDefault="001713E2" w:rsidP="00DF6BDE">
      <w:pPr>
        <w:pStyle w:val="p1"/>
        <w:ind w:firstLine="720"/>
        <w:rPr>
          <w:lang w:val="es-ES"/>
        </w:rPr>
      </w:pPr>
      <w:r w:rsidRPr="00847608">
        <w:rPr>
          <w:lang w:val="es-ES"/>
        </w:rPr>
        <w:t xml:space="preserve">Uno de los exponentes principales de este enfoque de un solo paso, </w:t>
      </w:r>
      <w:proofErr w:type="spellStart"/>
      <w:r w:rsidRPr="00847608">
        <w:rPr>
          <w:lang w:val="es-ES"/>
        </w:rPr>
        <w:t>Antonin</w:t>
      </w:r>
      <w:proofErr w:type="spellEnd"/>
      <w:r w:rsidRPr="00847608">
        <w:rPr>
          <w:lang w:val="es-ES"/>
        </w:rPr>
        <w:t xml:space="preserve"> </w:t>
      </w:r>
      <w:proofErr w:type="spellStart"/>
      <w:r w:rsidRPr="00847608">
        <w:rPr>
          <w:lang w:val="es-ES"/>
        </w:rPr>
        <w:t>Scalia</w:t>
      </w:r>
      <w:proofErr w:type="spellEnd"/>
      <w:r w:rsidRPr="00847608">
        <w:rPr>
          <w:lang w:val="es-ES"/>
        </w:rPr>
        <w:t>, lo expresó célebremente así: “Ahora, mi teoría sobre lo que hago cuando intento interpretar la Constitución de los Estados Unidos es tratar de entender lo que significaba, lo que se entendía que significaba cuando fue adoptada. Y no creo que haya cambiado desde entonces”</w:t>
      </w:r>
      <w:r w:rsidR="00E60DC1" w:rsidRPr="00847608">
        <w:rPr>
          <w:rStyle w:val="FootnoteReference"/>
          <w:lang w:val="es-ES"/>
        </w:rPr>
        <w:t xml:space="preserve"> </w:t>
      </w:r>
      <w:r w:rsidR="00E60DC1" w:rsidRPr="00847608">
        <w:rPr>
          <w:rStyle w:val="FootnoteReference"/>
          <w:lang w:val="es-ES"/>
        </w:rPr>
        <w:footnoteReference w:customMarkFollows="1" w:id="9"/>
        <w:t>9</w:t>
      </w:r>
      <w:r w:rsidR="00E60DC1" w:rsidRPr="00847608">
        <w:rPr>
          <w:lang w:val="es-ES"/>
        </w:rPr>
        <w:t xml:space="preserve">. </w:t>
      </w:r>
      <w:r w:rsidRPr="00847608">
        <w:rPr>
          <w:lang w:val="es-ES"/>
        </w:rPr>
        <w:t>Este enfoque, de forma lenta pero constante, termina por congelar a la sociedad en un molde cada vez más rígido—un molde fijado en el siglo XVIII, cuando solo los hombres blancos acomodados tenían voz en esta “democracia” sobre el Derecho y la legislación.</w:t>
      </w:r>
      <w:r w:rsidR="00E60DC1" w:rsidRPr="00847608">
        <w:rPr>
          <w:lang w:val="es-ES"/>
        </w:rPr>
        <w:t xml:space="preserve"> </w:t>
      </w:r>
      <w:r w:rsidRPr="00847608">
        <w:rPr>
          <w:lang w:val="es-ES"/>
        </w:rPr>
        <w:t>Además, este no fue el camino que tomaron los Forjadores como generación, ni tampoco lo que pretendían.</w:t>
      </w:r>
    </w:p>
    <w:p w14:paraId="1ABF3C0D" w14:textId="38934129" w:rsidR="00366F0A" w:rsidRPr="00847608" w:rsidRDefault="00A512C3" w:rsidP="00D15055">
      <w:pPr>
        <w:pStyle w:val="p1"/>
        <w:ind w:firstLine="720"/>
        <w:rPr>
          <w:lang w:val="es-ES"/>
        </w:rPr>
      </w:pPr>
      <w:r w:rsidRPr="00847608">
        <w:rPr>
          <w:lang w:val="es-ES"/>
        </w:rPr>
        <w:lastRenderedPageBreak/>
        <w:t>De hecho, los propios Forjadores no consideraban sus intenciones como una base adecuada para nada que tuviera importancia constitucional. Para evitar precisamente lo que los originalistas intentan hoy, hicieron votos de silencio sobre sus deliberaciones en Filadelfia y mantuvieron cerradas las ventanas del edificio durante aquel caluroso verano.</w:t>
      </w:r>
      <w:r w:rsidR="00DF6BDE" w:rsidRPr="00847608">
        <w:rPr>
          <w:lang w:val="es-ES"/>
        </w:rPr>
        <w:t xml:space="preserve"> </w:t>
      </w:r>
      <w:r w:rsidRPr="00847608">
        <w:rPr>
          <w:lang w:val="es-ES"/>
        </w:rPr>
        <w:t xml:space="preserve">Con el fin de evitar este tipo de </w:t>
      </w:r>
      <w:r w:rsidRPr="00847608">
        <w:rPr>
          <w:i/>
          <w:iCs/>
          <w:lang w:val="es-ES"/>
        </w:rPr>
        <w:t>vudú constitucional</w:t>
      </w:r>
      <w:r w:rsidRPr="00847608">
        <w:rPr>
          <w:lang w:val="es-ES"/>
        </w:rPr>
        <w:t xml:space="preserve">, procuraron expresamente </w:t>
      </w:r>
      <w:r w:rsidR="00DF6BDE" w:rsidRPr="00847608">
        <w:rPr>
          <w:rStyle w:val="s1"/>
          <w:lang w:val="es-ES"/>
        </w:rPr>
        <w:t>NO</w:t>
      </w:r>
      <w:r w:rsidRPr="00847608">
        <w:rPr>
          <w:lang w:val="es-ES"/>
        </w:rPr>
        <w:t xml:space="preserve"> dejar un registro histórico confiable</w:t>
      </w:r>
      <w:r w:rsidR="00DF6BDE" w:rsidRPr="00847608">
        <w:rPr>
          <w:lang w:val="es-ES"/>
        </w:rPr>
        <w:t>.</w:t>
      </w:r>
      <w:r w:rsidR="00DF6BDE" w:rsidRPr="00847608">
        <w:rPr>
          <w:rStyle w:val="FootnoteReference"/>
          <w:lang w:val="es-ES"/>
        </w:rPr>
        <w:t xml:space="preserve"> </w:t>
      </w:r>
      <w:r w:rsidR="00DF6BDE" w:rsidRPr="00847608">
        <w:rPr>
          <w:rStyle w:val="FootnoteReference"/>
          <w:lang w:val="es-ES"/>
        </w:rPr>
        <w:footnoteReference w:customMarkFollows="1" w:id="10"/>
        <w:t>10</w:t>
      </w:r>
    </w:p>
    <w:p w14:paraId="5DB29CE9" w14:textId="42572E4E" w:rsidR="00366F0A" w:rsidRPr="00847608" w:rsidRDefault="00366F0A" w:rsidP="0091203F">
      <w:pPr>
        <w:pStyle w:val="p1"/>
        <w:ind w:firstLine="720"/>
        <w:rPr>
          <w:lang w:val="es-ES"/>
        </w:rPr>
      </w:pPr>
      <w:r w:rsidRPr="00847608">
        <w:rPr>
          <w:lang w:val="es-ES"/>
        </w:rPr>
        <w:t xml:space="preserve">Así, “el ascendiente actual del </w:t>
      </w:r>
      <w:proofErr w:type="spellStart"/>
      <w:r w:rsidRPr="00847608">
        <w:rPr>
          <w:lang w:val="es-ES"/>
        </w:rPr>
        <w:t>originalismo</w:t>
      </w:r>
      <w:proofErr w:type="spellEnd"/>
      <w:r w:rsidRPr="00847608">
        <w:rPr>
          <w:lang w:val="es-ES"/>
        </w:rPr>
        <w:t xml:space="preserve"> no refleja la fuerza analítica de su jurisprudencia, sino más bien que proporciona a sus defensores un lenguaje convincente con el que buscar el cambio constitucional a través de la adjudicación y la política”</w:t>
      </w:r>
      <w:r w:rsidR="0091203F" w:rsidRPr="00847608">
        <w:rPr>
          <w:lang w:val="es-ES"/>
        </w:rPr>
        <w:t>.</w:t>
      </w:r>
      <w:r w:rsidR="0091203F" w:rsidRPr="00847608">
        <w:rPr>
          <w:rStyle w:val="FootnoteReference"/>
          <w:lang w:val="es-ES"/>
        </w:rPr>
        <w:t xml:space="preserve"> </w:t>
      </w:r>
      <w:r w:rsidR="0091203F" w:rsidRPr="00847608">
        <w:rPr>
          <w:rStyle w:val="FootnoteReference"/>
          <w:lang w:val="es-ES"/>
        </w:rPr>
        <w:footnoteReference w:customMarkFollows="1" w:id="11"/>
        <w:t>11</w:t>
      </w:r>
      <w:r w:rsidR="0091203F" w:rsidRPr="00847608">
        <w:rPr>
          <w:lang w:val="es-ES"/>
        </w:rPr>
        <w:t xml:space="preserve"> </w:t>
      </w:r>
      <w:r w:rsidRPr="00847608">
        <w:rPr>
          <w:lang w:val="es-ES"/>
        </w:rPr>
        <w:t xml:space="preserve">Para comprender el </w:t>
      </w:r>
      <w:proofErr w:type="spellStart"/>
      <w:r w:rsidRPr="00847608">
        <w:rPr>
          <w:lang w:val="es-ES"/>
        </w:rPr>
        <w:t>originalismo</w:t>
      </w:r>
      <w:proofErr w:type="spellEnd"/>
      <w:r w:rsidRPr="00847608">
        <w:rPr>
          <w:lang w:val="es-ES"/>
        </w:rPr>
        <w:t xml:space="preserve"> moderno—o de un solo paso—debemos entenderlo como una </w:t>
      </w:r>
      <w:r w:rsidRPr="00847608">
        <w:rPr>
          <w:i/>
          <w:iCs/>
          <w:lang w:val="es-ES"/>
        </w:rPr>
        <w:t>práctica política</w:t>
      </w:r>
      <w:r w:rsidRPr="00847608">
        <w:rPr>
          <w:lang w:val="es-ES"/>
        </w:rPr>
        <w:t xml:space="preserve">, en la que las personas designadas judicialmente e identificadas con la reacción violenta, como </w:t>
      </w:r>
      <w:proofErr w:type="spellStart"/>
      <w:r w:rsidRPr="00847608">
        <w:rPr>
          <w:lang w:val="es-ES"/>
        </w:rPr>
        <w:t>Scalia</w:t>
      </w:r>
      <w:proofErr w:type="spellEnd"/>
      <w:r w:rsidRPr="00847608">
        <w:rPr>
          <w:lang w:val="es-ES"/>
        </w:rPr>
        <w:t xml:space="preserve"> y Thomas, “utilizan sus opiniones judiciales como herramientas conscientes para excitar la ira, los temores y los resentimientos de los grupos conservadores, y avivar así el fuego de</w:t>
      </w:r>
      <w:r w:rsidR="0016295B" w:rsidRPr="00847608">
        <w:rPr>
          <w:lang w:val="es-ES"/>
        </w:rPr>
        <w:t xml:space="preserve">l </w:t>
      </w:r>
      <w:r w:rsidR="00CF3C0E" w:rsidRPr="00847608">
        <w:rPr>
          <w:lang w:val="es-ES"/>
        </w:rPr>
        <w:t>activismo</w:t>
      </w:r>
      <w:r w:rsidRPr="00847608">
        <w:rPr>
          <w:lang w:val="es-ES"/>
        </w:rPr>
        <w:t xml:space="preserve"> polític</w:t>
      </w:r>
      <w:r w:rsidR="0016295B" w:rsidRPr="00847608">
        <w:rPr>
          <w:lang w:val="es-ES"/>
        </w:rPr>
        <w:t>o</w:t>
      </w:r>
      <w:r w:rsidRPr="00847608">
        <w:rPr>
          <w:lang w:val="es-ES"/>
        </w:rPr>
        <w:t>”</w:t>
      </w:r>
      <w:r w:rsidR="0016295B" w:rsidRPr="00847608">
        <w:rPr>
          <w:lang w:val="es-ES"/>
        </w:rPr>
        <w:t>.</w:t>
      </w:r>
      <w:r w:rsidR="0016295B" w:rsidRPr="00847608">
        <w:rPr>
          <w:rStyle w:val="FootnoteReference"/>
          <w:lang w:val="es-ES"/>
        </w:rPr>
        <w:t xml:space="preserve"> </w:t>
      </w:r>
      <w:r w:rsidR="0016295B" w:rsidRPr="00847608">
        <w:rPr>
          <w:rStyle w:val="FootnoteReference"/>
          <w:lang w:val="es-ES"/>
        </w:rPr>
        <w:footnoteReference w:customMarkFollows="1" w:id="12"/>
        <w:t>12</w:t>
      </w:r>
    </w:p>
    <w:p w14:paraId="11A7A73E" w14:textId="41C9DBF4" w:rsidR="00366F0A" w:rsidRPr="00847608" w:rsidRDefault="00366F0A" w:rsidP="00F3674E">
      <w:pPr>
        <w:spacing w:after="0" w:line="240" w:lineRule="auto"/>
        <w:ind w:firstLine="720"/>
        <w:rPr>
          <w:rFonts w:ascii="Times New Roman" w:hAnsi="Times New Roman" w:cs="Times New Roman"/>
          <w:sz w:val="24"/>
          <w:szCs w:val="24"/>
          <w:lang w:val="es-ES"/>
        </w:rPr>
      </w:pPr>
      <w:r w:rsidRPr="00847608">
        <w:rPr>
          <w:rFonts w:ascii="Times New Roman" w:hAnsi="Times New Roman" w:cs="Times New Roman"/>
          <w:sz w:val="24"/>
          <w:szCs w:val="24"/>
          <w:lang w:val="es-ES"/>
        </w:rPr>
        <w:t xml:space="preserve">Al deshacerse sin miramientos de áreas bien consolidadas de doctrina, y al desestabilizar con frialdad esquemas legislativos de </w:t>
      </w:r>
      <w:r w:rsidR="007A010B" w:rsidRPr="00847608">
        <w:rPr>
          <w:rFonts w:ascii="Times New Roman" w:hAnsi="Times New Roman" w:cs="Times New Roman"/>
          <w:sz w:val="24"/>
          <w:szCs w:val="24"/>
          <w:lang w:val="es-ES"/>
        </w:rPr>
        <w:t>gran arraigo</w:t>
      </w:r>
      <w:r w:rsidRPr="00847608">
        <w:rPr>
          <w:rFonts w:ascii="Times New Roman" w:hAnsi="Times New Roman" w:cs="Times New Roman"/>
          <w:sz w:val="24"/>
          <w:szCs w:val="24"/>
          <w:lang w:val="es-ES"/>
        </w:rPr>
        <w:t>—sin pestañear ni preocuparse por sus propias palabras sobre la moderación—quienes hoy son designados judiciales identificados con la reacción despliegan lo que denominan “</w:t>
      </w:r>
      <w:proofErr w:type="spellStart"/>
      <w:r w:rsidRPr="00847608">
        <w:rPr>
          <w:rFonts w:ascii="Times New Roman" w:hAnsi="Times New Roman" w:cs="Times New Roman"/>
          <w:sz w:val="24"/>
          <w:szCs w:val="24"/>
          <w:lang w:val="es-ES"/>
        </w:rPr>
        <w:t>originalismo</w:t>
      </w:r>
      <w:proofErr w:type="spellEnd"/>
      <w:r w:rsidRPr="00847608">
        <w:rPr>
          <w:rFonts w:ascii="Times New Roman" w:hAnsi="Times New Roman" w:cs="Times New Roman"/>
          <w:sz w:val="24"/>
          <w:szCs w:val="24"/>
          <w:lang w:val="es-ES"/>
        </w:rPr>
        <w:t>” para inscribir deliberadamente su “agenda antidiscriminación”</w:t>
      </w:r>
      <w:r w:rsidR="00D15055" w:rsidRPr="00847608">
        <w:rPr>
          <w:rStyle w:val="FootnoteReference"/>
          <w:rFonts w:ascii="Times New Roman" w:hAnsi="Times New Roman" w:cs="Times New Roman"/>
          <w:sz w:val="24"/>
          <w:szCs w:val="24"/>
          <w:lang w:val="es-ES"/>
        </w:rPr>
        <w:t xml:space="preserve"> </w:t>
      </w:r>
      <w:r w:rsidR="00D15055" w:rsidRPr="00847608">
        <w:rPr>
          <w:rStyle w:val="FootnoteReference"/>
          <w:rFonts w:ascii="Times New Roman" w:hAnsi="Times New Roman" w:cs="Times New Roman"/>
          <w:sz w:val="24"/>
          <w:szCs w:val="24"/>
          <w:lang w:val="es-ES"/>
        </w:rPr>
        <w:footnoteReference w:customMarkFollows="1" w:id="13"/>
        <w:t>13</w:t>
      </w:r>
      <w:r w:rsidR="00D15055" w:rsidRPr="00847608">
        <w:rPr>
          <w:rFonts w:ascii="Times New Roman" w:eastAsia="MS Mincho" w:hAnsi="Times New Roman" w:cs="Times New Roman"/>
          <w:sz w:val="24"/>
          <w:szCs w:val="24"/>
          <w:lang w:val="es-ES"/>
        </w:rPr>
        <w:t xml:space="preserve">, </w:t>
      </w:r>
      <w:r w:rsidRPr="00847608">
        <w:rPr>
          <w:rFonts w:ascii="Times New Roman" w:hAnsi="Times New Roman" w:cs="Times New Roman"/>
          <w:sz w:val="24"/>
          <w:szCs w:val="24"/>
          <w:lang w:val="es-ES"/>
        </w:rPr>
        <w:t>en el patrimonio jurídico de la nación.</w:t>
      </w:r>
      <w:r w:rsidR="00D15055" w:rsidRPr="00847608">
        <w:rPr>
          <w:rFonts w:ascii="Times New Roman" w:hAnsi="Times New Roman" w:cs="Times New Roman"/>
          <w:sz w:val="24"/>
          <w:szCs w:val="24"/>
          <w:lang w:val="es-ES"/>
        </w:rPr>
        <w:t xml:space="preserve"> </w:t>
      </w:r>
      <w:r w:rsidRPr="00847608">
        <w:rPr>
          <w:rFonts w:ascii="Times New Roman" w:hAnsi="Times New Roman" w:cs="Times New Roman"/>
          <w:sz w:val="24"/>
          <w:szCs w:val="24"/>
          <w:lang w:val="es-ES"/>
        </w:rPr>
        <w:t>Sus nombramientos fueron actos premeditados de guerra cultural en nombre de las élites y los intereses “tradicionales”, y actúan como si lo supieran muy bien</w:t>
      </w:r>
      <w:r w:rsidR="00D15055" w:rsidRPr="00847608">
        <w:rPr>
          <w:rFonts w:ascii="Times New Roman" w:hAnsi="Times New Roman" w:cs="Times New Roman"/>
          <w:sz w:val="24"/>
          <w:szCs w:val="24"/>
          <w:lang w:val="es-ES"/>
        </w:rPr>
        <w:t>.</w:t>
      </w:r>
      <w:r w:rsidR="00D15055" w:rsidRPr="00847608">
        <w:rPr>
          <w:rStyle w:val="FootnoteReference"/>
          <w:rFonts w:ascii="Times New Roman" w:hAnsi="Times New Roman" w:cs="Times New Roman"/>
          <w:sz w:val="24"/>
          <w:szCs w:val="24"/>
          <w:lang w:val="es-ES"/>
        </w:rPr>
        <w:t xml:space="preserve"> </w:t>
      </w:r>
      <w:r w:rsidR="00D15055" w:rsidRPr="00847608">
        <w:rPr>
          <w:rStyle w:val="FootnoteReference"/>
          <w:rFonts w:ascii="Times New Roman" w:hAnsi="Times New Roman" w:cs="Times New Roman"/>
          <w:sz w:val="24"/>
          <w:szCs w:val="24"/>
          <w:lang w:val="es-ES"/>
        </w:rPr>
        <w:footnoteReference w:customMarkFollows="1" w:id="14"/>
        <w:t>14</w:t>
      </w:r>
    </w:p>
    <w:p w14:paraId="0FD4B200" w14:textId="0E37DB00" w:rsidR="00255BA1" w:rsidRPr="00847608" w:rsidRDefault="0015693A" w:rsidP="008C344A">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15693A">
        <w:rPr>
          <w:rFonts w:ascii="Times New Roman" w:eastAsia="Times New Roman" w:hAnsi="Times New Roman" w:cs="Times New Roman"/>
          <w:kern w:val="0"/>
          <w:sz w:val="24"/>
          <w:szCs w:val="24"/>
          <w:lang w:val="es-ES"/>
          <w14:ligatures w14:val="none"/>
        </w:rPr>
        <w:t>Además, como demuestra</w:t>
      </w:r>
      <w:r w:rsidR="00175C50" w:rsidRPr="00847608">
        <w:rPr>
          <w:rFonts w:ascii="Times New Roman" w:eastAsia="Times New Roman" w:hAnsi="Times New Roman" w:cs="Times New Roman"/>
          <w:kern w:val="0"/>
          <w:sz w:val="24"/>
          <w:szCs w:val="24"/>
          <w:lang w:val="es-ES"/>
          <w14:ligatures w14:val="none"/>
        </w:rPr>
        <w:t>,</w:t>
      </w:r>
      <w:r w:rsidRPr="0015693A">
        <w:rPr>
          <w:rFonts w:ascii="Times New Roman" w:eastAsia="Times New Roman" w:hAnsi="Times New Roman" w:cs="Times New Roman"/>
          <w:kern w:val="0"/>
          <w:sz w:val="24"/>
          <w:szCs w:val="24"/>
          <w:lang w:val="es-ES"/>
          <w14:ligatures w14:val="none"/>
        </w:rPr>
        <w:t xml:space="preserve"> ampliamente</w:t>
      </w:r>
      <w:r w:rsidR="00175C50" w:rsidRPr="00847608">
        <w:rPr>
          <w:rFonts w:ascii="Times New Roman" w:eastAsia="Times New Roman" w:hAnsi="Times New Roman" w:cs="Times New Roman"/>
          <w:kern w:val="0"/>
          <w:sz w:val="24"/>
          <w:szCs w:val="24"/>
          <w:lang w:val="es-ES"/>
          <w14:ligatures w14:val="none"/>
        </w:rPr>
        <w:t>,</w:t>
      </w:r>
      <w:r w:rsidRPr="0015693A">
        <w:rPr>
          <w:rFonts w:ascii="Times New Roman" w:eastAsia="Times New Roman" w:hAnsi="Times New Roman" w:cs="Times New Roman"/>
          <w:kern w:val="0"/>
          <w:sz w:val="24"/>
          <w:szCs w:val="24"/>
          <w:lang w:val="es-ES"/>
          <w14:ligatures w14:val="none"/>
        </w:rPr>
        <w:t xml:space="preserve"> el registro histórico, los Forjadores tenían ideas y agendas distintas mientras negociaban los desvíos</w:t>
      </w:r>
      <w:r w:rsidR="00175C50" w:rsidRPr="00847608">
        <w:rPr>
          <w:rFonts w:ascii="Times New Roman" w:eastAsia="Times New Roman" w:hAnsi="Times New Roman" w:cs="Times New Roman"/>
          <w:kern w:val="0"/>
          <w:sz w:val="24"/>
          <w:szCs w:val="24"/>
          <w:lang w:val="es-ES"/>
          <w14:ligatures w14:val="none"/>
        </w:rPr>
        <w:t xml:space="preserve"> </w:t>
      </w:r>
      <w:r w:rsidR="00175C50" w:rsidRPr="0015693A">
        <w:rPr>
          <w:rFonts w:ascii="Times New Roman" w:eastAsia="Times New Roman" w:hAnsi="Times New Roman" w:cs="Times New Roman"/>
          <w:kern w:val="0"/>
          <w:sz w:val="24"/>
          <w:szCs w:val="24"/>
          <w:lang w:val="es-ES"/>
          <w14:ligatures w14:val="none"/>
        </w:rPr>
        <w:t>incómodos</w:t>
      </w:r>
      <w:r w:rsidRPr="0015693A">
        <w:rPr>
          <w:rFonts w:ascii="Times New Roman" w:eastAsia="Times New Roman" w:hAnsi="Times New Roman" w:cs="Times New Roman"/>
          <w:kern w:val="0"/>
          <w:sz w:val="24"/>
          <w:szCs w:val="24"/>
          <w:lang w:val="es-ES"/>
          <w14:ligatures w14:val="none"/>
        </w:rPr>
        <w:t xml:space="preserve">, </w:t>
      </w:r>
      <w:r w:rsidR="00175C50" w:rsidRPr="00847608">
        <w:rPr>
          <w:rFonts w:ascii="Times New Roman" w:eastAsia="Times New Roman" w:hAnsi="Times New Roman" w:cs="Times New Roman"/>
          <w:kern w:val="0"/>
          <w:sz w:val="24"/>
          <w:szCs w:val="24"/>
          <w:lang w:val="es-ES"/>
          <w14:ligatures w14:val="none"/>
        </w:rPr>
        <w:t xml:space="preserve">las </w:t>
      </w:r>
      <w:r w:rsidRPr="0015693A">
        <w:rPr>
          <w:rFonts w:ascii="Times New Roman" w:eastAsia="Times New Roman" w:hAnsi="Times New Roman" w:cs="Times New Roman"/>
          <w:kern w:val="0"/>
          <w:sz w:val="24"/>
          <w:szCs w:val="24"/>
          <w:lang w:val="es-ES"/>
          <w14:ligatures w14:val="none"/>
        </w:rPr>
        <w:t xml:space="preserve">ambigüedades y </w:t>
      </w:r>
      <w:r w:rsidR="00175C50" w:rsidRPr="00847608">
        <w:rPr>
          <w:rFonts w:ascii="Times New Roman" w:eastAsia="Times New Roman" w:hAnsi="Times New Roman" w:cs="Times New Roman"/>
          <w:kern w:val="0"/>
          <w:sz w:val="24"/>
          <w:szCs w:val="24"/>
          <w:lang w:val="es-ES"/>
          <w14:ligatures w14:val="none"/>
        </w:rPr>
        <w:t xml:space="preserve">los </w:t>
      </w:r>
      <w:r w:rsidRPr="0015693A">
        <w:rPr>
          <w:rFonts w:ascii="Times New Roman" w:eastAsia="Times New Roman" w:hAnsi="Times New Roman" w:cs="Times New Roman"/>
          <w:kern w:val="0"/>
          <w:sz w:val="24"/>
          <w:szCs w:val="24"/>
          <w:lang w:val="es-ES"/>
          <w14:ligatures w14:val="none"/>
        </w:rPr>
        <w:t>compromisos</w:t>
      </w:r>
      <w:r w:rsidR="00DF78DE" w:rsidRPr="00847608">
        <w:rPr>
          <w:rFonts w:ascii="Times New Roman" w:eastAsia="Times New Roman" w:hAnsi="Times New Roman" w:cs="Times New Roman"/>
          <w:kern w:val="0"/>
          <w:sz w:val="24"/>
          <w:szCs w:val="24"/>
          <w:lang w:val="es-ES"/>
          <w14:ligatures w14:val="none"/>
        </w:rPr>
        <w:t>,</w:t>
      </w:r>
      <w:r w:rsidRPr="0015693A">
        <w:rPr>
          <w:rFonts w:ascii="Times New Roman" w:eastAsia="Times New Roman" w:hAnsi="Times New Roman" w:cs="Times New Roman"/>
          <w:kern w:val="0"/>
          <w:sz w:val="24"/>
          <w:szCs w:val="24"/>
          <w:lang w:val="es-ES"/>
          <w14:ligatures w14:val="none"/>
        </w:rPr>
        <w:t xml:space="preserve"> que surgieron de la Convención Constitucional de Filadelfia.</w:t>
      </w:r>
      <w:r w:rsidR="00175C50" w:rsidRPr="00847608">
        <w:rPr>
          <w:rFonts w:ascii="Times New Roman" w:eastAsia="Times New Roman" w:hAnsi="Times New Roman" w:cs="Times New Roman"/>
          <w:kern w:val="0"/>
          <w:sz w:val="24"/>
          <w:szCs w:val="24"/>
          <w:lang w:val="es-ES"/>
          <w14:ligatures w14:val="none"/>
        </w:rPr>
        <w:t xml:space="preserve"> </w:t>
      </w:r>
      <w:r w:rsidRPr="0015693A">
        <w:rPr>
          <w:rFonts w:ascii="Times New Roman" w:eastAsia="Times New Roman" w:hAnsi="Times New Roman" w:cs="Times New Roman"/>
          <w:kern w:val="0"/>
          <w:sz w:val="24"/>
          <w:szCs w:val="24"/>
          <w:lang w:val="es-ES"/>
          <w14:ligatures w14:val="none"/>
        </w:rPr>
        <w:t xml:space="preserve">Con el paso del </w:t>
      </w:r>
      <w:r w:rsidRPr="0015693A">
        <w:rPr>
          <w:rFonts w:ascii="Times New Roman" w:eastAsia="Times New Roman" w:hAnsi="Times New Roman" w:cs="Times New Roman"/>
          <w:kern w:val="0"/>
          <w:sz w:val="24"/>
          <w:szCs w:val="24"/>
          <w:lang w:val="es-ES"/>
          <w14:ligatures w14:val="none"/>
        </w:rPr>
        <w:lastRenderedPageBreak/>
        <w:t xml:space="preserve">tiempo, sus respectivas y divergentes intenciones “originales” </w:t>
      </w:r>
      <w:r w:rsidR="00F17909" w:rsidRPr="00847608">
        <w:rPr>
          <w:rFonts w:ascii="Times New Roman" w:eastAsia="Times New Roman" w:hAnsi="Times New Roman" w:cs="Times New Roman"/>
          <w:kern w:val="0"/>
          <w:sz w:val="24"/>
          <w:szCs w:val="24"/>
          <w:lang w:val="es-ES"/>
          <w14:ligatures w14:val="none"/>
        </w:rPr>
        <w:t>se</w:t>
      </w:r>
      <w:r w:rsidRPr="0015693A">
        <w:rPr>
          <w:rFonts w:ascii="Times New Roman" w:eastAsia="Times New Roman" w:hAnsi="Times New Roman" w:cs="Times New Roman"/>
          <w:kern w:val="0"/>
          <w:sz w:val="24"/>
          <w:szCs w:val="24"/>
          <w:lang w:val="es-ES"/>
          <w14:ligatures w14:val="none"/>
        </w:rPr>
        <w:t xml:space="preserve"> transform</w:t>
      </w:r>
      <w:r w:rsidR="00F17909" w:rsidRPr="00847608">
        <w:rPr>
          <w:rFonts w:ascii="Times New Roman" w:eastAsia="Times New Roman" w:hAnsi="Times New Roman" w:cs="Times New Roman"/>
          <w:kern w:val="0"/>
          <w:sz w:val="24"/>
          <w:szCs w:val="24"/>
          <w:lang w:val="es-ES"/>
          <w14:ligatures w14:val="none"/>
        </w:rPr>
        <w:t>aron</w:t>
      </w:r>
      <w:r w:rsidRPr="0015693A">
        <w:rPr>
          <w:rFonts w:ascii="Times New Roman" w:eastAsia="Times New Roman" w:hAnsi="Times New Roman" w:cs="Times New Roman"/>
          <w:kern w:val="0"/>
          <w:sz w:val="24"/>
          <w:szCs w:val="24"/>
          <w:lang w:val="es-ES"/>
          <w14:ligatures w14:val="none"/>
        </w:rPr>
        <w:t xml:space="preserve"> por razones personales o políticas, mientras discutían entre sí sobre el significado del texto que habían redactado en común.</w:t>
      </w:r>
      <w:r w:rsidR="00F17909" w:rsidRPr="00847608">
        <w:rPr>
          <w:rFonts w:ascii="Times New Roman" w:eastAsia="Times New Roman" w:hAnsi="Times New Roman" w:cs="Times New Roman"/>
          <w:kern w:val="0"/>
          <w:sz w:val="24"/>
          <w:szCs w:val="24"/>
          <w:lang w:val="es-ES"/>
          <w14:ligatures w14:val="none"/>
        </w:rPr>
        <w:t xml:space="preserve"> </w:t>
      </w:r>
      <w:r w:rsidRPr="0015693A">
        <w:rPr>
          <w:rFonts w:ascii="Times New Roman" w:eastAsia="Times New Roman" w:hAnsi="Times New Roman" w:cs="Times New Roman"/>
          <w:kern w:val="0"/>
          <w:sz w:val="24"/>
          <w:szCs w:val="24"/>
          <w:lang w:val="es-ES"/>
          <w14:ligatures w14:val="none"/>
        </w:rPr>
        <w:t xml:space="preserve">Bajo sus propios términos, entonces, el </w:t>
      </w:r>
      <w:proofErr w:type="spellStart"/>
      <w:r w:rsidRPr="0015693A">
        <w:rPr>
          <w:rFonts w:ascii="Times New Roman" w:eastAsia="Times New Roman" w:hAnsi="Times New Roman" w:cs="Times New Roman"/>
          <w:kern w:val="0"/>
          <w:sz w:val="24"/>
          <w:szCs w:val="24"/>
          <w:lang w:val="es-ES"/>
          <w14:ligatures w14:val="none"/>
        </w:rPr>
        <w:t>originalismo</w:t>
      </w:r>
      <w:proofErr w:type="spellEnd"/>
      <w:r w:rsidRPr="0015693A">
        <w:rPr>
          <w:rFonts w:ascii="Times New Roman" w:eastAsia="Times New Roman" w:hAnsi="Times New Roman" w:cs="Times New Roman"/>
          <w:kern w:val="0"/>
          <w:sz w:val="24"/>
          <w:szCs w:val="24"/>
          <w:lang w:val="es-ES"/>
          <w14:ligatures w14:val="none"/>
        </w:rPr>
        <w:t xml:space="preserve"> resulta conceptualmente incoherente, porque su premisa fundacional es fatalmente errónea: los Forjadores tenían intenciones múltiples, cambiantes y contradictorias.</w:t>
      </w:r>
      <w:r w:rsidR="007D5494" w:rsidRPr="00847608">
        <w:rPr>
          <w:rFonts w:ascii="Times New Roman" w:eastAsia="Times New Roman" w:hAnsi="Times New Roman" w:cs="Times New Roman"/>
          <w:kern w:val="0"/>
          <w:sz w:val="24"/>
          <w:szCs w:val="24"/>
          <w:lang w:val="es-ES"/>
          <w14:ligatures w14:val="none"/>
        </w:rPr>
        <w:t xml:space="preserve"> </w:t>
      </w:r>
      <w:r w:rsidRPr="0015693A">
        <w:rPr>
          <w:rFonts w:ascii="Times New Roman" w:eastAsia="Times New Roman" w:hAnsi="Times New Roman" w:cs="Times New Roman"/>
          <w:kern w:val="0"/>
          <w:sz w:val="24"/>
          <w:szCs w:val="24"/>
          <w:lang w:val="es-ES"/>
          <w14:ligatures w14:val="none"/>
        </w:rPr>
        <w:t xml:space="preserve">Estas intenciones, a su vez, agravan muchas de las lagunas, </w:t>
      </w:r>
      <w:r w:rsidR="001A564B" w:rsidRPr="00847608">
        <w:rPr>
          <w:rFonts w:ascii="Times New Roman" w:eastAsia="Times New Roman" w:hAnsi="Times New Roman" w:cs="Times New Roman"/>
          <w:kern w:val="0"/>
          <w:sz w:val="24"/>
          <w:szCs w:val="24"/>
          <w:lang w:val="es-ES"/>
          <w14:ligatures w14:val="none"/>
        </w:rPr>
        <w:t xml:space="preserve">los </w:t>
      </w:r>
      <w:r w:rsidRPr="0015693A">
        <w:rPr>
          <w:rFonts w:ascii="Times New Roman" w:eastAsia="Times New Roman" w:hAnsi="Times New Roman" w:cs="Times New Roman"/>
          <w:kern w:val="0"/>
          <w:sz w:val="24"/>
          <w:szCs w:val="24"/>
          <w:lang w:val="es-ES"/>
          <w14:ligatures w14:val="none"/>
        </w:rPr>
        <w:t xml:space="preserve">conflictos o </w:t>
      </w:r>
      <w:r w:rsidR="001A564B" w:rsidRPr="00847608">
        <w:rPr>
          <w:rFonts w:ascii="Times New Roman" w:eastAsia="Times New Roman" w:hAnsi="Times New Roman" w:cs="Times New Roman"/>
          <w:kern w:val="0"/>
          <w:sz w:val="24"/>
          <w:szCs w:val="24"/>
          <w:lang w:val="es-ES"/>
          <w14:ligatures w14:val="none"/>
        </w:rPr>
        <w:t xml:space="preserve">las </w:t>
      </w:r>
      <w:r w:rsidRPr="0015693A">
        <w:rPr>
          <w:rFonts w:ascii="Times New Roman" w:eastAsia="Times New Roman" w:hAnsi="Times New Roman" w:cs="Times New Roman"/>
          <w:kern w:val="0"/>
          <w:sz w:val="24"/>
          <w:szCs w:val="24"/>
          <w:lang w:val="es-ES"/>
          <w14:ligatures w14:val="none"/>
        </w:rPr>
        <w:t>ambigüedades presentes en el registro histórico más amplio—entre las que los originalistas profesos seleccionan y eligen rutinariamente según sus necesidades políticas tácticas o estratégicas del momento</w:t>
      </w:r>
      <w:r w:rsidR="001A564B" w:rsidRPr="00847608">
        <w:rPr>
          <w:rStyle w:val="FootnoteReference"/>
          <w:rFonts w:ascii="Times New Roman" w:hAnsi="Times New Roman" w:cs="Times New Roman"/>
          <w:sz w:val="24"/>
          <w:szCs w:val="24"/>
          <w:lang w:val="es-ES"/>
        </w:rPr>
        <w:footnoteReference w:customMarkFollows="1" w:id="15"/>
        <w:t>15</w:t>
      </w:r>
      <w:r w:rsidR="007D5494" w:rsidRPr="00847608">
        <w:rPr>
          <w:rFonts w:ascii="Times New Roman" w:eastAsia="Times New Roman" w:hAnsi="Times New Roman" w:cs="Times New Roman"/>
          <w:kern w:val="0"/>
          <w:sz w:val="24"/>
          <w:szCs w:val="24"/>
          <w:lang w:val="es-ES"/>
          <w14:ligatures w14:val="none"/>
        </w:rPr>
        <w:t xml:space="preserve">. </w:t>
      </w:r>
      <w:r w:rsidRPr="0015693A">
        <w:rPr>
          <w:rFonts w:ascii="Times New Roman" w:eastAsia="Times New Roman" w:hAnsi="Times New Roman" w:cs="Times New Roman"/>
          <w:kern w:val="0"/>
          <w:sz w:val="24"/>
          <w:szCs w:val="24"/>
          <w:lang w:val="es-ES"/>
          <w14:ligatures w14:val="none"/>
        </w:rPr>
        <w:t xml:space="preserve">Como </w:t>
      </w:r>
      <w:r w:rsidRPr="0015693A">
        <w:rPr>
          <w:rFonts w:ascii="Times New Roman" w:eastAsia="Times New Roman" w:hAnsi="Times New Roman" w:cs="Times New Roman"/>
          <w:i/>
          <w:iCs/>
          <w:kern w:val="0"/>
          <w:sz w:val="24"/>
          <w:szCs w:val="24"/>
          <w:lang w:val="es-ES"/>
          <w14:ligatures w14:val="none"/>
        </w:rPr>
        <w:t>práctica política</w:t>
      </w:r>
      <w:r w:rsidRPr="0015693A">
        <w:rPr>
          <w:rFonts w:ascii="Times New Roman" w:eastAsia="Times New Roman" w:hAnsi="Times New Roman" w:cs="Times New Roman"/>
          <w:kern w:val="0"/>
          <w:sz w:val="24"/>
          <w:szCs w:val="24"/>
          <w:lang w:val="es-ES"/>
          <w14:ligatures w14:val="none"/>
        </w:rPr>
        <w:t>, los originalistas autoproclamados de hoy ignoran la historia incómoda y/o escogen citas convenientes para distorsionar nuestra percepción de las realidades históricas</w:t>
      </w:r>
      <w:r w:rsidR="00F3674E" w:rsidRPr="00847608">
        <w:rPr>
          <w:rFonts w:ascii="Times New Roman" w:eastAsia="Times New Roman" w:hAnsi="Times New Roman" w:cs="Times New Roman"/>
          <w:kern w:val="0"/>
          <w:sz w:val="24"/>
          <w:szCs w:val="24"/>
          <w:lang w:val="es-ES"/>
          <w14:ligatures w14:val="none"/>
        </w:rPr>
        <w:t>,</w:t>
      </w:r>
      <w:r w:rsidRPr="0015693A">
        <w:rPr>
          <w:rFonts w:ascii="Times New Roman" w:eastAsia="Times New Roman" w:hAnsi="Times New Roman" w:cs="Times New Roman"/>
          <w:kern w:val="0"/>
          <w:sz w:val="24"/>
          <w:szCs w:val="24"/>
          <w:lang w:val="es-ES"/>
          <w14:ligatures w14:val="none"/>
        </w:rPr>
        <w:t xml:space="preserve"> conforme a sus agendas ideológicas y sociales.</w:t>
      </w:r>
    </w:p>
    <w:p w14:paraId="1E3C83F5" w14:textId="37E4D435" w:rsidR="008C344A" w:rsidRPr="00847608" w:rsidRDefault="00264AEA" w:rsidP="00255BA1">
      <w:pPr>
        <w:autoSpaceDE w:val="0"/>
        <w:autoSpaceDN w:val="0"/>
        <w:adjustRightInd w:val="0"/>
        <w:spacing w:after="0" w:line="240" w:lineRule="auto"/>
        <w:rPr>
          <w:rFonts w:ascii="Times New Roman" w:hAnsi="Times New Roman" w:cs="Times New Roman"/>
          <w:b/>
          <w:iCs/>
          <w:kern w:val="0"/>
          <w:sz w:val="24"/>
          <w:szCs w:val="24"/>
          <w:u w:val="single"/>
          <w:lang w:val="es-ES"/>
        </w:rPr>
      </w:pPr>
      <w:r w:rsidRPr="00847608">
        <w:rPr>
          <w:rFonts w:ascii="Times New Roman" w:hAnsi="Times New Roman" w:cs="Times New Roman"/>
          <w:b/>
          <w:bCs/>
          <w:iCs/>
          <w:kern w:val="0"/>
          <w:sz w:val="24"/>
          <w:szCs w:val="24"/>
          <w:u w:val="single"/>
          <w:lang w:val="es-ES"/>
        </w:rPr>
        <w:t>Interpretación</w:t>
      </w:r>
      <w:r w:rsidRPr="00264AEA">
        <w:rPr>
          <w:rFonts w:ascii="Times New Roman" w:hAnsi="Times New Roman" w:cs="Times New Roman"/>
          <w:b/>
          <w:bCs/>
          <w:iCs/>
          <w:kern w:val="0"/>
          <w:sz w:val="24"/>
          <w:szCs w:val="24"/>
          <w:u w:val="single"/>
          <w:lang w:val="es-ES"/>
        </w:rPr>
        <w:t xml:space="preserve"> estricta: un</w:t>
      </w:r>
      <w:r w:rsidRPr="00847608">
        <w:rPr>
          <w:rFonts w:ascii="Times New Roman" w:hAnsi="Times New Roman" w:cs="Times New Roman"/>
          <w:b/>
          <w:bCs/>
          <w:iCs/>
          <w:kern w:val="0"/>
          <w:sz w:val="24"/>
          <w:szCs w:val="24"/>
          <w:u w:val="single"/>
          <w:lang w:val="es-ES"/>
        </w:rPr>
        <w:t xml:space="preserve"> método</w:t>
      </w:r>
      <w:r w:rsidRPr="00264AEA">
        <w:rPr>
          <w:rFonts w:ascii="Times New Roman" w:hAnsi="Times New Roman" w:cs="Times New Roman"/>
          <w:b/>
          <w:bCs/>
          <w:iCs/>
          <w:kern w:val="0"/>
          <w:sz w:val="24"/>
          <w:szCs w:val="24"/>
          <w:u w:val="single"/>
          <w:lang w:val="es-ES"/>
        </w:rPr>
        <w:t xml:space="preserve"> “funest</w:t>
      </w:r>
      <w:r w:rsidRPr="00847608">
        <w:rPr>
          <w:rFonts w:ascii="Times New Roman" w:hAnsi="Times New Roman" w:cs="Times New Roman"/>
          <w:b/>
          <w:bCs/>
          <w:iCs/>
          <w:kern w:val="0"/>
          <w:sz w:val="24"/>
          <w:szCs w:val="24"/>
          <w:u w:val="single"/>
          <w:lang w:val="es-ES"/>
        </w:rPr>
        <w:t>o</w:t>
      </w:r>
      <w:r w:rsidRPr="00264AEA">
        <w:rPr>
          <w:rFonts w:ascii="Times New Roman" w:hAnsi="Times New Roman" w:cs="Times New Roman"/>
          <w:b/>
          <w:bCs/>
          <w:iCs/>
          <w:kern w:val="0"/>
          <w:sz w:val="24"/>
          <w:szCs w:val="24"/>
          <w:u w:val="single"/>
          <w:lang w:val="es-ES"/>
        </w:rPr>
        <w:t>” de reinterpretación constitucional</w:t>
      </w:r>
    </w:p>
    <w:p w14:paraId="777242BC" w14:textId="0C101645" w:rsidR="005A596B" w:rsidRPr="00847608" w:rsidRDefault="005A596B" w:rsidP="009A2AE0">
      <w:pPr>
        <w:pStyle w:val="p1"/>
        <w:ind w:firstLine="720"/>
        <w:rPr>
          <w:lang w:val="es-ES"/>
        </w:rPr>
      </w:pPr>
      <w:r w:rsidRPr="00847608">
        <w:rPr>
          <w:lang w:val="es-ES"/>
        </w:rPr>
        <w:t>La segunda Gran Mentira está estrechamente relacionada con la primera: que la “interpretación estricta” es un enfoque legítimo—si no el más legítimo—para la interpretación constitucional.</w:t>
      </w:r>
      <w:r w:rsidR="009A2AE0" w:rsidRPr="00847608">
        <w:rPr>
          <w:lang w:val="es-ES"/>
        </w:rPr>
        <w:t xml:space="preserve"> </w:t>
      </w:r>
      <w:r w:rsidRPr="00847608">
        <w:rPr>
          <w:lang w:val="es-ES"/>
        </w:rPr>
        <w:t>Por “interpretación estricta” me refiero al conjunto de argumentos que sostienen que las ambigüedades constitucionales deben resolverse, como cuestión de derecho, en contra de una conclusión que amplíe el poder federal y a favor de una que privilegie los “derechos de los estados”, al menos siempre que se trate de cuestiones vinculadas al federalismo vertical.</w:t>
      </w:r>
      <w:r w:rsidR="009A2AE0" w:rsidRPr="00847608">
        <w:rPr>
          <w:lang w:val="es-ES"/>
        </w:rPr>
        <w:t xml:space="preserve"> </w:t>
      </w:r>
      <w:r w:rsidRPr="00847608">
        <w:rPr>
          <w:lang w:val="es-ES"/>
        </w:rPr>
        <w:t>Se afirma que este “rigor” protege el control local sobre la vida comunitaria, lo cual se presenta como un valor democrático fundamental dentro del constitucionalismo estadounidense.</w:t>
      </w:r>
    </w:p>
    <w:p w14:paraId="1F044032" w14:textId="79F07BEC" w:rsidR="00250ABA" w:rsidRPr="00847608" w:rsidRDefault="00250ABA" w:rsidP="0023410D">
      <w:pPr>
        <w:pStyle w:val="p1"/>
        <w:ind w:firstLine="720"/>
        <w:rPr>
          <w:lang w:val="es-ES"/>
        </w:rPr>
      </w:pPr>
      <w:r w:rsidRPr="00847608">
        <w:rPr>
          <w:lang w:val="es-ES"/>
        </w:rPr>
        <w:t>Este argumento parecería difícil de sostener, sobre todo si recordamos lo que las “comunidades” locales hicieron con (o a) las minorías locales y otros grupos vulnerables—como las personas de color, las mujeres, la infancia o las personas con discapacidades—hasta que el gobierno federal finalmente despertó y tomó medidas correctivas.</w:t>
      </w:r>
      <w:r w:rsidR="00D00CF8" w:rsidRPr="00847608">
        <w:rPr>
          <w:lang w:val="es-ES"/>
        </w:rPr>
        <w:t xml:space="preserve"> </w:t>
      </w:r>
      <w:r w:rsidRPr="00847608">
        <w:rPr>
          <w:lang w:val="es-ES"/>
        </w:rPr>
        <w:t>Estos ejemplos históricos ilustran cómo las hegemonías locales tienden a engendrar abusos locales de los ideales democráticos.</w:t>
      </w:r>
      <w:r w:rsidR="00D00CF8" w:rsidRPr="00847608">
        <w:rPr>
          <w:lang w:val="es-ES"/>
        </w:rPr>
        <w:t xml:space="preserve"> </w:t>
      </w:r>
      <w:r w:rsidRPr="00847608">
        <w:rPr>
          <w:lang w:val="es-ES"/>
        </w:rPr>
        <w:t>No obstante, las Grandes Mentiras persisten.</w:t>
      </w:r>
    </w:p>
    <w:p w14:paraId="24DA7DF7" w14:textId="77777777" w:rsidR="00984299" w:rsidRPr="00847608" w:rsidRDefault="00250ABA" w:rsidP="00984299">
      <w:pPr>
        <w:pStyle w:val="p1"/>
        <w:ind w:firstLine="720"/>
        <w:rPr>
          <w:lang w:val="es-ES"/>
        </w:rPr>
      </w:pPr>
      <w:r w:rsidRPr="00847608">
        <w:rPr>
          <w:lang w:val="es-ES"/>
        </w:rPr>
        <w:t xml:space="preserve">En primer lugar, el </w:t>
      </w:r>
      <w:proofErr w:type="spellStart"/>
      <w:r w:rsidRPr="00847608">
        <w:rPr>
          <w:lang w:val="es-ES"/>
        </w:rPr>
        <w:t>originalismo</w:t>
      </w:r>
      <w:proofErr w:type="spellEnd"/>
      <w:r w:rsidRPr="00847608">
        <w:rPr>
          <w:lang w:val="es-ES"/>
        </w:rPr>
        <w:t xml:space="preserve"> exige un enfoque retrospectivo y extremadamente subjetivo sobre la “intención de los Forjadores” (y sobre otros artefactos históricos seleccionados de manera interesada)</w:t>
      </w:r>
      <w:r w:rsidR="00D00CF8" w:rsidRPr="00847608">
        <w:rPr>
          <w:lang w:val="es-ES"/>
        </w:rPr>
        <w:t xml:space="preserve">. Esta acción </w:t>
      </w:r>
      <w:r w:rsidRPr="00847608">
        <w:rPr>
          <w:lang w:val="es-ES"/>
        </w:rPr>
        <w:t>privilegia a los colonos colonizadores “originales” y a congelar la ley y la sociedad en las condiciones de la década de 1790.</w:t>
      </w:r>
      <w:r w:rsidR="00CD7E12" w:rsidRPr="00847608">
        <w:rPr>
          <w:lang w:val="es-ES"/>
        </w:rPr>
        <w:t xml:space="preserve"> S</w:t>
      </w:r>
      <w:r w:rsidRPr="00847608">
        <w:rPr>
          <w:lang w:val="es-ES"/>
        </w:rPr>
        <w:t>iempre que esa Gran Mentira aún permita espacio para la duda, la interpretación estricta entra en escena: se activa mediante un llamado a lecturas reduccionistas del texto constitucional</w:t>
      </w:r>
      <w:r w:rsidR="00CD7E12" w:rsidRPr="00847608">
        <w:rPr>
          <w:lang w:val="es-ES"/>
        </w:rPr>
        <w:t>,</w:t>
      </w:r>
      <w:r w:rsidRPr="00847608">
        <w:rPr>
          <w:lang w:val="es-ES"/>
        </w:rPr>
        <w:t xml:space="preserve"> que establece el gobierno federal</w:t>
      </w:r>
      <w:r w:rsidR="00713457" w:rsidRPr="00847608">
        <w:rPr>
          <w:lang w:val="es-ES"/>
        </w:rPr>
        <w:t>. Estas</w:t>
      </w:r>
      <w:r w:rsidRPr="00847608">
        <w:rPr>
          <w:lang w:val="es-ES"/>
        </w:rPr>
        <w:t>—de forma previsible y concreta—sirven para aislar a las supremacías locales atrincheradas del alcance del poder federal o nacional.</w:t>
      </w:r>
      <w:r w:rsidR="0023410D" w:rsidRPr="00847608">
        <w:rPr>
          <w:lang w:val="es-ES"/>
        </w:rPr>
        <w:t xml:space="preserve"> </w:t>
      </w:r>
      <w:r w:rsidRPr="00847608">
        <w:rPr>
          <w:lang w:val="es-ES"/>
        </w:rPr>
        <w:t>En consecuencia, esta lógica jurídica sirve para perpetuar jerarquías antidemocráticas y neocoloniales profundamente arraigadas, que se basan con frecuencia en identidades sociales y en la transmisión transgeneracional de ganancias originales mal habidas.</w:t>
      </w:r>
    </w:p>
    <w:p w14:paraId="328BE09A" w14:textId="58CBFDF5" w:rsidR="00BE220F" w:rsidRPr="00847608" w:rsidRDefault="00957267" w:rsidP="00984299">
      <w:pPr>
        <w:pStyle w:val="p1"/>
        <w:ind w:firstLine="720"/>
        <w:rPr>
          <w:lang w:val="es-ES"/>
        </w:rPr>
      </w:pPr>
      <w:r w:rsidRPr="00847608">
        <w:rPr>
          <w:lang w:val="es-ES"/>
        </w:rPr>
        <w:lastRenderedPageBreak/>
        <w:t>Esta segunda Gran Mentira, al igual que la primera y otras más, depende de ignorar o suprimir conocimientos clave y perfectamente accesibles. Para comenzar por lo fundamental, debemos recordar—y recordar a los demás—que la interpretación estricta como metodología constitucional ha sido rechazada de forma explícita, reiterada y autoritaria por el propio Tribunal Supremo, en algunos de los primeros casos emblemáticos sobre la interpretación de la Constitución y el establecimiento de métodos judiciales para ello.</w:t>
      </w:r>
      <w:r w:rsidR="00580BC5" w:rsidRPr="00847608">
        <w:rPr>
          <w:lang w:val="es-ES"/>
        </w:rPr>
        <w:t xml:space="preserve"> </w:t>
      </w:r>
      <w:r w:rsidRPr="00847608">
        <w:rPr>
          <w:lang w:val="es-ES"/>
        </w:rPr>
        <w:t xml:space="preserve">En casos definitivos y ampliamente conocidos, como </w:t>
      </w:r>
      <w:r w:rsidRPr="00847608">
        <w:rPr>
          <w:i/>
          <w:iCs/>
          <w:lang w:val="es-ES"/>
        </w:rPr>
        <w:t>Marbury contra Madison</w:t>
      </w:r>
      <w:r w:rsidR="00580BC5" w:rsidRPr="00847608">
        <w:rPr>
          <w:rStyle w:val="FootnoteReference"/>
          <w:lang w:val="es-ES"/>
        </w:rPr>
        <w:footnoteReference w:customMarkFollows="1" w:id="16"/>
        <w:t>16</w:t>
      </w:r>
      <w:r w:rsidRPr="00847608">
        <w:rPr>
          <w:lang w:val="es-ES"/>
        </w:rPr>
        <w:t xml:space="preserve">, </w:t>
      </w:r>
      <w:r w:rsidRPr="00847608">
        <w:rPr>
          <w:i/>
          <w:iCs/>
          <w:lang w:val="es-ES"/>
        </w:rPr>
        <w:t>McCulloch contra Maryland</w:t>
      </w:r>
      <w:r w:rsidR="00580BC5" w:rsidRPr="00847608">
        <w:rPr>
          <w:rStyle w:val="FootnoteReference"/>
          <w:lang w:val="es-ES"/>
        </w:rPr>
        <w:footnoteReference w:customMarkFollows="1" w:id="17"/>
        <w:t>17</w:t>
      </w:r>
      <w:r w:rsidRPr="00847608">
        <w:rPr>
          <w:lang w:val="es-ES"/>
        </w:rPr>
        <w:t xml:space="preserve">, o </w:t>
      </w:r>
      <w:r w:rsidRPr="00847608">
        <w:rPr>
          <w:i/>
          <w:iCs/>
          <w:lang w:val="es-ES"/>
        </w:rPr>
        <w:t>Gibbons contra Ogden</w:t>
      </w:r>
      <w:r w:rsidR="00580BC5" w:rsidRPr="00847608">
        <w:rPr>
          <w:rStyle w:val="FootnoteReference"/>
          <w:lang w:val="es-ES"/>
        </w:rPr>
        <w:footnoteReference w:customMarkFollows="1" w:id="18"/>
        <w:t>18</w:t>
      </w:r>
      <w:r w:rsidRPr="00847608">
        <w:rPr>
          <w:lang w:val="es-ES"/>
        </w:rPr>
        <w:t>, se solicitó a los jueces de la generación fundadora que adoptaran una interpretación estricta de la Constitución—y dijeron “no”.</w:t>
      </w:r>
    </w:p>
    <w:p w14:paraId="0731E49A" w14:textId="3E456110" w:rsidR="00957267" w:rsidRPr="00847608" w:rsidRDefault="00957267" w:rsidP="00892B72">
      <w:pPr>
        <w:pStyle w:val="p1"/>
        <w:ind w:firstLine="720"/>
        <w:rPr>
          <w:lang w:val="es-ES"/>
        </w:rPr>
      </w:pPr>
      <w:r w:rsidRPr="00847608">
        <w:rPr>
          <w:lang w:val="es-ES"/>
        </w:rPr>
        <w:t xml:space="preserve">En concreto, el presidente del Tribunal Supremo, John Marshall, y sus colegas explicaron, en </w:t>
      </w:r>
      <w:r w:rsidRPr="00847608">
        <w:rPr>
          <w:i/>
          <w:iCs/>
          <w:lang w:val="es-ES"/>
        </w:rPr>
        <w:t>McCulloch</w:t>
      </w:r>
      <w:r w:rsidRPr="00847608">
        <w:rPr>
          <w:lang w:val="es-ES"/>
        </w:rPr>
        <w:t xml:space="preserve">, que ese enfoque “estricto” ejercería una “influencia nefasta” sobre el constitucionalismo estadounidense, pues reduciría progresivamente el alcance de la autoridad federal y convertiría la Constitución federal en “una espléndida baratija”, incapaz de sostener el </w:t>
      </w:r>
      <w:r w:rsidR="00F12175" w:rsidRPr="00847608">
        <w:rPr>
          <w:lang w:val="es-ES"/>
        </w:rPr>
        <w:t>gobierno</w:t>
      </w:r>
      <w:r w:rsidRPr="00847608">
        <w:rPr>
          <w:lang w:val="es-ES"/>
        </w:rPr>
        <w:t xml:space="preserve"> </w:t>
      </w:r>
      <w:r w:rsidR="00F12175" w:rsidRPr="00847608">
        <w:rPr>
          <w:lang w:val="es-ES"/>
        </w:rPr>
        <w:t>autónomo</w:t>
      </w:r>
      <w:r w:rsidR="00785C86" w:rsidRPr="00847608">
        <w:rPr>
          <w:lang w:val="es-ES"/>
        </w:rPr>
        <w:t xml:space="preserve"> nacional</w:t>
      </w:r>
      <w:r w:rsidR="00BE220F" w:rsidRPr="00847608">
        <w:rPr>
          <w:rStyle w:val="FootnoteReference"/>
          <w:lang w:val="es-ES"/>
        </w:rPr>
        <w:footnoteReference w:customMarkFollows="1" w:id="19"/>
        <w:t>19</w:t>
      </w:r>
      <w:r w:rsidRPr="00847608">
        <w:rPr>
          <w:lang w:val="es-ES"/>
        </w:rPr>
        <w:t>.</w:t>
      </w:r>
      <w:r w:rsidR="00785C86" w:rsidRPr="00847608">
        <w:rPr>
          <w:lang w:val="es-ES"/>
        </w:rPr>
        <w:t xml:space="preserve"> </w:t>
      </w:r>
      <w:r w:rsidRPr="00847608">
        <w:rPr>
          <w:lang w:val="es-ES"/>
        </w:rPr>
        <w:t>Ese fue, precisamente, el término que eligieron: “espléndida baratija”</w:t>
      </w:r>
      <w:r w:rsidR="00785C86" w:rsidRPr="00847608">
        <w:rPr>
          <w:lang w:val="es-ES"/>
        </w:rPr>
        <w:t>.</w:t>
      </w:r>
      <w:r w:rsidR="00785C86" w:rsidRPr="00847608">
        <w:rPr>
          <w:rStyle w:val="FootnoteReference"/>
          <w:lang w:val="es-ES"/>
        </w:rPr>
        <w:t xml:space="preserve"> </w:t>
      </w:r>
      <w:r w:rsidR="00785C86" w:rsidRPr="00847608">
        <w:rPr>
          <w:rStyle w:val="FootnoteReference"/>
          <w:lang w:val="es-ES"/>
        </w:rPr>
        <w:footnoteReference w:customMarkFollows="1" w:id="20"/>
        <w:t>20</w:t>
      </w:r>
      <w:r w:rsidR="00785C86" w:rsidRPr="00847608">
        <w:rPr>
          <w:lang w:val="es-ES"/>
        </w:rPr>
        <w:t xml:space="preserve"> </w:t>
      </w:r>
      <w:r w:rsidRPr="00847608">
        <w:rPr>
          <w:lang w:val="es-ES"/>
        </w:rPr>
        <w:t>Al rechazar la metodología de la interpretación “estricta” porque volvería al gobierno “incompetente” para gobernar, optaron—en esas opiniones hoy icónicas—por un enfoque que, en sus propias palabras, denominaron interpretación “justa” o “sólida”</w:t>
      </w:r>
      <w:r w:rsidR="00984299" w:rsidRPr="00847608">
        <w:rPr>
          <w:lang w:val="es-ES"/>
        </w:rPr>
        <w:t>.</w:t>
      </w:r>
      <w:r w:rsidR="00984299" w:rsidRPr="00847608">
        <w:rPr>
          <w:rStyle w:val="FootnoteReference"/>
          <w:lang w:val="es-ES"/>
        </w:rPr>
        <w:t xml:space="preserve"> </w:t>
      </w:r>
      <w:r w:rsidR="00984299" w:rsidRPr="00847608">
        <w:rPr>
          <w:rStyle w:val="FootnoteReference"/>
          <w:lang w:val="es-ES"/>
        </w:rPr>
        <w:footnoteReference w:customMarkFollows="1" w:id="21"/>
        <w:t>21</w:t>
      </w:r>
    </w:p>
    <w:p w14:paraId="12AB16A1" w14:textId="139B2FAC" w:rsidR="00892B72" w:rsidRPr="00847608" w:rsidRDefault="00892B72" w:rsidP="00774020">
      <w:pPr>
        <w:pStyle w:val="p1"/>
        <w:ind w:firstLine="720"/>
        <w:rPr>
          <w:lang w:val="es-ES"/>
        </w:rPr>
      </w:pPr>
      <w:r w:rsidRPr="00847608">
        <w:rPr>
          <w:lang w:val="es-ES"/>
        </w:rPr>
        <w:t xml:space="preserve">Piénselo bien: “estricto” y “nefasto” frente a “justo” y “sólido”. En la mente de aquella primera generación, lo “estricto” equivalía originalmente a algo insano, injusto e incompetente—banal. </w:t>
      </w:r>
      <w:r w:rsidR="00847608">
        <w:rPr>
          <w:lang w:val="es-ES"/>
        </w:rPr>
        <w:t>S</w:t>
      </w:r>
      <w:r w:rsidRPr="00847608">
        <w:rPr>
          <w:lang w:val="es-ES"/>
        </w:rPr>
        <w:t xml:space="preserve">in embargo, ese mismo paquete de mala mercancía es el que nos siguen vendiendo hoy los defensores del </w:t>
      </w:r>
      <w:proofErr w:type="spellStart"/>
      <w:r w:rsidRPr="00847608">
        <w:rPr>
          <w:lang w:val="es-ES"/>
        </w:rPr>
        <w:t>originalismo</w:t>
      </w:r>
      <w:proofErr w:type="spellEnd"/>
      <w:r w:rsidRPr="00847608">
        <w:rPr>
          <w:lang w:val="es-ES"/>
        </w:rPr>
        <w:t>.</w:t>
      </w:r>
      <w:r w:rsidR="001639DF" w:rsidRPr="00847608">
        <w:rPr>
          <w:lang w:val="es-ES"/>
        </w:rPr>
        <w:t xml:space="preserve"> </w:t>
      </w:r>
      <w:r w:rsidRPr="00847608">
        <w:rPr>
          <w:lang w:val="es-ES"/>
        </w:rPr>
        <w:t xml:space="preserve">Las y los partidarios actuales del retroceso—ansiosos por desmantelar el </w:t>
      </w:r>
      <w:r w:rsidRPr="00847608">
        <w:rPr>
          <w:i/>
          <w:iCs/>
          <w:lang w:val="es-ES"/>
        </w:rPr>
        <w:t>New Deal</w:t>
      </w:r>
      <w:r w:rsidRPr="00847608">
        <w:rPr>
          <w:lang w:val="es-ES"/>
        </w:rPr>
        <w:t xml:space="preserve"> y restaurar los antiguos pactos neocoloniales—venden, </w:t>
      </w:r>
      <w:r w:rsidRPr="00847608">
        <w:rPr>
          <w:i/>
          <w:iCs/>
          <w:lang w:val="es-ES"/>
        </w:rPr>
        <w:t>en nombre colectivo de la generación fundadora</w:t>
      </w:r>
      <w:r w:rsidRPr="00847608">
        <w:rPr>
          <w:lang w:val="es-ES"/>
        </w:rPr>
        <w:t>, las mismas afirmaciones gastadas por el tiempo y ya rechazadas, de forma inequívoca, por esa misma generación durante y poco después del momento fundacional.</w:t>
      </w:r>
    </w:p>
    <w:p w14:paraId="422BE99A" w14:textId="27849E42" w:rsidR="00584797" w:rsidRPr="00847608" w:rsidRDefault="00892B72" w:rsidP="003D511B">
      <w:pPr>
        <w:pStyle w:val="p1"/>
        <w:ind w:firstLine="720"/>
        <w:rPr>
          <w:lang w:val="es-ES"/>
        </w:rPr>
      </w:pPr>
      <w:r w:rsidRPr="00847608">
        <w:rPr>
          <w:lang w:val="es-ES"/>
        </w:rPr>
        <w:t>Cinco años más tarde, en otro caso histórico sobre el significado y la interpretación del texto constitucional, los jueces fundadores profundizaron en este punto.</w:t>
      </w:r>
      <w:r w:rsidR="00774020" w:rsidRPr="00847608">
        <w:rPr>
          <w:lang w:val="es-ES"/>
        </w:rPr>
        <w:t xml:space="preserve"> </w:t>
      </w:r>
      <w:r w:rsidRPr="00847608">
        <w:rPr>
          <w:lang w:val="es-ES"/>
        </w:rPr>
        <w:t xml:space="preserve">En </w:t>
      </w:r>
      <w:r w:rsidRPr="00847608">
        <w:rPr>
          <w:i/>
          <w:iCs/>
          <w:lang w:val="es-ES"/>
        </w:rPr>
        <w:t>Gibbons</w:t>
      </w:r>
      <w:r w:rsidRPr="00847608">
        <w:rPr>
          <w:lang w:val="es-ES"/>
        </w:rPr>
        <w:t xml:space="preserve">, subrayaron </w:t>
      </w:r>
      <w:r w:rsidRPr="00847608">
        <w:rPr>
          <w:lang w:val="es-ES"/>
        </w:rPr>
        <w:lastRenderedPageBreak/>
        <w:t xml:space="preserve">la naturaleza de la “influencia nefasta” que buscaban evitar con su repudio directo y enfático de la interpretación estricta en </w:t>
      </w:r>
      <w:r w:rsidRPr="00847608">
        <w:rPr>
          <w:i/>
          <w:iCs/>
          <w:lang w:val="es-ES"/>
        </w:rPr>
        <w:t>McCulloch</w:t>
      </w:r>
      <w:r w:rsidRPr="00847608">
        <w:rPr>
          <w:lang w:val="es-ES"/>
        </w:rPr>
        <w:t>:</w:t>
      </w:r>
    </w:p>
    <w:p w14:paraId="09AA32C0" w14:textId="67EBCC47" w:rsidR="00B630FB" w:rsidRPr="00B630FB" w:rsidRDefault="00B630FB" w:rsidP="003D511B">
      <w:pPr>
        <w:autoSpaceDE w:val="0"/>
        <w:autoSpaceDN w:val="0"/>
        <w:adjustRightInd w:val="0"/>
        <w:spacing w:after="0" w:line="240" w:lineRule="auto"/>
        <w:ind w:left="720"/>
        <w:rPr>
          <w:rFonts w:ascii="Times New Roman" w:hAnsi="Times New Roman" w:cs="Times New Roman"/>
          <w:kern w:val="0"/>
          <w:sz w:val="24"/>
          <w:szCs w:val="24"/>
          <w:lang w:val="es-ES"/>
        </w:rPr>
      </w:pPr>
      <w:r w:rsidRPr="00847608">
        <w:rPr>
          <w:rFonts w:ascii="Times New Roman" w:hAnsi="Times New Roman" w:cs="Times New Roman"/>
          <w:kern w:val="0"/>
          <w:sz w:val="24"/>
          <w:szCs w:val="24"/>
          <w:lang w:val="es-ES"/>
        </w:rPr>
        <w:t>Mentes poderosas e ingeniosas, partiendo del postulado de que los poderes expresamente conferidos al gobierno de la Unión deben contraerse mediante la interpretación en el sentido más estrecho posible, y de que los poderes originales de los estados deben considerarse retenidos si cualquier interpretación plausible así lo permite, pueden, mediante un razonamiento bien articulado, aunque refinado y metafísico, explicar la constitución de nuestro país… y dejarla como una estructura magnífica, sin duda, digna de contemplarse, pero completamente inadecuada para su uso.</w:t>
      </w:r>
      <w:r w:rsidR="002C34C9" w:rsidRPr="00847608">
        <w:rPr>
          <w:rFonts w:ascii="Times New Roman" w:hAnsi="Times New Roman" w:cs="Times New Roman"/>
          <w:kern w:val="0"/>
          <w:sz w:val="24"/>
          <w:szCs w:val="24"/>
          <w:lang w:val="es-ES"/>
        </w:rPr>
        <w:t xml:space="preserve"> </w:t>
      </w:r>
      <w:r w:rsidRPr="00B630FB">
        <w:rPr>
          <w:rFonts w:ascii="Times New Roman" w:hAnsi="Times New Roman" w:cs="Times New Roman"/>
          <w:kern w:val="0"/>
          <w:sz w:val="24"/>
          <w:szCs w:val="24"/>
          <w:lang w:val="es-ES"/>
        </w:rPr>
        <w:t>Pueden enredar y confundir el entendimiento al punto de oscurecer principios que antes se consideraban bastante claros, e inducir dudas allí donde—si la mente siguiera su curso natural—no se percibiría ninguna.</w:t>
      </w:r>
      <w:r w:rsidR="003D511B" w:rsidRPr="00847608">
        <w:rPr>
          <w:rFonts w:ascii="Times New Roman" w:hAnsi="Times New Roman" w:cs="Times New Roman"/>
          <w:kern w:val="0"/>
          <w:sz w:val="24"/>
          <w:szCs w:val="24"/>
          <w:lang w:val="es-ES"/>
        </w:rPr>
        <w:t xml:space="preserve"> </w:t>
      </w:r>
      <w:r w:rsidRPr="00B630FB">
        <w:rPr>
          <w:rFonts w:ascii="Times New Roman" w:hAnsi="Times New Roman" w:cs="Times New Roman"/>
          <w:kern w:val="0"/>
          <w:sz w:val="24"/>
          <w:szCs w:val="24"/>
          <w:lang w:val="es-ES"/>
        </w:rPr>
        <w:t>En tales circunstancias, resulta especialmente necesario recurrir a principios firmes y fundamentales, para así sostener aquello que debe sostenerse</w:t>
      </w:r>
      <w:r w:rsidR="003D511B" w:rsidRPr="00847608">
        <w:rPr>
          <w:rFonts w:ascii="Times New Roman" w:hAnsi="Times New Roman" w:cs="Times New Roman"/>
          <w:kern w:val="0"/>
          <w:sz w:val="24"/>
          <w:szCs w:val="24"/>
          <w:lang w:val="es-ES"/>
        </w:rPr>
        <w:t>.</w:t>
      </w:r>
      <w:r w:rsidR="003D511B" w:rsidRPr="00847608">
        <w:rPr>
          <w:rStyle w:val="FootnoteReference"/>
          <w:rFonts w:ascii="Times New Roman" w:hAnsi="Times New Roman" w:cs="Times New Roman"/>
          <w:kern w:val="0"/>
          <w:sz w:val="24"/>
          <w:szCs w:val="24"/>
          <w:lang w:val="es-ES"/>
        </w:rPr>
        <w:t xml:space="preserve"> </w:t>
      </w:r>
      <w:r w:rsidR="003D511B" w:rsidRPr="00847608">
        <w:rPr>
          <w:rStyle w:val="FootnoteReference"/>
          <w:rFonts w:ascii="Times New Roman" w:hAnsi="Times New Roman" w:cs="Times New Roman"/>
          <w:kern w:val="0"/>
          <w:sz w:val="24"/>
          <w:szCs w:val="24"/>
          <w:lang w:val="es-ES"/>
        </w:rPr>
        <w:footnoteReference w:customMarkFollows="1" w:id="22"/>
        <w:t>22</w:t>
      </w:r>
    </w:p>
    <w:p w14:paraId="049FA886" w14:textId="77777777" w:rsidR="00A640C5" w:rsidRPr="00847608" w:rsidRDefault="005A0F58" w:rsidP="00A640C5">
      <w:pPr>
        <w:pStyle w:val="p1"/>
        <w:rPr>
          <w:lang w:val="es-ES"/>
        </w:rPr>
      </w:pPr>
      <w:r w:rsidRPr="00847608">
        <w:rPr>
          <w:lang w:val="es-ES"/>
        </w:rPr>
        <w:t>“</w:t>
      </w:r>
      <w:r w:rsidRPr="00847608">
        <w:rPr>
          <w:i/>
          <w:iCs/>
          <w:lang w:val="es-ES"/>
        </w:rPr>
        <w:t>Totalmente</w:t>
      </w:r>
      <w:r w:rsidRPr="00847608">
        <w:rPr>
          <w:lang w:val="es-ES"/>
        </w:rPr>
        <w:t xml:space="preserve"> inadecuada para su uso”, escribieron en 1824, al igual que en 1819 habían escrito “nefasta” e “incompetente”. Esta ineptitud o incompetencia es el resultado inevitable—si no el objetivo deliberado—de los llamamientos a la interpretación estricta y a los conceptos afines, que emiten periódicamente las facciones políticas empeñadas en “enredar y dejar perplejo al entendimiento, como para oscurecer los principios que antes se creían bastante claros”.</w:t>
      </w:r>
      <w:r w:rsidR="002067F3" w:rsidRPr="00847608">
        <w:rPr>
          <w:lang w:val="es-ES"/>
        </w:rPr>
        <w:t xml:space="preserve"> </w:t>
      </w:r>
      <w:r w:rsidRPr="00847608">
        <w:rPr>
          <w:lang w:val="es-ES"/>
        </w:rPr>
        <w:t>Poco a poco, pero con certeza, este enfoque nos deja con una mera “estructura magnífica, en verdad, a la vista”.</w:t>
      </w:r>
      <w:r w:rsidR="00F325CE" w:rsidRPr="00847608">
        <w:rPr>
          <w:lang w:val="es-ES"/>
        </w:rPr>
        <w:t xml:space="preserve"> </w:t>
      </w:r>
      <w:r w:rsidRPr="00847608">
        <w:rPr>
          <w:lang w:val="es-ES"/>
        </w:rPr>
        <w:t>Poco más que una “espléndida baratija”.</w:t>
      </w:r>
    </w:p>
    <w:p w14:paraId="50D2D233" w14:textId="22C898EE" w:rsidR="00F325CE" w:rsidRPr="00847608" w:rsidRDefault="004F450E" w:rsidP="00A640C5">
      <w:pPr>
        <w:pStyle w:val="p1"/>
        <w:ind w:firstLine="720"/>
        <w:rPr>
          <w:lang w:val="es-ES"/>
        </w:rPr>
      </w:pPr>
      <w:r w:rsidRPr="00847608">
        <w:rPr>
          <w:lang w:val="es-ES"/>
        </w:rPr>
        <w:t>La generación fundadora nos advirtió explícita y repetidamente que la interpretación estricta “</w:t>
      </w:r>
      <w:r w:rsidRPr="00847608">
        <w:rPr>
          <w:i/>
          <w:iCs/>
          <w:lang w:val="es-ES"/>
        </w:rPr>
        <w:t>acabaría por explicar —y vaciar de sentido— la constitución de nuestro país</w:t>
      </w:r>
      <w:r w:rsidRPr="00847608">
        <w:rPr>
          <w:lang w:val="es-ES"/>
        </w:rPr>
        <w:t>.”</w:t>
      </w:r>
      <w:r w:rsidR="00F32779" w:rsidRPr="00847608">
        <w:rPr>
          <w:lang w:val="es-ES"/>
        </w:rPr>
        <w:t xml:space="preserve"> </w:t>
      </w:r>
      <w:r w:rsidR="00F325CE" w:rsidRPr="00847608">
        <w:rPr>
          <w:lang w:val="es-ES"/>
        </w:rPr>
        <w:t>Piénselo bien, y piense en lo que ocurre hoy. ¿Hemos llegado ya a ese punto?</w:t>
      </w:r>
      <w:r w:rsidR="00F32779" w:rsidRPr="00847608">
        <w:rPr>
          <w:lang w:val="es-ES"/>
        </w:rPr>
        <w:t xml:space="preserve"> </w:t>
      </w:r>
      <w:r w:rsidR="00F325CE" w:rsidRPr="00847608">
        <w:rPr>
          <w:lang w:val="es-ES"/>
        </w:rPr>
        <w:t xml:space="preserve">Las sirenas del rigor </w:t>
      </w:r>
      <w:proofErr w:type="spellStart"/>
      <w:r w:rsidR="00F325CE" w:rsidRPr="00847608">
        <w:rPr>
          <w:lang w:val="es-ES"/>
        </w:rPr>
        <w:t>antifederalista</w:t>
      </w:r>
      <w:proofErr w:type="spellEnd"/>
      <w:r w:rsidR="00F325CE" w:rsidRPr="00847608">
        <w:rPr>
          <w:lang w:val="es-ES"/>
        </w:rPr>
        <w:t>—los llamados originalistas de hoy—nos llaman para deshacer el trabajo jurisprudencial de los Forjadores y de aquella generación original.</w:t>
      </w:r>
      <w:r w:rsidR="003C0430" w:rsidRPr="00847608">
        <w:rPr>
          <w:lang w:val="es-ES"/>
        </w:rPr>
        <w:t xml:space="preserve"> </w:t>
      </w:r>
      <w:r w:rsidR="00F325CE" w:rsidRPr="00847608">
        <w:rPr>
          <w:lang w:val="es-ES"/>
        </w:rPr>
        <w:t>Buscan desconcertar nuestras mentes y oscurecer principios básicos “que antes se creían bastante claros”.</w:t>
      </w:r>
      <w:r w:rsidR="003C0430" w:rsidRPr="00847608">
        <w:rPr>
          <w:lang w:val="es-ES"/>
        </w:rPr>
        <w:t xml:space="preserve"> </w:t>
      </w:r>
      <w:r w:rsidR="00F325CE" w:rsidRPr="00847608">
        <w:rPr>
          <w:lang w:val="es-ES"/>
        </w:rPr>
        <w:t>Los originalistas retrógrados de hoy, en gran medida mediante invocaciones selectivas de la interpretación estricta, pretenden convencernos de que arriba es abajo, y que abajo es arriba.</w:t>
      </w:r>
    </w:p>
    <w:p w14:paraId="2F157A77" w14:textId="25CC195E" w:rsidR="00A640C5" w:rsidRPr="00847608" w:rsidRDefault="00A640C5" w:rsidP="00D028C0">
      <w:pPr>
        <w:pStyle w:val="p1"/>
        <w:ind w:firstLine="720"/>
        <w:rPr>
          <w:lang w:val="es-ES"/>
        </w:rPr>
      </w:pPr>
      <w:r w:rsidRPr="00847608">
        <w:rPr>
          <w:lang w:val="es-ES"/>
        </w:rPr>
        <w:t xml:space="preserve">Hoy, “mentes poderosas e ingeniosas” promueven mercancías históricas malas y peligrosas, confundiendo deliberadamente verdades básicas ya conocidas y “oscureciendo” el significado llano de la propia Constitución. Pero ya se nos había advertido, de forma amplia y reiterada. Durante la mayor parte de la historia de esta nación, las advertencias originales de </w:t>
      </w:r>
      <w:r w:rsidRPr="00847608">
        <w:rPr>
          <w:i/>
          <w:iCs/>
          <w:lang w:val="es-ES"/>
        </w:rPr>
        <w:t>McCulloch</w:t>
      </w:r>
      <w:r w:rsidRPr="00847608">
        <w:rPr>
          <w:lang w:val="es-ES"/>
        </w:rPr>
        <w:t xml:space="preserve">, </w:t>
      </w:r>
      <w:r w:rsidRPr="00847608">
        <w:rPr>
          <w:i/>
          <w:iCs/>
          <w:lang w:val="es-ES"/>
        </w:rPr>
        <w:t>Gibbons</w:t>
      </w:r>
      <w:r w:rsidRPr="00847608">
        <w:rPr>
          <w:lang w:val="es-ES"/>
        </w:rPr>
        <w:t xml:space="preserve"> y otros precedentes bastaron para rechazar la persistencia </w:t>
      </w:r>
      <w:r w:rsidR="00105CD6" w:rsidRPr="00847608">
        <w:rPr>
          <w:lang w:val="es-ES"/>
        </w:rPr>
        <w:t xml:space="preserve">desconcertante </w:t>
      </w:r>
      <w:r w:rsidRPr="00847608">
        <w:rPr>
          <w:lang w:val="es-ES"/>
        </w:rPr>
        <w:t xml:space="preserve">de sospechosos llamamientos al </w:t>
      </w:r>
      <w:proofErr w:type="spellStart"/>
      <w:r w:rsidRPr="00847608">
        <w:rPr>
          <w:lang w:val="es-ES"/>
        </w:rPr>
        <w:t>textualismo</w:t>
      </w:r>
      <w:proofErr w:type="spellEnd"/>
      <w:r w:rsidRPr="00847608">
        <w:rPr>
          <w:lang w:val="es-ES"/>
        </w:rPr>
        <w:t>, al rigorismo y a doctrinas afines</w:t>
      </w:r>
      <w:r w:rsidR="00105CD6" w:rsidRPr="00847608">
        <w:rPr>
          <w:lang w:val="es-ES"/>
        </w:rPr>
        <w:t xml:space="preserve">. </w:t>
      </w:r>
      <w:r w:rsidRPr="00847608">
        <w:rPr>
          <w:lang w:val="es-ES"/>
        </w:rPr>
        <w:t>Por ejemplo, a mediados del siglo XX, el propio Tribunal Supremo aún podía recordar y afirmar lo siguiente:</w:t>
      </w:r>
      <w:r w:rsidR="00105CD6" w:rsidRPr="00847608">
        <w:rPr>
          <w:lang w:val="es-ES"/>
        </w:rPr>
        <w:t xml:space="preserve"> </w:t>
      </w:r>
      <w:r w:rsidRPr="00847608">
        <w:rPr>
          <w:lang w:val="es-ES"/>
        </w:rPr>
        <w:t>“Es una concepción inadmisiblemente estrecha del derecho constitucional estadounidense limitarlo a las palabras de la Constitución y hacer caso omiso de la glosa que la vida ha escrito sobre ellas”</w:t>
      </w:r>
      <w:r w:rsidR="00105CD6" w:rsidRPr="00847608">
        <w:rPr>
          <w:lang w:val="es-ES"/>
        </w:rPr>
        <w:t>.</w:t>
      </w:r>
      <w:r w:rsidR="00105CD6" w:rsidRPr="00847608">
        <w:rPr>
          <w:rStyle w:val="FootnoteReference"/>
          <w:lang w:val="es-ES"/>
        </w:rPr>
        <w:t xml:space="preserve"> </w:t>
      </w:r>
      <w:r w:rsidR="00105CD6" w:rsidRPr="00847608">
        <w:rPr>
          <w:rStyle w:val="FootnoteReference"/>
          <w:lang w:val="es-ES"/>
        </w:rPr>
        <w:footnoteReference w:customMarkFollows="1" w:id="23"/>
        <w:t>23</w:t>
      </w:r>
      <w:r w:rsidR="00105CD6" w:rsidRPr="00847608">
        <w:rPr>
          <w:lang w:val="es-ES"/>
        </w:rPr>
        <w:t xml:space="preserve"> </w:t>
      </w:r>
      <w:r w:rsidRPr="00847608">
        <w:rPr>
          <w:lang w:val="es-ES"/>
        </w:rPr>
        <w:t xml:space="preserve">Sin embargo, esta segunda Gran Mentira—que alimenta no solo un tipo </w:t>
      </w:r>
      <w:r w:rsidRPr="00847608">
        <w:rPr>
          <w:lang w:val="es-ES"/>
        </w:rPr>
        <w:lastRenderedPageBreak/>
        <w:t xml:space="preserve">voluntarista de </w:t>
      </w:r>
      <w:proofErr w:type="spellStart"/>
      <w:r w:rsidRPr="00847608">
        <w:rPr>
          <w:lang w:val="es-ES"/>
        </w:rPr>
        <w:t>textualismo</w:t>
      </w:r>
      <w:proofErr w:type="spellEnd"/>
      <w:r w:rsidRPr="00847608">
        <w:rPr>
          <w:lang w:val="es-ES"/>
        </w:rPr>
        <w:t>, sino también una forma hipócrita de interpretación estricta—sigue persistiendo en tándem con la primera.</w:t>
      </w:r>
    </w:p>
    <w:p w14:paraId="43F6778A" w14:textId="77777777" w:rsidR="002E6C63" w:rsidRPr="00847608" w:rsidRDefault="002E6C63" w:rsidP="002E6C63">
      <w:pPr>
        <w:pStyle w:val="p1"/>
        <w:ind w:firstLine="720"/>
        <w:rPr>
          <w:lang w:val="es-ES"/>
        </w:rPr>
      </w:pPr>
      <w:r w:rsidRPr="00847608">
        <w:rPr>
          <w:lang w:val="es-ES"/>
        </w:rPr>
        <w:t xml:space="preserve">Aplicadas en tándem, tanto la interpretación estricta como el </w:t>
      </w:r>
      <w:proofErr w:type="spellStart"/>
      <w:r w:rsidRPr="00847608">
        <w:rPr>
          <w:lang w:val="es-ES"/>
        </w:rPr>
        <w:t>originalismo</w:t>
      </w:r>
      <w:proofErr w:type="spellEnd"/>
      <w:r w:rsidRPr="00847608">
        <w:rPr>
          <w:lang w:val="es-ES"/>
        </w:rPr>
        <w:t xml:space="preserve"> se han utilizado de forma estratégica y selectiva—aunque con bastante coherencia—para socavar el poder nacional en virtud de las dos cláusulas principales de la Constitución que, durante la primera parte del siglo XX, fueron empleadas por los poderes electos del gobierno federal para proteger a los sectores sociales, políticos y económicos más desprotegidos frente a las élites enquistadas: la Cláusula de Comercio del Artículo I y la Sección 5 de la Decimocuarta Enmienda. Una y otra vez, a lo largo del siglo pasado, jueces identificados con esas élites han invocado el poder federal de revisión judicial—que, por cierto, ni siquiera aparece mencionado en el texto constitucional—para interpretar de manera estricta las concesiones expresas de poder federal, y así negar protección legal estatutaria a consumidores, personas trabajadoras, niñas y niños, y otros grupos vulnerables.</w:t>
      </w:r>
    </w:p>
    <w:p w14:paraId="1170F59A" w14:textId="2AC3048E" w:rsidR="00093412" w:rsidRPr="00847608" w:rsidRDefault="00093412" w:rsidP="00AA7DD5">
      <w:pPr>
        <w:pStyle w:val="p1"/>
        <w:ind w:firstLine="720"/>
        <w:rPr>
          <w:lang w:val="es-ES"/>
        </w:rPr>
      </w:pPr>
      <w:r w:rsidRPr="00847608">
        <w:rPr>
          <w:lang w:val="es-ES"/>
        </w:rPr>
        <w:t xml:space="preserve">Así, las historias constitucional, política y jurídica de esta Gran Mentira enseñan que la interpretación estricta, en la práctica, se traduce en una constricción calculada de los poderes del gobierno federal—una constricción orientada a fines particulares: preservar por vía </w:t>
      </w:r>
      <w:r w:rsidRPr="00847608">
        <w:rPr>
          <w:i/>
          <w:iCs/>
          <w:lang w:val="es-ES"/>
        </w:rPr>
        <w:t>legal</w:t>
      </w:r>
      <w:r w:rsidRPr="00847608">
        <w:rPr>
          <w:lang w:val="es-ES"/>
        </w:rPr>
        <w:t xml:space="preserve"> los prejuicios, las castas y las “tradiciones” heredadas de la era colonial.</w:t>
      </w:r>
      <w:r w:rsidR="002E6C63" w:rsidRPr="00847608">
        <w:rPr>
          <w:lang w:val="es-ES"/>
        </w:rPr>
        <w:t xml:space="preserve"> </w:t>
      </w:r>
      <w:r w:rsidRPr="00847608">
        <w:rPr>
          <w:lang w:val="es-ES"/>
        </w:rPr>
        <w:t xml:space="preserve">Al igual que el </w:t>
      </w:r>
      <w:proofErr w:type="spellStart"/>
      <w:r w:rsidRPr="00847608">
        <w:rPr>
          <w:lang w:val="es-ES"/>
        </w:rPr>
        <w:t>originalismo</w:t>
      </w:r>
      <w:proofErr w:type="spellEnd"/>
      <w:r w:rsidRPr="00847608">
        <w:rPr>
          <w:lang w:val="es-ES"/>
        </w:rPr>
        <w:t>, la interpretación estricta pretende resucitar nociones y jerarquías ya superadas, con el fin de retroceder—e incluso impedir—el avance hacia “una Unión más perfecta” o el propósito de “establecer la Justicia”, como promete el propio texto de la Constitución.</w:t>
      </w:r>
      <w:r w:rsidR="00AA7DD5" w:rsidRPr="00847608">
        <w:rPr>
          <w:lang w:val="es-ES"/>
        </w:rPr>
        <w:t xml:space="preserve"> </w:t>
      </w:r>
      <w:r w:rsidRPr="00847608">
        <w:rPr>
          <w:lang w:val="es-ES"/>
        </w:rPr>
        <w:t>Dos siglos después, queda claro que el presidente del Tribunal Supremo, John Marshall, y sus colegas fundadores fueron clarividentes en su preocupación por la previsible “influencia nefasta” que estas doctrinas conjuntas podrían ejercer sobre la democracia constitucional y el Estado de Derecho en Estados Unidos.</w:t>
      </w:r>
    </w:p>
    <w:p w14:paraId="68AE5928" w14:textId="77777777" w:rsidR="00093412" w:rsidRPr="00847608" w:rsidRDefault="00093412" w:rsidP="00E54145">
      <w:pPr>
        <w:autoSpaceDE w:val="0"/>
        <w:autoSpaceDN w:val="0"/>
        <w:adjustRightInd w:val="0"/>
        <w:spacing w:after="0" w:line="240" w:lineRule="auto"/>
        <w:ind w:firstLine="720"/>
        <w:rPr>
          <w:rFonts w:ascii="Times New Roman" w:hAnsi="Times New Roman" w:cs="Times New Roman"/>
          <w:kern w:val="0"/>
          <w:sz w:val="24"/>
          <w:szCs w:val="24"/>
          <w:lang w:val="es-ES"/>
        </w:rPr>
      </w:pPr>
    </w:p>
    <w:p w14:paraId="5441C7EE" w14:textId="00ECD556" w:rsidR="00D73930" w:rsidRPr="00847608" w:rsidRDefault="00952D97" w:rsidP="009369C7">
      <w:pPr>
        <w:autoSpaceDE w:val="0"/>
        <w:autoSpaceDN w:val="0"/>
        <w:adjustRightInd w:val="0"/>
        <w:spacing w:after="0" w:line="240" w:lineRule="auto"/>
        <w:rPr>
          <w:rFonts w:ascii="Times New Roman" w:hAnsi="Times New Roman" w:cs="Times New Roman"/>
          <w:b/>
          <w:iCs/>
          <w:kern w:val="0"/>
          <w:sz w:val="24"/>
          <w:szCs w:val="24"/>
          <w:u w:val="single"/>
          <w:lang w:val="es-ES"/>
        </w:rPr>
      </w:pPr>
      <w:r w:rsidRPr="00952D97">
        <w:rPr>
          <w:rFonts w:ascii="Times New Roman" w:hAnsi="Times New Roman" w:cs="Times New Roman"/>
          <w:b/>
          <w:bCs/>
          <w:iCs/>
          <w:kern w:val="0"/>
          <w:sz w:val="24"/>
          <w:szCs w:val="24"/>
          <w:u w:val="single"/>
          <w:lang w:val="es-ES"/>
        </w:rPr>
        <w:t>Patriotismo: ¿Libertad para pensar críticamente o deber de obediencia ciega a las clases dominantes?</w:t>
      </w:r>
    </w:p>
    <w:p w14:paraId="7B15F1F4" w14:textId="02BF96E8" w:rsidR="00EF1172" w:rsidRPr="00EF1172" w:rsidRDefault="00EF1172" w:rsidP="00101D64">
      <w:pPr>
        <w:spacing w:before="100" w:beforeAutospacing="1" w:after="100" w:afterAutospacing="1" w:line="240" w:lineRule="auto"/>
        <w:ind w:firstLine="720"/>
        <w:rPr>
          <w:rFonts w:ascii="Times New Roman" w:eastAsia="Times New Roman" w:hAnsi="Times New Roman" w:cs="Times New Roman"/>
          <w:kern w:val="0"/>
          <w:sz w:val="24"/>
          <w:szCs w:val="24"/>
          <w:lang w:val="es-ES"/>
          <w14:ligatures w14:val="none"/>
        </w:rPr>
      </w:pPr>
      <w:r w:rsidRPr="00EF1172">
        <w:rPr>
          <w:rFonts w:ascii="Times New Roman" w:eastAsia="Times New Roman" w:hAnsi="Times New Roman" w:cs="Times New Roman"/>
          <w:kern w:val="0"/>
          <w:sz w:val="24"/>
          <w:szCs w:val="24"/>
          <w:lang w:val="es-ES"/>
          <w14:ligatures w14:val="none"/>
        </w:rPr>
        <w:t>Estas Grandes Mentiras se sostienen sobre otra más—o bien la afirman de forma activa: la idea del “patriotismo” como sinónimo de lealtad visceral y obediencia (indebida) a las élites gobernantes.</w:t>
      </w:r>
      <w:r w:rsidRPr="00847608">
        <w:rPr>
          <w:rFonts w:ascii="Times New Roman" w:eastAsia="Times New Roman" w:hAnsi="Times New Roman" w:cs="Times New Roman"/>
          <w:kern w:val="0"/>
          <w:sz w:val="24"/>
          <w:szCs w:val="24"/>
          <w:lang w:val="es-ES"/>
          <w14:ligatures w14:val="none"/>
        </w:rPr>
        <w:t xml:space="preserve"> </w:t>
      </w:r>
      <w:r w:rsidRPr="00EF1172">
        <w:rPr>
          <w:rFonts w:ascii="Times New Roman" w:eastAsia="Times New Roman" w:hAnsi="Times New Roman" w:cs="Times New Roman"/>
          <w:kern w:val="0"/>
          <w:sz w:val="24"/>
          <w:szCs w:val="24"/>
          <w:lang w:val="es-ES"/>
          <w14:ligatures w14:val="none"/>
        </w:rPr>
        <w:t>Hoy en día, el “patriotismo” es utilizado—y mal utilizado—por políticos para acosar, difamar y destruir a cualquiera que se atreva a cuestionar su ambición de poder y lucro, ya sea mediante guerras interminables o pánicos fabricados.</w:t>
      </w:r>
      <w:r w:rsidR="00101D64" w:rsidRPr="00847608">
        <w:rPr>
          <w:rFonts w:ascii="Times New Roman" w:eastAsia="Times New Roman" w:hAnsi="Times New Roman" w:cs="Times New Roman"/>
          <w:kern w:val="0"/>
          <w:sz w:val="24"/>
          <w:szCs w:val="24"/>
          <w:lang w:val="es-ES"/>
          <w14:ligatures w14:val="none"/>
        </w:rPr>
        <w:t xml:space="preserve"> </w:t>
      </w:r>
      <w:r w:rsidRPr="00EF1172">
        <w:rPr>
          <w:rFonts w:ascii="Times New Roman" w:eastAsia="Times New Roman" w:hAnsi="Times New Roman" w:cs="Times New Roman"/>
          <w:kern w:val="0"/>
          <w:sz w:val="24"/>
          <w:szCs w:val="24"/>
          <w:lang w:val="es-ES"/>
          <w14:ligatures w14:val="none"/>
        </w:rPr>
        <w:t>Se trata de una acusación usada para aplastar, hasta el silencio, toda expresión de disidencia—provenga esta de personas congresistas, medios de comunicación, académicos consolidados o ciudadanos particulares</w:t>
      </w:r>
      <w:r w:rsidR="00101D64" w:rsidRPr="00847608">
        <w:rPr>
          <w:rFonts w:ascii="Times New Roman" w:eastAsia="Times New Roman" w:hAnsi="Times New Roman" w:cs="Times New Roman"/>
          <w:kern w:val="0"/>
          <w:sz w:val="24"/>
          <w:szCs w:val="24"/>
          <w:lang w:val="es-ES"/>
          <w14:ligatures w14:val="none"/>
        </w:rPr>
        <w:t>.</w:t>
      </w:r>
      <w:r w:rsidR="00101D64" w:rsidRPr="00847608">
        <w:rPr>
          <w:rStyle w:val="FootnoteReference"/>
          <w:rFonts w:ascii="Times New Roman" w:hAnsi="Times New Roman" w:cs="Times New Roman"/>
          <w:kern w:val="0"/>
          <w:sz w:val="24"/>
          <w:szCs w:val="24"/>
          <w:lang w:val="es-ES"/>
        </w:rPr>
        <w:t xml:space="preserve"> </w:t>
      </w:r>
      <w:r w:rsidR="00101D64" w:rsidRPr="00847608">
        <w:rPr>
          <w:rStyle w:val="FootnoteReference"/>
          <w:rFonts w:ascii="Times New Roman" w:hAnsi="Times New Roman" w:cs="Times New Roman"/>
          <w:kern w:val="0"/>
          <w:sz w:val="24"/>
          <w:szCs w:val="24"/>
          <w:lang w:val="es-ES"/>
        </w:rPr>
        <w:footnoteReference w:customMarkFollows="1" w:id="24"/>
        <w:t>24</w:t>
      </w:r>
      <w:r w:rsidR="00101D64" w:rsidRPr="00847608">
        <w:rPr>
          <w:rFonts w:ascii="Times New Roman" w:eastAsia="Times New Roman" w:hAnsi="Times New Roman" w:cs="Times New Roman"/>
          <w:kern w:val="0"/>
          <w:sz w:val="24"/>
          <w:szCs w:val="24"/>
          <w:lang w:val="es-ES"/>
          <w14:ligatures w14:val="none"/>
        </w:rPr>
        <w:t xml:space="preserve"> </w:t>
      </w:r>
      <w:r w:rsidRPr="00EF1172">
        <w:rPr>
          <w:rFonts w:ascii="Times New Roman" w:eastAsia="Times New Roman" w:hAnsi="Times New Roman" w:cs="Times New Roman"/>
          <w:kern w:val="0"/>
          <w:sz w:val="24"/>
          <w:szCs w:val="24"/>
          <w:lang w:val="es-ES"/>
          <w14:ligatures w14:val="none"/>
        </w:rPr>
        <w:t>La perversión actual del patriotismo lo reduce, en definitiva, a otra “práctica política” barata.</w:t>
      </w:r>
    </w:p>
    <w:p w14:paraId="031B4CF1" w14:textId="3007A10E" w:rsidR="00FE641B" w:rsidRPr="00847608" w:rsidRDefault="00FE641B" w:rsidP="008C4E86">
      <w:pPr>
        <w:pStyle w:val="p1"/>
        <w:ind w:firstLine="720"/>
        <w:rPr>
          <w:lang w:val="es-ES"/>
        </w:rPr>
      </w:pPr>
      <w:r w:rsidRPr="00847608">
        <w:rPr>
          <w:lang w:val="es-ES"/>
        </w:rPr>
        <w:t xml:space="preserve">De hecho, ocurre lo diametralmente opuesto: en la historia constitucional y política de Estados Unidos, el concepto de </w:t>
      </w:r>
      <w:r w:rsidRPr="00847608">
        <w:rPr>
          <w:i/>
          <w:iCs/>
          <w:lang w:val="es-ES"/>
        </w:rPr>
        <w:t>patriotismo</w:t>
      </w:r>
      <w:r w:rsidRPr="00847608">
        <w:rPr>
          <w:lang w:val="es-ES"/>
        </w:rPr>
        <w:t xml:space="preserve"> se alinea con el concepto de </w:t>
      </w:r>
      <w:r w:rsidRPr="00847608">
        <w:rPr>
          <w:i/>
          <w:iCs/>
          <w:lang w:val="es-ES"/>
        </w:rPr>
        <w:t>revolución</w:t>
      </w:r>
      <w:r w:rsidRPr="00847608">
        <w:rPr>
          <w:lang w:val="es-ES"/>
        </w:rPr>
        <w:t xml:space="preserve">—de </w:t>
      </w:r>
      <w:r w:rsidRPr="00847608">
        <w:rPr>
          <w:lang w:val="es-ES"/>
        </w:rPr>
        <w:lastRenderedPageBreak/>
        <w:t xml:space="preserve">revolución armada, de levantamiento organizado con armas. ¿Lo recuerdan? Eran los “patriotas” contra los “leales”… al menos originalmente. En la historia de este país, los revolucionarios “originales” eran los “patriotas” precisamente porque formulaban preguntas incómodas, hacían ruido, perturbaban el buen funcionamiento del </w:t>
      </w:r>
      <w:r w:rsidRPr="00847608">
        <w:rPr>
          <w:i/>
          <w:iCs/>
          <w:lang w:val="es-ES"/>
        </w:rPr>
        <w:t>statu quo</w:t>
      </w:r>
      <w:r w:rsidRPr="00847608">
        <w:rPr>
          <w:lang w:val="es-ES"/>
        </w:rPr>
        <w:t xml:space="preserve"> y se levantaban contra el poder gubernamental—aunque ese gobierno fuera formalmente legal</w:t>
      </w:r>
      <w:r w:rsidR="001F1E7F" w:rsidRPr="00847608">
        <w:rPr>
          <w:lang w:val="es-ES"/>
        </w:rPr>
        <w:t>,</w:t>
      </w:r>
      <w:r w:rsidRPr="00847608">
        <w:rPr>
          <w:lang w:val="es-ES"/>
        </w:rPr>
        <w:t xml:space="preserve"> según las estructuras o sistemas políticos vigentes en aquel entonces.</w:t>
      </w:r>
    </w:p>
    <w:p w14:paraId="65020839" w14:textId="18EB2EAF" w:rsidR="00FE641B" w:rsidRPr="00847608" w:rsidRDefault="00FE641B" w:rsidP="001F51B2">
      <w:pPr>
        <w:pStyle w:val="p1"/>
        <w:ind w:firstLine="720"/>
        <w:rPr>
          <w:lang w:val="es-ES"/>
        </w:rPr>
      </w:pPr>
      <w:r w:rsidRPr="00847608">
        <w:rPr>
          <w:lang w:val="es-ES"/>
        </w:rPr>
        <w:t>Se esté o no de acuerdo con la decisión de rebelarse tomada por los Forjadores, sus acciones personales y organizadas, en desafío</w:t>
      </w:r>
      <w:r w:rsidR="001F1E7F" w:rsidRPr="00847608">
        <w:rPr>
          <w:lang w:val="es-ES"/>
        </w:rPr>
        <w:t xml:space="preserve"> abierto</w:t>
      </w:r>
      <w:r w:rsidRPr="00847608">
        <w:rPr>
          <w:lang w:val="es-ES"/>
        </w:rPr>
        <w:t xml:space="preserve"> a las autoridades legítimas de lo que entonces era la única superpotencia del mundo, exigieron—en efecto—una gran dosis de valor individual sostenid</w:t>
      </w:r>
      <w:r w:rsidR="001F51B2" w:rsidRPr="00847608">
        <w:rPr>
          <w:lang w:val="es-ES"/>
        </w:rPr>
        <w:t>a</w:t>
      </w:r>
      <w:r w:rsidRPr="00847608">
        <w:rPr>
          <w:lang w:val="es-ES"/>
        </w:rPr>
        <w:t>.</w:t>
      </w:r>
      <w:r w:rsidR="001F51B2" w:rsidRPr="00847608">
        <w:rPr>
          <w:lang w:val="es-ES"/>
        </w:rPr>
        <w:t xml:space="preserve"> </w:t>
      </w:r>
      <w:r w:rsidRPr="00847608">
        <w:rPr>
          <w:lang w:val="es-ES"/>
        </w:rPr>
        <w:t>Eso es, de nuevo, lo diametralmente opuesto a la obediencia aduladora hacia autoridades formalmente legítimas, controladas por las clases dominantes.</w:t>
      </w:r>
    </w:p>
    <w:p w14:paraId="4CA1BFCF" w14:textId="05C5782C" w:rsidR="00D3717D" w:rsidRPr="00847608" w:rsidRDefault="005E1D26" w:rsidP="009F1D25">
      <w:pPr>
        <w:pStyle w:val="p1"/>
        <w:ind w:firstLine="720"/>
        <w:rPr>
          <w:lang w:val="es-ES"/>
        </w:rPr>
      </w:pPr>
      <w:r w:rsidRPr="00847608">
        <w:rPr>
          <w:lang w:val="es-ES"/>
        </w:rPr>
        <w:t xml:space="preserve">Para bien o para mal, la noción estadounidense de </w:t>
      </w:r>
      <w:r w:rsidRPr="00847608">
        <w:rPr>
          <w:i/>
          <w:iCs/>
          <w:lang w:val="es-ES"/>
        </w:rPr>
        <w:t>patriotismo</w:t>
      </w:r>
      <w:r w:rsidRPr="00847608">
        <w:rPr>
          <w:lang w:val="es-ES"/>
        </w:rPr>
        <w:t xml:space="preserve">—no formulada de manera filosófica o abstracta, sino en el contexto específico de esta Constitución y de la historia jurídica y política de Estados Unidos—sostiene la idea de que el pueblo tiene derecho a convocar a la rebelión contra sus opresores, sus gobernantes. El pueblo tiene derecho a pensar de forma independiente y crítica. El pueblo no tiene ningún deber ciego de obediencia hacia las clases dominantes atrincheradas. Esta última Gran Mentira—que pervierte el patriotismo para imponer la conformidad social al margen de los hechos y de la justicia—refuerza eficazmente a las demás. Pero, como nos recuerda este conocimiento histórico suprimido o convenientemente ignorado, el </w:t>
      </w:r>
      <w:r w:rsidRPr="00847608">
        <w:rPr>
          <w:i/>
          <w:iCs/>
          <w:lang w:val="es-ES"/>
        </w:rPr>
        <w:t>patriotismo</w:t>
      </w:r>
      <w:r w:rsidRPr="00847608">
        <w:rPr>
          <w:lang w:val="es-ES"/>
        </w:rPr>
        <w:t xml:space="preserve"> equivale, en realidad, a todo lo contrario de una obediencia ciega y personal a los gobiernos formalmente legales.</w:t>
      </w:r>
    </w:p>
    <w:p w14:paraId="27591DE1" w14:textId="71864B2E" w:rsidR="009F1D25" w:rsidRPr="009F1D25" w:rsidRDefault="009F1D25" w:rsidP="009F1D25">
      <w:pPr>
        <w:autoSpaceDE w:val="0"/>
        <w:autoSpaceDN w:val="0"/>
        <w:adjustRightInd w:val="0"/>
        <w:spacing w:after="0" w:line="240" w:lineRule="auto"/>
        <w:rPr>
          <w:rFonts w:ascii="Times New Roman" w:hAnsi="Times New Roman" w:cs="Times New Roman"/>
          <w:b/>
          <w:kern w:val="0"/>
          <w:sz w:val="24"/>
          <w:szCs w:val="24"/>
          <w:u w:val="single"/>
          <w:lang w:val="es-ES"/>
        </w:rPr>
      </w:pPr>
      <w:r w:rsidRPr="009F1D25">
        <w:rPr>
          <w:rFonts w:ascii="Times New Roman" w:hAnsi="Times New Roman" w:cs="Times New Roman"/>
          <w:b/>
          <w:bCs/>
          <w:kern w:val="0"/>
          <w:sz w:val="24"/>
          <w:szCs w:val="24"/>
          <w:u w:val="single"/>
          <w:lang w:val="es-ES"/>
        </w:rPr>
        <w:t>Mantras críticos para el arraigo y la supervivencia: de la teoría a la praxis</w:t>
      </w:r>
      <w:r w:rsidRPr="009F1D25">
        <w:rPr>
          <w:rFonts w:ascii="Times New Roman" w:hAnsi="Times New Roman" w:cs="Times New Roman"/>
          <w:b/>
          <w:kern w:val="0"/>
          <w:sz w:val="24"/>
          <w:szCs w:val="24"/>
          <w:u w:val="single"/>
          <w:lang w:val="es-ES"/>
        </w:rPr>
        <w:t>.</w:t>
      </w:r>
    </w:p>
    <w:p w14:paraId="455312D0" w14:textId="632290D3" w:rsidR="00AF6E78" w:rsidRPr="00847608" w:rsidRDefault="00AF6E78" w:rsidP="009809E5">
      <w:pPr>
        <w:pStyle w:val="p1"/>
        <w:ind w:firstLine="720"/>
        <w:rPr>
          <w:lang w:val="es-ES"/>
        </w:rPr>
      </w:pPr>
      <w:r w:rsidRPr="00847608">
        <w:rPr>
          <w:lang w:val="es-ES"/>
        </w:rPr>
        <w:t>Para sobrevivir y superar esta constitución del terror, las y los juristas críticos, junto con sus aliades, deben aplicar cada día las lecciones aprendidas, en la vida cotidiana. Estas lecciones críticas pueden ayudarnos—y de hecho lo hacen—a aclarar y navegar las distorsiones y</w:t>
      </w:r>
      <w:r w:rsidR="009809E5" w:rsidRPr="00847608">
        <w:rPr>
          <w:lang w:val="es-ES"/>
        </w:rPr>
        <w:t xml:space="preserve"> los</w:t>
      </w:r>
      <w:r w:rsidRPr="00847608">
        <w:rPr>
          <w:lang w:val="es-ES"/>
        </w:rPr>
        <w:t xml:space="preserve"> engaños que sustentan, y que son inculcados por, las Grandes Mentiras de arriba hacia abajo, como las esbozadas anteriormente.</w:t>
      </w:r>
      <w:r w:rsidR="009809E5" w:rsidRPr="00847608">
        <w:rPr>
          <w:lang w:val="es-ES"/>
        </w:rPr>
        <w:t xml:space="preserve"> </w:t>
      </w:r>
      <w:r w:rsidRPr="00847608">
        <w:rPr>
          <w:lang w:val="es-ES"/>
        </w:rPr>
        <w:t>Entre estas lecciones prácticas, resultan fundamentales los tres mantras que se presentan a continuación, pensados para su uso inmediato en la lucha contra la subordinación.</w:t>
      </w:r>
    </w:p>
    <w:p w14:paraId="3DC78CE5" w14:textId="7A349ABD" w:rsidR="004677DE" w:rsidRPr="00847608" w:rsidRDefault="00AF6E78" w:rsidP="00454CF9">
      <w:pPr>
        <w:pStyle w:val="p1"/>
        <w:ind w:firstLine="720"/>
        <w:rPr>
          <w:lang w:val="es-ES"/>
        </w:rPr>
      </w:pPr>
      <w:r w:rsidRPr="00847608">
        <w:rPr>
          <w:lang w:val="es-ES"/>
        </w:rPr>
        <w:t>En primer lugar, recordemos siempre que somos ciudadanos de comunidades</w:t>
      </w:r>
      <w:r w:rsidR="009809E5" w:rsidRPr="00847608">
        <w:rPr>
          <w:lang w:val="es-ES"/>
        </w:rPr>
        <w:t xml:space="preserve"> múltiples</w:t>
      </w:r>
      <w:r w:rsidRPr="00847608">
        <w:rPr>
          <w:lang w:val="es-ES"/>
        </w:rPr>
        <w:t>, y esa multiplicidad nos plantea exigencias que estiran—y a veces exceden—nuestras capacidades.</w:t>
      </w:r>
      <w:r w:rsidR="009809E5" w:rsidRPr="00847608">
        <w:rPr>
          <w:lang w:val="es-ES"/>
        </w:rPr>
        <w:t xml:space="preserve"> </w:t>
      </w:r>
      <w:r w:rsidRPr="00847608">
        <w:rPr>
          <w:lang w:val="es-ES"/>
        </w:rPr>
        <w:t>La academia jurídica, al igual que nuestras comunidades de origen o residencia, representa una de esas comunidades a las que debemos atender.</w:t>
      </w:r>
      <w:r w:rsidR="009809E5" w:rsidRPr="00847608">
        <w:rPr>
          <w:lang w:val="es-ES"/>
        </w:rPr>
        <w:t xml:space="preserve"> </w:t>
      </w:r>
      <w:r w:rsidRPr="00847608">
        <w:rPr>
          <w:lang w:val="es-ES"/>
        </w:rPr>
        <w:t xml:space="preserve">La academia es una de nuestras comunidades—y es, además, un lugar donde se libran frentes de batalla </w:t>
      </w:r>
      <w:r w:rsidR="009809E5" w:rsidRPr="00847608">
        <w:rPr>
          <w:lang w:val="es-ES"/>
        </w:rPr>
        <w:t xml:space="preserve">múltiples, </w:t>
      </w:r>
      <w:r w:rsidRPr="00847608">
        <w:rPr>
          <w:lang w:val="es-ES"/>
        </w:rPr>
        <w:t xml:space="preserve">en la búsqueda </w:t>
      </w:r>
      <w:r w:rsidR="009809E5" w:rsidRPr="00847608">
        <w:rPr>
          <w:lang w:val="es-ES"/>
        </w:rPr>
        <w:t xml:space="preserve">histórica </w:t>
      </w:r>
      <w:r w:rsidRPr="00847608">
        <w:rPr>
          <w:lang w:val="es-ES"/>
        </w:rPr>
        <w:t xml:space="preserve">de </w:t>
      </w:r>
      <w:r w:rsidR="009809E5" w:rsidRPr="00847608">
        <w:rPr>
          <w:lang w:val="es-ES"/>
        </w:rPr>
        <w:t xml:space="preserve">la </w:t>
      </w:r>
      <w:r w:rsidRPr="00847608">
        <w:rPr>
          <w:lang w:val="es-ES"/>
        </w:rPr>
        <w:t>justicia social.</w:t>
      </w:r>
      <w:r w:rsidR="009809E5" w:rsidRPr="00847608">
        <w:rPr>
          <w:lang w:val="es-ES"/>
        </w:rPr>
        <w:t xml:space="preserve"> </w:t>
      </w:r>
      <w:r w:rsidRPr="00847608">
        <w:rPr>
          <w:lang w:val="es-ES"/>
        </w:rPr>
        <w:t xml:space="preserve">Por tanto, debemos </w:t>
      </w:r>
      <w:r w:rsidR="00F8630D" w:rsidRPr="00847608">
        <w:rPr>
          <w:lang w:val="es-ES"/>
        </w:rPr>
        <w:t>fomentar</w:t>
      </w:r>
      <w:r w:rsidRPr="00847608">
        <w:rPr>
          <w:lang w:val="es-ES"/>
        </w:rPr>
        <w:t xml:space="preserve"> un trabajo antisubordinación serio, tanto aquí como allá.</w:t>
      </w:r>
      <w:r w:rsidR="00F8630D" w:rsidRPr="00847608">
        <w:rPr>
          <w:lang w:val="es-ES"/>
        </w:rPr>
        <w:t xml:space="preserve"> </w:t>
      </w:r>
      <w:r w:rsidRPr="00847608">
        <w:rPr>
          <w:lang w:val="es-ES"/>
        </w:rPr>
        <w:t xml:space="preserve">La cuestión no es “aquí </w:t>
      </w:r>
      <w:r w:rsidRPr="00847608">
        <w:rPr>
          <w:i/>
          <w:iCs/>
          <w:lang w:val="es-ES"/>
        </w:rPr>
        <w:t>o</w:t>
      </w:r>
      <w:r w:rsidRPr="00847608">
        <w:rPr>
          <w:lang w:val="es-ES"/>
        </w:rPr>
        <w:t xml:space="preserve"> allí”, sino más bien “aquí </w:t>
      </w:r>
      <w:r w:rsidRPr="00847608">
        <w:rPr>
          <w:i/>
          <w:iCs/>
          <w:lang w:val="es-ES"/>
        </w:rPr>
        <w:t>y</w:t>
      </w:r>
      <w:r w:rsidRPr="00847608">
        <w:rPr>
          <w:lang w:val="es-ES"/>
        </w:rPr>
        <w:t xml:space="preserve"> allí”.</w:t>
      </w:r>
    </w:p>
    <w:p w14:paraId="6AA1475C" w14:textId="71B56A2D" w:rsidR="004677DE" w:rsidRPr="00847608" w:rsidRDefault="004677DE" w:rsidP="00C04F69">
      <w:pPr>
        <w:pStyle w:val="p1"/>
        <w:ind w:firstLine="720"/>
        <w:rPr>
          <w:lang w:val="es-ES"/>
        </w:rPr>
      </w:pPr>
      <w:r w:rsidRPr="00847608">
        <w:rPr>
          <w:rStyle w:val="s1"/>
          <w:lang w:val="es-ES"/>
        </w:rPr>
        <w:t>En segundo lugar</w:t>
      </w:r>
      <w:r w:rsidRPr="00847608">
        <w:rPr>
          <w:lang w:val="es-ES"/>
        </w:rPr>
        <w:t xml:space="preserve">, nunca dude de que la erudición y la enseñanza son—siempre, </w:t>
      </w:r>
      <w:r w:rsidRPr="00847608">
        <w:rPr>
          <w:i/>
          <w:iCs/>
          <w:lang w:val="es-ES"/>
        </w:rPr>
        <w:t>siempre</w:t>
      </w:r>
      <w:r w:rsidRPr="00847608">
        <w:rPr>
          <w:lang w:val="es-ES"/>
        </w:rPr>
        <w:t xml:space="preserve">—políticas. Siempre lo fueron, siempre lo son, siempre lo serán. Al menos, la erudición </w:t>
      </w:r>
      <w:r w:rsidRPr="00847608">
        <w:rPr>
          <w:i/>
          <w:iCs/>
          <w:lang w:val="es-ES"/>
        </w:rPr>
        <w:t>jurídica</w:t>
      </w:r>
      <w:r w:rsidRPr="00847608">
        <w:rPr>
          <w:lang w:val="es-ES"/>
        </w:rPr>
        <w:t>. Sistémicamente, no puede ser de otro modo</w:t>
      </w:r>
      <w:r w:rsidR="00C04F69" w:rsidRPr="00847608">
        <w:rPr>
          <w:lang w:val="es-ES"/>
        </w:rPr>
        <w:t>,</w:t>
      </w:r>
      <w:r w:rsidRPr="00847608">
        <w:rPr>
          <w:lang w:val="es-ES"/>
        </w:rPr>
        <w:t xml:space="preserve"> en una sociedad legalista que utiliza el derecho para ayudar a diseñar y enmascarar—cuando no directamente valorizar—castas y males </w:t>
      </w:r>
      <w:r w:rsidRPr="00847608">
        <w:rPr>
          <w:lang w:val="es-ES"/>
        </w:rPr>
        <w:lastRenderedPageBreak/>
        <w:t>sociales que, aunque estén formalmente prohibidos por la ley, también están protegidos por ella.</w:t>
      </w:r>
      <w:r w:rsidR="00C04F69" w:rsidRPr="00847608">
        <w:rPr>
          <w:lang w:val="es-ES"/>
        </w:rPr>
        <w:t xml:space="preserve"> </w:t>
      </w:r>
      <w:r w:rsidRPr="00847608">
        <w:rPr>
          <w:lang w:val="es-ES"/>
        </w:rPr>
        <w:t>Así que no se desgaste imaginando otra cosa, y mucho menos intentando hacer lo imposible.</w:t>
      </w:r>
    </w:p>
    <w:p w14:paraId="21DFB892" w14:textId="0B18C23D" w:rsidR="004677DE" w:rsidRPr="00847608" w:rsidRDefault="004677DE" w:rsidP="00454CF9">
      <w:pPr>
        <w:pStyle w:val="p1"/>
        <w:ind w:firstLine="720"/>
        <w:rPr>
          <w:lang w:val="es-ES"/>
        </w:rPr>
      </w:pPr>
      <w:r w:rsidRPr="00847608">
        <w:rPr>
          <w:lang w:val="es-ES"/>
        </w:rPr>
        <w:t xml:space="preserve">En </w:t>
      </w:r>
      <w:r w:rsidR="00C04F69" w:rsidRPr="00847608">
        <w:rPr>
          <w:lang w:val="es-ES"/>
        </w:rPr>
        <w:t>cambio</w:t>
      </w:r>
      <w:r w:rsidRPr="00847608">
        <w:rPr>
          <w:lang w:val="es-ES"/>
        </w:rPr>
        <w:t xml:space="preserve">, utilice las ideas de la jurisprudencia de los </w:t>
      </w:r>
      <w:r w:rsidRPr="00847608">
        <w:rPr>
          <w:i/>
          <w:iCs/>
          <w:lang w:val="es-ES"/>
        </w:rPr>
        <w:t>outsiders</w:t>
      </w:r>
      <w:r w:rsidRPr="00847608">
        <w:rPr>
          <w:lang w:val="es-ES"/>
        </w:rPr>
        <w:t xml:space="preserve"> críticos—como el feminismo, la teoría crítica de la raza, </w:t>
      </w:r>
      <w:proofErr w:type="spellStart"/>
      <w:r w:rsidRPr="00847608">
        <w:rPr>
          <w:lang w:val="es-ES"/>
        </w:rPr>
        <w:t>LatCrit</w:t>
      </w:r>
      <w:proofErr w:type="spellEnd"/>
      <w:r w:rsidRPr="00847608">
        <w:rPr>
          <w:lang w:val="es-ES"/>
        </w:rPr>
        <w:t xml:space="preserve">, </w:t>
      </w:r>
      <w:proofErr w:type="spellStart"/>
      <w:r w:rsidRPr="00847608">
        <w:rPr>
          <w:lang w:val="es-ES"/>
        </w:rPr>
        <w:t>ClassCrits</w:t>
      </w:r>
      <w:proofErr w:type="spellEnd"/>
      <w:r w:rsidRPr="00847608">
        <w:rPr>
          <w:lang w:val="es-ES"/>
        </w:rPr>
        <w:t xml:space="preserve"> y la teoría </w:t>
      </w:r>
      <w:r w:rsidRPr="00847608">
        <w:rPr>
          <w:i/>
          <w:iCs/>
          <w:lang w:val="es-ES"/>
        </w:rPr>
        <w:t>queer</w:t>
      </w:r>
      <w:r w:rsidRPr="00847608">
        <w:rPr>
          <w:lang w:val="es-ES"/>
        </w:rPr>
        <w:t>—para mantenerse firme.</w:t>
      </w:r>
      <w:r w:rsidR="00454CF9" w:rsidRPr="00847608">
        <w:rPr>
          <w:lang w:val="es-ES"/>
        </w:rPr>
        <w:t xml:space="preserve"> </w:t>
      </w:r>
      <w:r w:rsidRPr="00847608">
        <w:rPr>
          <w:lang w:val="es-ES"/>
        </w:rPr>
        <w:t>Recuerde los hechos de la historia y sus legados; utilice el conocimiento crítico y la producción de saberes como herramientas de defensa ante quienes aún siguen cegados por invocaciones mágicas de la “objetividad”, de los “principios neutrales” y otras ficciones jurídicas arraigadas, o Grandes Mentiras, diseñadas para oscurecer valores básicos y verdades conocidas.</w:t>
      </w:r>
      <w:r w:rsidR="00454CF9" w:rsidRPr="00847608">
        <w:rPr>
          <w:lang w:val="es-ES"/>
        </w:rPr>
        <w:t xml:space="preserve"> </w:t>
      </w:r>
      <w:r w:rsidRPr="00847608">
        <w:rPr>
          <w:lang w:val="es-ES"/>
        </w:rPr>
        <w:t>Crea en usted mismo, en su investigación, en sus conocimientos y en su análisis.</w:t>
      </w:r>
    </w:p>
    <w:p w14:paraId="2EE93E5F" w14:textId="78F3A0D2" w:rsidR="00352C31" w:rsidRPr="00847608" w:rsidRDefault="00352C31" w:rsidP="00352C31">
      <w:pPr>
        <w:pStyle w:val="p1"/>
        <w:ind w:firstLine="720"/>
        <w:rPr>
          <w:lang w:val="es-ES"/>
        </w:rPr>
      </w:pPr>
      <w:r w:rsidRPr="00847608">
        <w:rPr>
          <w:rStyle w:val="s1"/>
          <w:lang w:val="es-ES"/>
        </w:rPr>
        <w:t>El tercer—y último—mantra</w:t>
      </w:r>
      <w:r w:rsidRPr="00847608">
        <w:rPr>
          <w:lang w:val="es-ES"/>
        </w:rPr>
        <w:t xml:space="preserve"> para enraizarse y sobrevivir es crucial: aprecie su propia finitud. Nuestras intervenciones y correcciones, tanto individuales como colectivas, siempre serán limitadas, imperfectas y frágiles. En un mundo marcado por el desvarío, nuestros esfuerzos críticos nunca han sido—ni podrán ser—lo suficientemente eficaces como para igualar la escala del daño, del abuso o de la explotación que enfrentamos. Y eso también está bien. Ojalá fuera diferente, pero no lo es. Así que nosotros—usted—hacemos lo que podemos, lo mejor que podemos. Este último mantra no pretende justificar excusas ni promover complacencia; es solo un recordatorio de que, al fin y al cabo, somos finitos. Y todo lo que intentamos será imperfecto. Pero ninguno de nosotros puede permitirse que estos hechos nos paralicen.</w:t>
      </w:r>
    </w:p>
    <w:p w14:paraId="50F1B1FE" w14:textId="51B931D6" w:rsidR="00352C31" w:rsidRPr="00847608" w:rsidRDefault="00352C31" w:rsidP="00847608">
      <w:pPr>
        <w:pStyle w:val="p1"/>
        <w:ind w:firstLine="720"/>
        <w:rPr>
          <w:lang w:val="es-ES"/>
        </w:rPr>
      </w:pPr>
      <w:r w:rsidRPr="00847608">
        <w:rPr>
          <w:lang w:val="es-ES"/>
        </w:rPr>
        <w:t>Nuestras habilidades académicas, nuestras pasiones críticas y nuestros compromisos antisubordinación constituyen una combinación única—y clave—de recursos humanos e intelectuales.</w:t>
      </w:r>
      <w:r w:rsidR="001C6127" w:rsidRPr="00847608">
        <w:rPr>
          <w:lang w:val="es-ES"/>
        </w:rPr>
        <w:t xml:space="preserve"> </w:t>
      </w:r>
      <w:r w:rsidRPr="00847608">
        <w:rPr>
          <w:lang w:val="es-ES"/>
        </w:rPr>
        <w:t>Catalicemos y sostengamos ahora, de forma colectiva, la democracia y el derecho, para combatir esta involución hacia una pesadilla nacional de retroceso y reacción.</w:t>
      </w:r>
      <w:r w:rsidR="001C6127" w:rsidRPr="00847608">
        <w:rPr>
          <w:lang w:val="es-ES"/>
        </w:rPr>
        <w:t xml:space="preserve"> </w:t>
      </w:r>
      <w:r w:rsidRPr="00847608">
        <w:rPr>
          <w:lang w:val="es-ES"/>
        </w:rPr>
        <w:t>Si Jerome estuviera hoy con nosotros, más que solo en espíritu, creo que esto es lo mínimo que esperaría—si no exigiría—tanto de sí mismo como de nosotros.</w:t>
      </w:r>
      <w:r w:rsidR="00847608" w:rsidRPr="00847608">
        <w:rPr>
          <w:lang w:val="es-ES"/>
        </w:rPr>
        <w:t xml:space="preserve"> </w:t>
      </w:r>
      <w:r w:rsidRPr="00847608">
        <w:rPr>
          <w:lang w:val="es-ES"/>
        </w:rPr>
        <w:t>Por el bien de la posteridad, espero que sepamos alzarnos a tiempo, como una red de comunidades críticas, ante las exigencias de esta ocasión trascendental y crucial.</w:t>
      </w:r>
    </w:p>
    <w:p w14:paraId="7EDC02D1" w14:textId="77777777" w:rsidR="00352C31" w:rsidRPr="00847608" w:rsidRDefault="00352C31" w:rsidP="00106155">
      <w:pPr>
        <w:autoSpaceDE w:val="0"/>
        <w:autoSpaceDN w:val="0"/>
        <w:adjustRightInd w:val="0"/>
        <w:spacing w:after="0" w:line="240" w:lineRule="auto"/>
        <w:ind w:firstLine="720"/>
        <w:rPr>
          <w:rFonts w:ascii="Times New Roman" w:hAnsi="Times New Roman" w:cs="Times New Roman"/>
          <w:kern w:val="0"/>
          <w:sz w:val="24"/>
          <w:szCs w:val="24"/>
          <w:lang w:val="es-ES"/>
        </w:rPr>
      </w:pPr>
    </w:p>
    <w:sectPr w:rsidR="00352C31" w:rsidRPr="00847608" w:rsidSect="004F22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DF755" w14:textId="77777777" w:rsidR="002B16C4" w:rsidRDefault="002B16C4" w:rsidP="00675990">
      <w:pPr>
        <w:spacing w:after="0" w:line="240" w:lineRule="auto"/>
      </w:pPr>
      <w:r>
        <w:separator/>
      </w:r>
    </w:p>
  </w:endnote>
  <w:endnote w:type="continuationSeparator" w:id="0">
    <w:p w14:paraId="2384F9FB" w14:textId="77777777" w:rsidR="002B16C4" w:rsidRDefault="002B16C4" w:rsidP="0067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3E80D" w14:textId="77777777" w:rsidR="002B16C4" w:rsidRDefault="002B16C4" w:rsidP="00675990">
      <w:pPr>
        <w:spacing w:after="0" w:line="240" w:lineRule="auto"/>
      </w:pPr>
      <w:r>
        <w:separator/>
      </w:r>
    </w:p>
  </w:footnote>
  <w:footnote w:type="continuationSeparator" w:id="0">
    <w:p w14:paraId="0C42D87D" w14:textId="77777777" w:rsidR="002B16C4" w:rsidRDefault="002B16C4" w:rsidP="00675990">
      <w:pPr>
        <w:spacing w:after="0" w:line="240" w:lineRule="auto"/>
      </w:pPr>
      <w:r>
        <w:continuationSeparator/>
      </w:r>
    </w:p>
  </w:footnote>
  <w:footnote w:id="1">
    <w:p w14:paraId="6A26E299" w14:textId="6BFC553A" w:rsidR="00C01D54" w:rsidRPr="00C01D54" w:rsidRDefault="007A0A48" w:rsidP="00C01D54">
      <w:pPr>
        <w:autoSpaceDE w:val="0"/>
        <w:autoSpaceDN w:val="0"/>
        <w:adjustRightInd w:val="0"/>
        <w:spacing w:after="0" w:line="240" w:lineRule="auto"/>
        <w:rPr>
          <w:rFonts w:ascii="Times New Roman" w:hAnsi="Times New Roman" w:cs="Times New Roman"/>
          <w:kern w:val="0"/>
          <w:sz w:val="20"/>
          <w:szCs w:val="20"/>
          <w:lang w:val="uz-Cyrl-UZ"/>
        </w:rPr>
      </w:pPr>
      <w:r w:rsidRPr="00DC6FD7">
        <w:rPr>
          <w:rStyle w:val="FootnoteReference"/>
          <w:rFonts w:ascii="Times New Roman" w:hAnsi="Times New Roman" w:cs="Times New Roman"/>
          <w:sz w:val="20"/>
          <w:szCs w:val="20"/>
        </w:rPr>
        <w:footnoteRef/>
      </w:r>
      <w:r w:rsidRPr="002D3865">
        <w:rPr>
          <w:rFonts w:ascii="Times New Roman" w:hAnsi="Times New Roman" w:cs="Times New Roman"/>
          <w:sz w:val="20"/>
          <w:szCs w:val="20"/>
          <w:lang w:val="es-PR"/>
        </w:rPr>
        <w:t xml:space="preserve"> </w:t>
      </w:r>
      <w:r w:rsidR="00C01D54" w:rsidRPr="00C01D54">
        <w:rPr>
          <w:rFonts w:ascii="Times New Roman" w:hAnsi="Times New Roman" w:cs="Times New Roman"/>
          <w:kern w:val="0"/>
          <w:sz w:val="20"/>
          <w:szCs w:val="20"/>
          <w:lang w:val="uz-Cyrl-UZ"/>
        </w:rPr>
        <w:t xml:space="preserve">El término “jurisprudencia </w:t>
      </w:r>
      <w:r w:rsidR="00EE6602">
        <w:rPr>
          <w:rFonts w:ascii="Times New Roman" w:hAnsi="Times New Roman" w:cs="Times New Roman"/>
          <w:kern w:val="0"/>
          <w:sz w:val="20"/>
          <w:szCs w:val="20"/>
          <w:lang w:val="uz-Cyrl-UZ"/>
        </w:rPr>
        <w:t>periférica</w:t>
      </w:r>
      <w:r w:rsidR="00C01D54" w:rsidRPr="00C01D54">
        <w:rPr>
          <w:rFonts w:ascii="Times New Roman" w:hAnsi="Times New Roman" w:cs="Times New Roman"/>
          <w:kern w:val="0"/>
          <w:sz w:val="20"/>
          <w:szCs w:val="20"/>
          <w:lang w:val="uz-Cyrl-UZ"/>
        </w:rPr>
        <w:t>” (</w:t>
      </w:r>
      <w:r w:rsidR="00C01D54" w:rsidRPr="00C01D54">
        <w:rPr>
          <w:rFonts w:ascii="Times New Roman" w:hAnsi="Times New Roman" w:cs="Times New Roman"/>
          <w:i/>
          <w:iCs/>
          <w:kern w:val="0"/>
          <w:sz w:val="20"/>
          <w:szCs w:val="20"/>
          <w:lang w:val="uz-Cyrl-UZ"/>
        </w:rPr>
        <w:t>outsider jurisprudence</w:t>
      </w:r>
      <w:r w:rsidR="00C01D54" w:rsidRPr="00C01D54">
        <w:rPr>
          <w:rFonts w:ascii="Times New Roman" w:hAnsi="Times New Roman" w:cs="Times New Roman"/>
          <w:kern w:val="0"/>
          <w:sz w:val="20"/>
          <w:szCs w:val="20"/>
          <w:lang w:val="uz-Cyrl-UZ"/>
        </w:rPr>
        <w:t>) fue utilizado por primera vez por la profesora Mari J. Matsuda.</w:t>
      </w:r>
    </w:p>
    <w:p w14:paraId="7E4CD3F5" w14:textId="514F6814" w:rsidR="007A0A48" w:rsidRPr="00C01D54" w:rsidRDefault="00C01D54" w:rsidP="007A0A48">
      <w:pPr>
        <w:autoSpaceDE w:val="0"/>
        <w:autoSpaceDN w:val="0"/>
        <w:adjustRightInd w:val="0"/>
        <w:spacing w:after="0" w:line="240" w:lineRule="auto"/>
        <w:rPr>
          <w:rFonts w:ascii="Times New Roman" w:hAnsi="Times New Roman" w:cs="Times New Roman"/>
          <w:kern w:val="0"/>
          <w:sz w:val="20"/>
          <w:szCs w:val="20"/>
          <w:lang w:val="uz-Cyrl-UZ"/>
        </w:rPr>
      </w:pPr>
      <w:r w:rsidRPr="00C01D54">
        <w:rPr>
          <w:rFonts w:ascii="Times New Roman" w:hAnsi="Times New Roman" w:cs="Times New Roman"/>
          <w:i/>
          <w:iCs/>
          <w:kern w:val="0"/>
          <w:sz w:val="20"/>
          <w:szCs w:val="20"/>
          <w:lang w:val="uz-Cyrl-UZ"/>
        </w:rPr>
        <w:t>Véase</w:t>
      </w:r>
      <w:r w:rsidRPr="00C01D54">
        <w:rPr>
          <w:rFonts w:ascii="Times New Roman" w:hAnsi="Times New Roman" w:cs="Times New Roman"/>
          <w:kern w:val="0"/>
          <w:sz w:val="20"/>
          <w:szCs w:val="20"/>
          <w:lang w:val="uz-Cyrl-UZ"/>
        </w:rPr>
        <w:t xml:space="preserve"> Mari J. Matsuda, </w:t>
      </w:r>
      <w:r w:rsidRPr="00C01D54">
        <w:rPr>
          <w:rFonts w:ascii="Times New Roman" w:hAnsi="Times New Roman" w:cs="Times New Roman"/>
          <w:i/>
          <w:iCs/>
          <w:kern w:val="0"/>
          <w:sz w:val="20"/>
          <w:szCs w:val="20"/>
          <w:lang w:val="uz-Cyrl-UZ"/>
        </w:rPr>
        <w:t>Public Response to Racist Speech: Considering the Victim’s Story</w:t>
      </w:r>
      <w:r w:rsidRPr="00C01D54">
        <w:rPr>
          <w:rFonts w:ascii="Times New Roman" w:hAnsi="Times New Roman" w:cs="Times New Roman"/>
          <w:kern w:val="0"/>
          <w:sz w:val="20"/>
          <w:szCs w:val="20"/>
          <w:lang w:val="uz-Cyrl-UZ"/>
        </w:rPr>
        <w:t xml:space="preserve">, 87 </w:t>
      </w:r>
      <w:r w:rsidRPr="00C01D54">
        <w:rPr>
          <w:rFonts w:ascii="Times New Roman" w:hAnsi="Times New Roman" w:cs="Times New Roman"/>
          <w:i/>
          <w:iCs/>
          <w:kern w:val="0"/>
          <w:sz w:val="20"/>
          <w:szCs w:val="20"/>
          <w:lang w:val="uz-Cyrl-UZ"/>
        </w:rPr>
        <w:t>Michigan Law Review</w:t>
      </w:r>
      <w:r w:rsidRPr="00C01D54">
        <w:rPr>
          <w:rFonts w:ascii="Times New Roman" w:hAnsi="Times New Roman" w:cs="Times New Roman"/>
          <w:kern w:val="0"/>
          <w:sz w:val="20"/>
          <w:szCs w:val="20"/>
          <w:lang w:val="uz-Cyrl-UZ"/>
        </w:rPr>
        <w:t xml:space="preserve"> 2320, 2323 (1989).</w:t>
      </w:r>
      <w:r w:rsidR="00EE6602">
        <w:rPr>
          <w:rFonts w:ascii="Times New Roman" w:hAnsi="Times New Roman" w:cs="Times New Roman"/>
          <w:kern w:val="0"/>
          <w:sz w:val="20"/>
          <w:szCs w:val="20"/>
          <w:lang w:val="uz-Cyrl-UZ"/>
        </w:rPr>
        <w:t xml:space="preserve"> </w:t>
      </w:r>
      <w:r w:rsidRPr="00C01D54">
        <w:rPr>
          <w:rFonts w:ascii="Times New Roman" w:hAnsi="Times New Roman" w:cs="Times New Roman"/>
          <w:kern w:val="0"/>
          <w:sz w:val="20"/>
          <w:szCs w:val="20"/>
          <w:lang w:val="uz-Cyrl-UZ"/>
        </w:rPr>
        <w:t>Aquí, el término se precede con “crítica” para destacar esta característica clave del cuerpo de trabajo al que pertenece la teoría LatCrit.</w:t>
      </w:r>
      <w:r w:rsidR="002D3F85">
        <w:rPr>
          <w:rFonts w:ascii="Times New Roman" w:hAnsi="Times New Roman" w:cs="Times New Roman"/>
          <w:kern w:val="0"/>
          <w:sz w:val="20"/>
          <w:szCs w:val="20"/>
          <w:lang w:val="uz-Cyrl-UZ"/>
        </w:rPr>
        <w:t xml:space="preserve"> </w:t>
      </w:r>
      <w:r w:rsidRPr="00C01D54">
        <w:rPr>
          <w:rFonts w:ascii="Times New Roman" w:hAnsi="Times New Roman" w:cs="Times New Roman"/>
          <w:kern w:val="0"/>
          <w:sz w:val="20"/>
          <w:szCs w:val="20"/>
          <w:lang w:val="uz-Cyrl-UZ"/>
        </w:rPr>
        <w:t xml:space="preserve">La teoría LatCrit es una vertiente de la jurisprudencia crítica </w:t>
      </w:r>
      <w:r w:rsidR="002D3F85">
        <w:rPr>
          <w:rFonts w:ascii="Times New Roman" w:hAnsi="Times New Roman" w:cs="Times New Roman"/>
          <w:kern w:val="0"/>
          <w:sz w:val="20"/>
          <w:szCs w:val="20"/>
          <w:lang w:val="uz-Cyrl-UZ"/>
        </w:rPr>
        <w:t>periférica</w:t>
      </w:r>
      <w:r w:rsidRPr="00C01D54">
        <w:rPr>
          <w:rFonts w:ascii="Times New Roman" w:hAnsi="Times New Roman" w:cs="Times New Roman"/>
          <w:kern w:val="0"/>
          <w:sz w:val="20"/>
          <w:szCs w:val="20"/>
          <w:lang w:val="uz-Cyrl-UZ"/>
        </w:rPr>
        <w:t xml:space="preserve"> (</w:t>
      </w:r>
      <w:r w:rsidRPr="00C01D54">
        <w:rPr>
          <w:rFonts w:ascii="Times New Roman" w:hAnsi="Times New Roman" w:cs="Times New Roman"/>
          <w:i/>
          <w:iCs/>
          <w:kern w:val="0"/>
          <w:sz w:val="20"/>
          <w:szCs w:val="20"/>
          <w:lang w:val="uz-Cyrl-UZ"/>
        </w:rPr>
        <w:t>critical outsider jurisprudence</w:t>
      </w:r>
      <w:r w:rsidRPr="00C01D54">
        <w:rPr>
          <w:rFonts w:ascii="Times New Roman" w:hAnsi="Times New Roman" w:cs="Times New Roman"/>
          <w:kern w:val="0"/>
          <w:sz w:val="20"/>
          <w:szCs w:val="20"/>
          <w:lang w:val="uz-Cyrl-UZ"/>
        </w:rPr>
        <w:t>), junto con la teoría crítica de la raza, el feminismo crítico racial, los estudios jurídicos asiático-americanos y la teoría jurídica Queer.</w:t>
      </w:r>
      <w:r w:rsidR="002D3F85">
        <w:rPr>
          <w:rFonts w:ascii="Times New Roman" w:hAnsi="Times New Roman" w:cs="Times New Roman"/>
          <w:kern w:val="0"/>
          <w:sz w:val="20"/>
          <w:szCs w:val="20"/>
          <w:lang w:val="uz-Cyrl-UZ"/>
        </w:rPr>
        <w:t xml:space="preserve"> </w:t>
      </w:r>
      <w:r w:rsidRPr="00C01D54">
        <w:rPr>
          <w:rFonts w:ascii="Times New Roman" w:hAnsi="Times New Roman" w:cs="Times New Roman"/>
          <w:i/>
          <w:iCs/>
          <w:kern w:val="0"/>
          <w:sz w:val="20"/>
          <w:szCs w:val="20"/>
          <w:lang w:val="uz-Cyrl-UZ"/>
        </w:rPr>
        <w:t>Véase</w:t>
      </w:r>
      <w:r w:rsidRPr="00C01D54">
        <w:rPr>
          <w:rFonts w:ascii="Times New Roman" w:hAnsi="Times New Roman" w:cs="Times New Roman"/>
          <w:kern w:val="0"/>
          <w:sz w:val="20"/>
          <w:szCs w:val="20"/>
          <w:lang w:val="uz-Cyrl-UZ"/>
        </w:rPr>
        <w:t xml:space="preserve"> también nota 6 </w:t>
      </w:r>
      <w:r w:rsidRPr="00C01D54">
        <w:rPr>
          <w:rFonts w:ascii="Times New Roman" w:hAnsi="Times New Roman" w:cs="Times New Roman"/>
          <w:i/>
          <w:iCs/>
          <w:kern w:val="0"/>
          <w:sz w:val="20"/>
          <w:szCs w:val="20"/>
          <w:lang w:val="uz-Cyrl-UZ"/>
        </w:rPr>
        <w:t>infra</w:t>
      </w:r>
      <w:r w:rsidRPr="00C01D54">
        <w:rPr>
          <w:rFonts w:ascii="Times New Roman" w:hAnsi="Times New Roman" w:cs="Times New Roman"/>
          <w:kern w:val="0"/>
          <w:sz w:val="20"/>
          <w:szCs w:val="20"/>
          <w:lang w:val="uz-Cyrl-UZ"/>
        </w:rPr>
        <w:t xml:space="preserve"> (sobre “OutCrit”).</w:t>
      </w:r>
    </w:p>
  </w:footnote>
  <w:footnote w:id="2">
    <w:p w14:paraId="3CD1D3B3" w14:textId="47080FC8" w:rsidR="00F37649" w:rsidRPr="002D3865" w:rsidRDefault="00F37649" w:rsidP="00F37649">
      <w:pPr>
        <w:pStyle w:val="FootnoteText"/>
        <w:rPr>
          <w:rFonts w:ascii="Times New Roman" w:hAnsi="Times New Roman" w:cs="Times New Roman"/>
          <w:lang w:val="uz-Cyrl-UZ"/>
        </w:rPr>
      </w:pPr>
      <w:r w:rsidRPr="00DC6FD7">
        <w:rPr>
          <w:rStyle w:val="FootnoteReference"/>
          <w:rFonts w:ascii="Times New Roman" w:hAnsi="Times New Roman" w:cs="Times New Roman"/>
        </w:rPr>
        <w:footnoteRef/>
      </w:r>
      <w:r w:rsidRPr="00A14E3A">
        <w:rPr>
          <w:rFonts w:ascii="Times New Roman" w:hAnsi="Times New Roman" w:cs="Times New Roman"/>
          <w:lang w:val="es-PR"/>
        </w:rPr>
        <w:t xml:space="preserve"> </w:t>
      </w:r>
      <w:r w:rsidR="002D3865" w:rsidRPr="002D3865">
        <w:rPr>
          <w:rFonts w:ascii="Times New Roman" w:hAnsi="Times New Roman" w:cs="Times New Roman"/>
          <w:lang w:val="uz-Cyrl-UZ"/>
        </w:rPr>
        <w:t>Jerome falleció en febrero de 2004.</w:t>
      </w:r>
      <w:r w:rsidR="002D3865">
        <w:rPr>
          <w:rFonts w:ascii="Times New Roman" w:hAnsi="Times New Roman" w:cs="Times New Roman"/>
          <w:lang w:val="uz-Cyrl-UZ"/>
        </w:rPr>
        <w:t xml:space="preserve"> </w:t>
      </w:r>
      <w:r w:rsidR="002D3865" w:rsidRPr="002D3865">
        <w:rPr>
          <w:rFonts w:ascii="Times New Roman" w:hAnsi="Times New Roman" w:cs="Times New Roman"/>
          <w:lang w:val="uz-Cyrl-UZ"/>
        </w:rPr>
        <w:t xml:space="preserve">Para más información sobre Jerome Culp, Jr. </w:t>
      </w:r>
      <w:r w:rsidR="002D3865" w:rsidRPr="002D3865">
        <w:rPr>
          <w:rFonts w:ascii="Times New Roman" w:hAnsi="Times New Roman" w:cs="Times New Roman"/>
          <w:lang w:val="uz-Cyrl-UZ"/>
        </w:rPr>
        <w:t xml:space="preserve">y su trabajo, visite el sitio web de LatCrit </w:t>
      </w:r>
      <w:r w:rsidR="002D3865" w:rsidRPr="002D3865">
        <w:rPr>
          <w:rFonts w:ascii="Times New Roman" w:hAnsi="Times New Roman" w:cs="Times New Roman"/>
          <w:lang w:val="uz-Cyrl-UZ"/>
        </w:rPr>
        <w:t xml:space="preserve">en </w:t>
      </w:r>
      <w:r w:rsidR="002D3865">
        <w:rPr>
          <w:rFonts w:ascii="Times New Roman" w:hAnsi="Times New Roman" w:cs="Times New Roman"/>
          <w:lang w:val="uz-Cyrl-UZ"/>
        </w:rPr>
        <w:fldChar w:fldCharType="begin"/>
      </w:r>
      <w:r w:rsidR="002D3865">
        <w:rPr>
          <w:rFonts w:ascii="Times New Roman" w:hAnsi="Times New Roman" w:cs="Times New Roman"/>
          <w:lang w:val="uz-Cyrl-UZ"/>
        </w:rPr>
        <w:instrText>HYPERLINK "</w:instrText>
      </w:r>
      <w:r w:rsidR="002D3865" w:rsidRPr="002D3865">
        <w:rPr>
          <w:rFonts w:ascii="Times New Roman" w:hAnsi="Times New Roman" w:cs="Times New Roman"/>
          <w:lang w:val="uz-Cyrl-UZ"/>
        </w:rPr>
        <w:instrText>http://www.latcrit.org</w:instrText>
      </w:r>
      <w:r w:rsidR="002D3865">
        <w:rPr>
          <w:rFonts w:ascii="Times New Roman" w:hAnsi="Times New Roman" w:cs="Times New Roman"/>
          <w:lang w:val="uz-Cyrl-UZ"/>
        </w:rPr>
        <w:instrText>"</w:instrText>
      </w:r>
      <w:r w:rsidR="002D3865">
        <w:rPr>
          <w:rFonts w:ascii="Times New Roman" w:hAnsi="Times New Roman" w:cs="Times New Roman"/>
          <w:lang w:val="uz-Cyrl-UZ"/>
        </w:rPr>
        <w:fldChar w:fldCharType="separate"/>
      </w:r>
      <w:r w:rsidR="002D3865" w:rsidRPr="002D3865">
        <w:rPr>
          <w:rStyle w:val="Hyperlink"/>
          <w:rFonts w:ascii="Times New Roman" w:hAnsi="Times New Roman" w:cs="Times New Roman"/>
          <w:lang w:val="uz-Cyrl-UZ"/>
        </w:rPr>
        <w:t>http://www.latcrit.org</w:t>
      </w:r>
      <w:r w:rsidR="002D3865">
        <w:rPr>
          <w:rFonts w:ascii="Times New Roman" w:hAnsi="Times New Roman" w:cs="Times New Roman"/>
          <w:lang w:val="uz-Cyrl-UZ"/>
        </w:rPr>
        <w:fldChar w:fldCharType="end"/>
      </w:r>
      <w:r w:rsidR="002D3865" w:rsidRPr="002D3865">
        <w:rPr>
          <w:rFonts w:ascii="Times New Roman" w:hAnsi="Times New Roman" w:cs="Times New Roman"/>
          <w:lang w:val="uz-Cyrl-UZ"/>
        </w:rPr>
        <w:t>.</w:t>
      </w:r>
      <w:r w:rsidR="002D3865">
        <w:rPr>
          <w:rFonts w:ascii="Times New Roman" w:hAnsi="Times New Roman" w:cs="Times New Roman"/>
          <w:lang w:val="uz-Cyrl-UZ"/>
        </w:rPr>
        <w:t xml:space="preserve"> </w:t>
      </w:r>
    </w:p>
  </w:footnote>
  <w:footnote w:id="3">
    <w:p w14:paraId="22B45CFB" w14:textId="4ED3E254" w:rsidR="00A14E3A" w:rsidRPr="00A14E3A" w:rsidRDefault="007A0A48" w:rsidP="00A14E3A">
      <w:pPr>
        <w:pStyle w:val="FootnoteText"/>
        <w:rPr>
          <w:rFonts w:ascii="Times New Roman" w:hAnsi="Times New Roman" w:cs="Times New Roman"/>
          <w:kern w:val="0"/>
          <w:lang w:val="uz-Cyrl-UZ"/>
        </w:rPr>
      </w:pPr>
      <w:r w:rsidRPr="00DC6FD7">
        <w:rPr>
          <w:rStyle w:val="FootnoteReference"/>
          <w:rFonts w:ascii="Times New Roman" w:hAnsi="Times New Roman" w:cs="Times New Roman"/>
        </w:rPr>
        <w:footnoteRef/>
      </w:r>
      <w:r w:rsidRPr="00A14E3A">
        <w:rPr>
          <w:rFonts w:ascii="Times New Roman" w:hAnsi="Times New Roman" w:cs="Times New Roman"/>
          <w:lang w:val="uz-Cyrl-UZ"/>
        </w:rPr>
        <w:t xml:space="preserve"> </w:t>
      </w:r>
      <w:r w:rsidR="00A14E3A" w:rsidRPr="00A14E3A">
        <w:rPr>
          <w:rFonts w:ascii="Times New Roman" w:hAnsi="Times New Roman" w:cs="Times New Roman"/>
          <w:kern w:val="0"/>
          <w:lang w:val="uz-Cyrl-UZ"/>
        </w:rPr>
        <w:t xml:space="preserve">Para una visión general de la experiencia LatCrit, desde sus orígenes hasta el presente, </w:t>
      </w:r>
      <w:r w:rsidR="00A14E3A" w:rsidRPr="00A14E3A">
        <w:rPr>
          <w:rFonts w:ascii="Times New Roman" w:hAnsi="Times New Roman" w:cs="Times New Roman"/>
          <w:i/>
          <w:iCs/>
          <w:kern w:val="0"/>
          <w:lang w:val="uz-Cyrl-UZ"/>
        </w:rPr>
        <w:t>véase</w:t>
      </w:r>
      <w:r w:rsidR="00A14E3A" w:rsidRPr="00A14E3A">
        <w:rPr>
          <w:rFonts w:ascii="Times New Roman" w:hAnsi="Times New Roman" w:cs="Times New Roman"/>
          <w:kern w:val="0"/>
          <w:lang w:val="uz-Cyrl-UZ"/>
        </w:rPr>
        <w:t xml:space="preserve"> Berta Esperanza Hernández-Truyol, Angela P. Harris y Francisco Valdés, </w:t>
      </w:r>
      <w:r w:rsidR="00A14E3A" w:rsidRPr="00A14E3A">
        <w:rPr>
          <w:rFonts w:ascii="Times New Roman" w:hAnsi="Times New Roman" w:cs="Times New Roman"/>
          <w:i/>
          <w:iCs/>
          <w:kern w:val="0"/>
          <w:lang w:val="uz-Cyrl-UZ"/>
        </w:rPr>
        <w:t>Beyond the First Decade: A Forward-Looking History of LatCrit Theory, Community and Praxis</w:t>
      </w:r>
      <w:r w:rsidR="00A14E3A" w:rsidRPr="00A14E3A">
        <w:rPr>
          <w:rFonts w:ascii="Times New Roman" w:hAnsi="Times New Roman" w:cs="Times New Roman"/>
          <w:kern w:val="0"/>
          <w:lang w:val="uz-Cyrl-UZ"/>
        </w:rPr>
        <w:t>, 17 La Raza Law Journal 169 (2006).</w:t>
      </w:r>
    </w:p>
    <w:p w14:paraId="63F0E09A" w14:textId="53A1A6B9" w:rsidR="007A0A48" w:rsidRPr="00A14E3A" w:rsidRDefault="00A14E3A" w:rsidP="00A14E3A">
      <w:pPr>
        <w:pStyle w:val="FootnoteText"/>
        <w:rPr>
          <w:rFonts w:ascii="Times New Roman" w:hAnsi="Times New Roman" w:cs="Times New Roman"/>
          <w:kern w:val="0"/>
          <w:lang w:val="es-PR"/>
        </w:rPr>
      </w:pPr>
      <w:r w:rsidRPr="00A14E3A">
        <w:rPr>
          <w:rFonts w:ascii="Times New Roman" w:hAnsi="Times New Roman" w:cs="Times New Roman"/>
          <w:kern w:val="0"/>
          <w:lang w:val="es-PR"/>
        </w:rPr>
        <w:t>El término “LatCrit” se acuñó en un coloquio celebrado en Puerto Rico</w:t>
      </w:r>
      <w:r>
        <w:rPr>
          <w:rFonts w:ascii="Times New Roman" w:hAnsi="Times New Roman" w:cs="Times New Roman"/>
          <w:kern w:val="0"/>
          <w:lang w:val="es-PR"/>
        </w:rPr>
        <w:t>,</w:t>
      </w:r>
      <w:r w:rsidRPr="00A14E3A">
        <w:rPr>
          <w:rFonts w:ascii="Times New Roman" w:hAnsi="Times New Roman" w:cs="Times New Roman"/>
          <w:kern w:val="0"/>
          <w:lang w:val="es-PR"/>
        </w:rPr>
        <w:t xml:space="preserve"> en 1995</w:t>
      </w:r>
      <w:r>
        <w:rPr>
          <w:rFonts w:ascii="Times New Roman" w:hAnsi="Times New Roman" w:cs="Times New Roman"/>
          <w:kern w:val="0"/>
          <w:lang w:val="es-PR"/>
        </w:rPr>
        <w:t>,</w:t>
      </w:r>
      <w:r w:rsidRPr="00A14E3A">
        <w:rPr>
          <w:rFonts w:ascii="Times New Roman" w:hAnsi="Times New Roman" w:cs="Times New Roman"/>
          <w:kern w:val="0"/>
          <w:lang w:val="es-PR"/>
        </w:rPr>
        <w:t xml:space="preserve"> sobre la relación entre la teoría crítica de la raza y las comunidades “latinas/os”.</w:t>
      </w:r>
      <w:r>
        <w:rPr>
          <w:rFonts w:ascii="Times New Roman" w:hAnsi="Times New Roman" w:cs="Times New Roman"/>
          <w:kern w:val="0"/>
          <w:lang w:val="es-PR"/>
        </w:rPr>
        <w:t xml:space="preserve"> </w:t>
      </w:r>
      <w:r w:rsidRPr="00A14E3A">
        <w:rPr>
          <w:rFonts w:ascii="Times New Roman" w:hAnsi="Times New Roman" w:cs="Times New Roman"/>
          <w:kern w:val="0"/>
          <w:lang w:val="es-PR"/>
        </w:rPr>
        <w:t>A partir de ese coloquio se organizaron luego las conferencias anuales.</w:t>
      </w:r>
      <w:r>
        <w:rPr>
          <w:rFonts w:ascii="Times New Roman" w:hAnsi="Times New Roman" w:cs="Times New Roman"/>
          <w:kern w:val="0"/>
          <w:lang w:val="es-PR"/>
        </w:rPr>
        <w:t xml:space="preserve"> </w:t>
      </w:r>
      <w:r w:rsidRPr="00A14E3A">
        <w:rPr>
          <w:rFonts w:ascii="Times New Roman" w:hAnsi="Times New Roman" w:cs="Times New Roman"/>
          <w:i/>
          <w:iCs/>
          <w:kern w:val="0"/>
          <w:lang w:val="es-PR"/>
        </w:rPr>
        <w:t>Véase</w:t>
      </w:r>
      <w:r w:rsidRPr="00A14E3A">
        <w:rPr>
          <w:rFonts w:ascii="Times New Roman" w:hAnsi="Times New Roman" w:cs="Times New Roman"/>
          <w:kern w:val="0"/>
          <w:lang w:val="es-PR"/>
        </w:rPr>
        <w:t xml:space="preserve"> Francisco Valdés, </w:t>
      </w:r>
      <w:r w:rsidRPr="00A14E3A">
        <w:rPr>
          <w:rFonts w:ascii="Times New Roman" w:hAnsi="Times New Roman" w:cs="Times New Roman"/>
          <w:i/>
          <w:iCs/>
          <w:kern w:val="0"/>
          <w:lang w:val="es-PR"/>
        </w:rPr>
        <w:t>Poised at the Cusp: LatCrit Theory, Outsider Jurisprudence and Latina/o Self-Empowerment</w:t>
      </w:r>
      <w:r w:rsidRPr="00A14E3A">
        <w:rPr>
          <w:rFonts w:ascii="Times New Roman" w:hAnsi="Times New Roman" w:cs="Times New Roman"/>
          <w:kern w:val="0"/>
          <w:lang w:val="es-PR"/>
        </w:rPr>
        <w:t>, 2 Harvard Latino Law Review 1 (1997) (presentación de los trabajos y actas de la primera conferencia LatCrit).</w:t>
      </w:r>
    </w:p>
  </w:footnote>
  <w:footnote w:id="4">
    <w:p w14:paraId="377047B0" w14:textId="77777777" w:rsidR="007A0A48" w:rsidRPr="00DC6FD7" w:rsidRDefault="007A0A48" w:rsidP="007A0A48">
      <w:pPr>
        <w:pStyle w:val="FootnoteText"/>
        <w:rPr>
          <w:rFonts w:ascii="Times New Roman" w:hAnsi="Times New Roman" w:cs="Times New Roman"/>
        </w:rPr>
      </w:pPr>
      <w:r w:rsidRPr="00DC6FD7">
        <w:rPr>
          <w:rStyle w:val="FootnoteReference"/>
          <w:rFonts w:ascii="Times New Roman" w:hAnsi="Times New Roman" w:cs="Times New Roman"/>
        </w:rPr>
        <w:t>4</w:t>
      </w:r>
      <w:r w:rsidRPr="00DC6FD7">
        <w:rPr>
          <w:rFonts w:ascii="Times New Roman" w:hAnsi="Times New Roman" w:cs="Times New Roman"/>
        </w:rPr>
        <w:t xml:space="preserve"> Jerome </w:t>
      </w:r>
      <w:proofErr w:type="spellStart"/>
      <w:r w:rsidRPr="00DC6FD7">
        <w:rPr>
          <w:rFonts w:ascii="Times New Roman" w:hAnsi="Times New Roman" w:cs="Times New Roman"/>
        </w:rPr>
        <w:t>McCristal</w:t>
      </w:r>
      <w:proofErr w:type="spellEnd"/>
      <w:r w:rsidRPr="00DC6FD7">
        <w:rPr>
          <w:rFonts w:ascii="Times New Roman" w:hAnsi="Times New Roman" w:cs="Times New Roman"/>
        </w:rPr>
        <w:t xml:space="preserve"> Culp, Jr., </w:t>
      </w:r>
      <w:r w:rsidRPr="00DC6FD7">
        <w:rPr>
          <w:rFonts w:ascii="Times New Roman" w:hAnsi="Times New Roman" w:cs="Times New Roman"/>
          <w:i/>
        </w:rPr>
        <w:t>Latinos, Blacks, Others, and the New Legal Narrative</w:t>
      </w:r>
      <w:r w:rsidRPr="00DC6FD7">
        <w:rPr>
          <w:rFonts w:ascii="Times New Roman" w:hAnsi="Times New Roman" w:cs="Times New Roman"/>
        </w:rPr>
        <w:t>, 2 HARV. LAT. L. REV. 479 (1997).</w:t>
      </w:r>
    </w:p>
  </w:footnote>
  <w:footnote w:id="5">
    <w:p w14:paraId="04B2580B" w14:textId="6B53CF04" w:rsidR="00F37649" w:rsidRPr="00C61812" w:rsidRDefault="00F37649" w:rsidP="00C61812">
      <w:pPr>
        <w:pStyle w:val="FootnoteText"/>
        <w:rPr>
          <w:rFonts w:ascii="Times New Roman" w:hAnsi="Times New Roman" w:cs="Times New Roman"/>
          <w:lang w:val="es-PR"/>
        </w:rPr>
      </w:pPr>
      <w:r w:rsidRPr="008D39AA">
        <w:rPr>
          <w:rStyle w:val="FootnoteReference"/>
          <w:rFonts w:ascii="Times New Roman" w:hAnsi="Times New Roman" w:cs="Times New Roman"/>
          <w:lang w:val="es-PR"/>
        </w:rPr>
        <w:t>5</w:t>
      </w:r>
      <w:r w:rsidRPr="008D39AA">
        <w:rPr>
          <w:rFonts w:ascii="Times New Roman" w:hAnsi="Times New Roman" w:cs="Times New Roman"/>
          <w:lang w:val="es-PR"/>
        </w:rPr>
        <w:t xml:space="preserve"> </w:t>
      </w:r>
      <w:r w:rsidR="00C61812" w:rsidRPr="008D39AA">
        <w:rPr>
          <w:rFonts w:ascii="Times New Roman" w:hAnsi="Times New Roman" w:cs="Times New Roman"/>
          <w:lang w:val="es-PR"/>
        </w:rPr>
        <w:t xml:space="preserve">La Jerome McCristal Culp, Jr. </w:t>
      </w:r>
      <w:r w:rsidR="00C61812" w:rsidRPr="00C61812">
        <w:rPr>
          <w:rFonts w:ascii="Times New Roman" w:hAnsi="Times New Roman" w:cs="Times New Roman"/>
          <w:lang w:val="es-PR"/>
        </w:rPr>
        <w:t>Memorial LatCrit Lecture (“JCL”) honra al miembro fundador de la Junta, Jerome Culp, Jr., quien falleció en 2004.</w:t>
      </w:r>
      <w:r w:rsidR="00C61812">
        <w:rPr>
          <w:rFonts w:ascii="Times New Roman" w:hAnsi="Times New Roman" w:cs="Times New Roman"/>
          <w:lang w:val="es-PR"/>
        </w:rPr>
        <w:t xml:space="preserve"> </w:t>
      </w:r>
      <w:r w:rsidR="00C61812" w:rsidRPr="00C61812">
        <w:rPr>
          <w:rFonts w:ascii="Times New Roman" w:hAnsi="Times New Roman" w:cs="Times New Roman"/>
          <w:lang w:val="es-PR"/>
        </w:rPr>
        <w:t>Esta conferencia anual fue creada para asegurar la continuación sustantiva de su trabajo en Derecho, política pública y justicia socioeconómica.</w:t>
      </w:r>
      <w:r w:rsidR="005716E4">
        <w:rPr>
          <w:rFonts w:ascii="Times New Roman" w:hAnsi="Times New Roman" w:cs="Times New Roman"/>
          <w:lang w:val="es-PR"/>
        </w:rPr>
        <w:t xml:space="preserve"> </w:t>
      </w:r>
      <w:r w:rsidR="00C61812" w:rsidRPr="00C61812">
        <w:rPr>
          <w:rFonts w:ascii="Times New Roman" w:hAnsi="Times New Roman" w:cs="Times New Roman"/>
          <w:lang w:val="es-PR"/>
        </w:rPr>
        <w:t>Cada año, la persona conferencista invitada es seleccionada por un comité.</w:t>
      </w:r>
      <w:r w:rsidR="005716E4">
        <w:rPr>
          <w:rFonts w:ascii="Times New Roman" w:hAnsi="Times New Roman" w:cs="Times New Roman"/>
          <w:lang w:val="es-PR"/>
        </w:rPr>
        <w:t xml:space="preserve"> </w:t>
      </w:r>
      <w:r w:rsidR="00C61812" w:rsidRPr="00C61812">
        <w:rPr>
          <w:rFonts w:ascii="Times New Roman" w:hAnsi="Times New Roman" w:cs="Times New Roman"/>
          <w:lang w:val="es-PR"/>
        </w:rPr>
        <w:t xml:space="preserve">Para más información, visite el sitio web de LatCrit </w:t>
      </w:r>
      <w:r w:rsidR="00C61812" w:rsidRPr="00C61812">
        <w:rPr>
          <w:rFonts w:ascii="Times New Roman" w:hAnsi="Times New Roman" w:cs="Times New Roman"/>
          <w:lang w:val="es-PR"/>
        </w:rPr>
        <w:t xml:space="preserve">en </w:t>
      </w:r>
      <w:r w:rsidR="005716E4">
        <w:rPr>
          <w:rFonts w:ascii="Times New Roman" w:hAnsi="Times New Roman" w:cs="Times New Roman"/>
          <w:lang w:val="es-PR"/>
        </w:rPr>
        <w:fldChar w:fldCharType="begin"/>
      </w:r>
      <w:r w:rsidR="005716E4">
        <w:rPr>
          <w:rFonts w:ascii="Times New Roman" w:hAnsi="Times New Roman" w:cs="Times New Roman"/>
          <w:lang w:val="es-PR"/>
        </w:rPr>
        <w:instrText>HYPERLINK "</w:instrText>
      </w:r>
      <w:r w:rsidR="005716E4" w:rsidRPr="00C61812">
        <w:rPr>
          <w:rFonts w:ascii="Times New Roman" w:hAnsi="Times New Roman" w:cs="Times New Roman"/>
          <w:lang w:val="es-PR"/>
        </w:rPr>
        <w:instrText>http://www.latcrit.org</w:instrText>
      </w:r>
      <w:r w:rsidR="005716E4">
        <w:rPr>
          <w:rFonts w:ascii="Times New Roman" w:hAnsi="Times New Roman" w:cs="Times New Roman"/>
          <w:lang w:val="es-PR"/>
        </w:rPr>
        <w:instrText>"</w:instrText>
      </w:r>
      <w:r w:rsidR="005716E4">
        <w:rPr>
          <w:rFonts w:ascii="Times New Roman" w:hAnsi="Times New Roman" w:cs="Times New Roman"/>
          <w:lang w:val="es-PR"/>
        </w:rPr>
        <w:fldChar w:fldCharType="separate"/>
      </w:r>
      <w:r w:rsidR="005716E4" w:rsidRPr="00CA0306">
        <w:rPr>
          <w:rStyle w:val="Hyperlink"/>
          <w:rFonts w:ascii="Times New Roman" w:hAnsi="Times New Roman" w:cs="Times New Roman"/>
          <w:lang w:val="es-PR"/>
        </w:rPr>
        <w:t>http://www.latcrit.org</w:t>
      </w:r>
      <w:r w:rsidR="005716E4">
        <w:rPr>
          <w:rFonts w:ascii="Times New Roman" w:hAnsi="Times New Roman" w:cs="Times New Roman"/>
          <w:lang w:val="es-PR"/>
        </w:rPr>
        <w:fldChar w:fldCharType="end"/>
      </w:r>
      <w:r w:rsidR="00C61812" w:rsidRPr="00C61812">
        <w:rPr>
          <w:rFonts w:ascii="Times New Roman" w:hAnsi="Times New Roman" w:cs="Times New Roman"/>
          <w:lang w:val="es-PR"/>
        </w:rPr>
        <w:t>.</w:t>
      </w:r>
      <w:r w:rsidR="005716E4">
        <w:rPr>
          <w:rFonts w:ascii="Times New Roman" w:hAnsi="Times New Roman" w:cs="Times New Roman"/>
          <w:lang w:val="es-PR"/>
        </w:rPr>
        <w:t xml:space="preserve"> </w:t>
      </w:r>
    </w:p>
  </w:footnote>
  <w:footnote w:id="6">
    <w:p w14:paraId="723C299B" w14:textId="477588C3" w:rsidR="00B64925" w:rsidRPr="00B64925" w:rsidRDefault="001F3DDD" w:rsidP="00B64925">
      <w:pPr>
        <w:autoSpaceDE w:val="0"/>
        <w:autoSpaceDN w:val="0"/>
        <w:adjustRightInd w:val="0"/>
        <w:spacing w:after="0" w:line="240" w:lineRule="auto"/>
        <w:rPr>
          <w:rFonts w:ascii="Times New Roman" w:hAnsi="Times New Roman" w:cs="Times New Roman"/>
          <w:kern w:val="0"/>
          <w:sz w:val="20"/>
          <w:szCs w:val="20"/>
          <w:lang w:val="uz-Cyrl-UZ"/>
        </w:rPr>
      </w:pPr>
      <w:r w:rsidRPr="00C76D6D">
        <w:rPr>
          <w:rStyle w:val="FootnoteReference"/>
          <w:rFonts w:ascii="Times New Roman" w:hAnsi="Times New Roman" w:cs="Times New Roman"/>
          <w:sz w:val="20"/>
          <w:szCs w:val="20"/>
          <w:lang w:val="es-PR"/>
        </w:rPr>
        <w:t>6</w:t>
      </w:r>
      <w:r w:rsidRPr="00C76D6D">
        <w:rPr>
          <w:rFonts w:ascii="Times New Roman" w:hAnsi="Times New Roman" w:cs="Times New Roman"/>
          <w:sz w:val="20"/>
          <w:szCs w:val="20"/>
          <w:lang w:val="es-PR"/>
        </w:rPr>
        <w:t xml:space="preserve"> </w:t>
      </w:r>
      <w:r w:rsidR="00B64925" w:rsidRPr="00B64925">
        <w:rPr>
          <w:rFonts w:ascii="Times New Roman" w:hAnsi="Times New Roman" w:cs="Times New Roman"/>
          <w:kern w:val="0"/>
          <w:sz w:val="20"/>
          <w:szCs w:val="20"/>
          <w:lang w:val="uz-Cyrl-UZ"/>
        </w:rPr>
        <w:t xml:space="preserve">La denominación </w:t>
      </w:r>
      <w:r w:rsidR="00B64925" w:rsidRPr="00B64925">
        <w:rPr>
          <w:rFonts w:ascii="Times New Roman" w:hAnsi="Times New Roman" w:cs="Times New Roman"/>
          <w:i/>
          <w:iCs/>
          <w:kern w:val="0"/>
          <w:sz w:val="20"/>
          <w:szCs w:val="20"/>
          <w:lang w:val="uz-Cyrl-UZ"/>
        </w:rPr>
        <w:t>OutCrit</w:t>
      </w:r>
      <w:r w:rsidR="00B64925" w:rsidRPr="00B64925">
        <w:rPr>
          <w:rFonts w:ascii="Times New Roman" w:hAnsi="Times New Roman" w:cs="Times New Roman"/>
          <w:kern w:val="0"/>
          <w:sz w:val="20"/>
          <w:szCs w:val="20"/>
          <w:lang w:val="uz-Cyrl-UZ"/>
        </w:rPr>
        <w:t xml:space="preserve"> es un esfuerzo por conceptualizar y poner en práctica los análisis y las luchas por la justicia social de grupos subordinados que, aunque diversos y superpuestos, son “diferentes”, de una forma interconectada.</w:t>
      </w:r>
      <w:r w:rsidR="0061200A">
        <w:rPr>
          <w:rFonts w:ascii="Times New Roman" w:hAnsi="Times New Roman" w:cs="Times New Roman"/>
          <w:kern w:val="0"/>
          <w:sz w:val="20"/>
          <w:szCs w:val="20"/>
          <w:lang w:val="uz-Cyrl-UZ"/>
        </w:rPr>
        <w:t xml:space="preserve"> </w:t>
      </w:r>
      <w:r w:rsidR="00B64925" w:rsidRPr="00B64925">
        <w:rPr>
          <w:rFonts w:ascii="Times New Roman" w:hAnsi="Times New Roman" w:cs="Times New Roman"/>
          <w:i/>
          <w:iCs/>
          <w:kern w:val="0"/>
          <w:sz w:val="20"/>
          <w:szCs w:val="20"/>
          <w:lang w:val="uz-Cyrl-UZ"/>
        </w:rPr>
        <w:t>OutCrit</w:t>
      </w:r>
      <w:r w:rsidR="00B64925" w:rsidRPr="00B64925">
        <w:rPr>
          <w:rFonts w:ascii="Times New Roman" w:hAnsi="Times New Roman" w:cs="Times New Roman"/>
          <w:kern w:val="0"/>
          <w:sz w:val="20"/>
          <w:szCs w:val="20"/>
          <w:lang w:val="uz-Cyrl-UZ"/>
        </w:rPr>
        <w:t xml:space="preserve"> se refiere así (al menos inicialmente) a las personas estudiosas que se identifican y solidarizan con grupos marginados en este país, así como a nivel global—incluyendo, de forma destacada, a quienes en tiempos recientes han impulsado líneas de investigación crítica dentro de la cultura jurídica, como los estudios jurídicos críticos (</w:t>
      </w:r>
      <w:r w:rsidR="00B64925" w:rsidRPr="00B64925">
        <w:rPr>
          <w:rFonts w:ascii="Times New Roman" w:hAnsi="Times New Roman" w:cs="Times New Roman"/>
          <w:i/>
          <w:iCs/>
          <w:kern w:val="0"/>
          <w:sz w:val="20"/>
          <w:szCs w:val="20"/>
          <w:lang w:val="uz-Cyrl-UZ"/>
        </w:rPr>
        <w:t>critical legal studies</w:t>
      </w:r>
      <w:r w:rsidR="00B64925" w:rsidRPr="00B64925">
        <w:rPr>
          <w:rFonts w:ascii="Times New Roman" w:hAnsi="Times New Roman" w:cs="Times New Roman"/>
          <w:kern w:val="0"/>
          <w:sz w:val="20"/>
          <w:szCs w:val="20"/>
          <w:lang w:val="uz-Cyrl-UZ"/>
        </w:rPr>
        <w:t>).</w:t>
      </w:r>
    </w:p>
    <w:p w14:paraId="57BB5258" w14:textId="77633172" w:rsidR="00B64925" w:rsidRPr="00B64925" w:rsidRDefault="00B64925" w:rsidP="00B64925">
      <w:pPr>
        <w:autoSpaceDE w:val="0"/>
        <w:autoSpaceDN w:val="0"/>
        <w:adjustRightInd w:val="0"/>
        <w:spacing w:after="0" w:line="240" w:lineRule="auto"/>
        <w:rPr>
          <w:rFonts w:ascii="Times New Roman" w:hAnsi="Times New Roman" w:cs="Times New Roman"/>
          <w:kern w:val="0"/>
          <w:sz w:val="20"/>
          <w:szCs w:val="20"/>
          <w:lang w:val="uz-Cyrl-UZ"/>
        </w:rPr>
      </w:pPr>
      <w:r w:rsidRPr="00B64925">
        <w:rPr>
          <w:rFonts w:ascii="Times New Roman" w:hAnsi="Times New Roman" w:cs="Times New Roman"/>
          <w:kern w:val="0"/>
          <w:sz w:val="20"/>
          <w:szCs w:val="20"/>
          <w:lang w:val="uz-Cyrl-UZ"/>
        </w:rPr>
        <w:t xml:space="preserve">Ahora bien, aunque la </w:t>
      </w:r>
      <w:r w:rsidRPr="00B64925">
        <w:rPr>
          <w:rFonts w:ascii="Times New Roman" w:hAnsi="Times New Roman" w:cs="Times New Roman"/>
          <w:i/>
          <w:iCs/>
          <w:kern w:val="0"/>
          <w:sz w:val="20"/>
          <w:szCs w:val="20"/>
          <w:lang w:val="uz-Cyrl-UZ"/>
        </w:rPr>
        <w:t xml:space="preserve">jurisprudencia </w:t>
      </w:r>
      <w:r w:rsidR="0061200A">
        <w:rPr>
          <w:rFonts w:ascii="Times New Roman" w:hAnsi="Times New Roman" w:cs="Times New Roman"/>
          <w:i/>
          <w:iCs/>
          <w:kern w:val="0"/>
          <w:sz w:val="20"/>
          <w:szCs w:val="20"/>
          <w:lang w:val="uz-Cyrl-UZ"/>
        </w:rPr>
        <w:t>periférica</w:t>
      </w:r>
      <w:r w:rsidRPr="00B64925">
        <w:rPr>
          <w:rFonts w:ascii="Times New Roman" w:hAnsi="Times New Roman" w:cs="Times New Roman"/>
          <w:kern w:val="0"/>
          <w:sz w:val="20"/>
          <w:szCs w:val="20"/>
          <w:lang w:val="uz-Cyrl-UZ"/>
        </w:rPr>
        <w:t xml:space="preserve"> (</w:t>
      </w:r>
      <w:r w:rsidRPr="00B64925">
        <w:rPr>
          <w:rFonts w:ascii="Times New Roman" w:hAnsi="Times New Roman" w:cs="Times New Roman"/>
          <w:i/>
          <w:iCs/>
          <w:kern w:val="0"/>
          <w:sz w:val="20"/>
          <w:szCs w:val="20"/>
          <w:lang w:val="uz-Cyrl-UZ"/>
        </w:rPr>
        <w:t>outsider jurisprudence</w:t>
      </w:r>
      <w:r w:rsidRPr="00B64925">
        <w:rPr>
          <w:rFonts w:ascii="Times New Roman" w:hAnsi="Times New Roman" w:cs="Times New Roman"/>
          <w:kern w:val="0"/>
          <w:sz w:val="20"/>
          <w:szCs w:val="20"/>
          <w:lang w:val="uz-Cyrl-UZ"/>
        </w:rPr>
        <w:t xml:space="preserve">) puede tener, pero no siempre ni necesariamente tiene, una perspectiva crítica, la postura </w:t>
      </w:r>
      <w:r w:rsidRPr="00B64925">
        <w:rPr>
          <w:rFonts w:ascii="Times New Roman" w:hAnsi="Times New Roman" w:cs="Times New Roman"/>
          <w:i/>
          <w:iCs/>
          <w:kern w:val="0"/>
          <w:sz w:val="20"/>
          <w:szCs w:val="20"/>
          <w:lang w:val="uz-Cyrl-UZ"/>
        </w:rPr>
        <w:t>OutCrit</w:t>
      </w:r>
      <w:r w:rsidRPr="00B64925">
        <w:rPr>
          <w:rFonts w:ascii="Times New Roman" w:hAnsi="Times New Roman" w:cs="Times New Roman"/>
          <w:kern w:val="0"/>
          <w:sz w:val="20"/>
          <w:szCs w:val="20"/>
          <w:lang w:val="uz-Cyrl-UZ"/>
        </w:rPr>
        <w:t xml:space="preserve"> es, por definición, de naturaleza crítica.</w:t>
      </w:r>
      <w:r w:rsidR="0061200A">
        <w:rPr>
          <w:rFonts w:ascii="Times New Roman" w:hAnsi="Times New Roman" w:cs="Times New Roman"/>
          <w:kern w:val="0"/>
          <w:sz w:val="20"/>
          <w:szCs w:val="20"/>
          <w:lang w:val="uz-Cyrl-UZ"/>
        </w:rPr>
        <w:t xml:space="preserve"> </w:t>
      </w:r>
      <w:r w:rsidRPr="00B64925">
        <w:rPr>
          <w:rFonts w:ascii="Times New Roman" w:hAnsi="Times New Roman" w:cs="Times New Roman"/>
          <w:i/>
          <w:iCs/>
          <w:kern w:val="0"/>
          <w:sz w:val="20"/>
          <w:szCs w:val="20"/>
          <w:lang w:val="uz-Cyrl-UZ"/>
        </w:rPr>
        <w:t>Véase</w:t>
      </w:r>
      <w:r w:rsidRPr="00B64925">
        <w:rPr>
          <w:rFonts w:ascii="Times New Roman" w:hAnsi="Times New Roman" w:cs="Times New Roman"/>
          <w:kern w:val="0"/>
          <w:sz w:val="20"/>
          <w:szCs w:val="20"/>
          <w:lang w:val="uz-Cyrl-UZ"/>
        </w:rPr>
        <w:t xml:space="preserve">, en general, nota 1 </w:t>
      </w:r>
      <w:r w:rsidRPr="00B64925">
        <w:rPr>
          <w:rFonts w:ascii="Times New Roman" w:hAnsi="Times New Roman" w:cs="Times New Roman"/>
          <w:i/>
          <w:iCs/>
          <w:kern w:val="0"/>
          <w:sz w:val="20"/>
          <w:szCs w:val="20"/>
          <w:lang w:val="uz-Cyrl-UZ"/>
        </w:rPr>
        <w:t>supra</w:t>
      </w:r>
      <w:r w:rsidRPr="00B64925">
        <w:rPr>
          <w:rFonts w:ascii="Times New Roman" w:hAnsi="Times New Roman" w:cs="Times New Roman"/>
          <w:kern w:val="0"/>
          <w:sz w:val="20"/>
          <w:szCs w:val="20"/>
          <w:lang w:val="uz-Cyrl-UZ"/>
        </w:rPr>
        <w:t xml:space="preserve"> y las fuentes allí citadas (sobre </w:t>
      </w:r>
      <w:r w:rsidRPr="00B64925">
        <w:rPr>
          <w:rFonts w:ascii="Times New Roman" w:hAnsi="Times New Roman" w:cs="Times New Roman"/>
          <w:i/>
          <w:iCs/>
          <w:kern w:val="0"/>
          <w:sz w:val="20"/>
          <w:szCs w:val="20"/>
          <w:lang w:val="uz-Cyrl-UZ"/>
        </w:rPr>
        <w:t>outsider jurisprudence</w:t>
      </w:r>
      <w:r w:rsidRPr="00B64925">
        <w:rPr>
          <w:rFonts w:ascii="Times New Roman" w:hAnsi="Times New Roman" w:cs="Times New Roman"/>
          <w:kern w:val="0"/>
          <w:sz w:val="20"/>
          <w:szCs w:val="20"/>
          <w:lang w:val="uz-Cyrl-UZ"/>
        </w:rPr>
        <w:t>).</w:t>
      </w:r>
      <w:r w:rsidR="0061200A">
        <w:rPr>
          <w:rFonts w:ascii="Times New Roman" w:hAnsi="Times New Roman" w:cs="Times New Roman"/>
          <w:kern w:val="0"/>
          <w:sz w:val="20"/>
          <w:szCs w:val="20"/>
          <w:lang w:val="uz-Cyrl-UZ"/>
        </w:rPr>
        <w:t xml:space="preserve"> </w:t>
      </w:r>
      <w:r w:rsidRPr="00B64925">
        <w:rPr>
          <w:rFonts w:ascii="Times New Roman" w:hAnsi="Times New Roman" w:cs="Times New Roman"/>
          <w:kern w:val="0"/>
          <w:sz w:val="20"/>
          <w:szCs w:val="20"/>
          <w:lang w:val="uz-Cyrl-UZ"/>
        </w:rPr>
        <w:t xml:space="preserve">La posición </w:t>
      </w:r>
      <w:r w:rsidRPr="00B64925">
        <w:rPr>
          <w:rFonts w:ascii="Times New Roman" w:hAnsi="Times New Roman" w:cs="Times New Roman"/>
          <w:i/>
          <w:iCs/>
          <w:kern w:val="0"/>
          <w:sz w:val="20"/>
          <w:szCs w:val="20"/>
          <w:lang w:val="uz-Cyrl-UZ"/>
        </w:rPr>
        <w:t>OutCrit</w:t>
      </w:r>
      <w:r w:rsidRPr="00B64925">
        <w:rPr>
          <w:rFonts w:ascii="Times New Roman" w:hAnsi="Times New Roman" w:cs="Times New Roman"/>
          <w:kern w:val="0"/>
          <w:sz w:val="20"/>
          <w:szCs w:val="20"/>
          <w:lang w:val="uz-Cyrl-UZ"/>
        </w:rPr>
        <w:t>, entonces, se enmarca en la necesidad de criticar y enfrentar, de forma colectiva y coordinada, los sistemas estructurales de subordinación y dominación que construyen tanto los grupos marginados como los grupos dominantes.</w:t>
      </w:r>
      <w:r w:rsidR="0061200A">
        <w:rPr>
          <w:rFonts w:ascii="Times New Roman" w:hAnsi="Times New Roman" w:cs="Times New Roman"/>
          <w:kern w:val="0"/>
          <w:sz w:val="20"/>
          <w:szCs w:val="20"/>
          <w:lang w:val="uz-Cyrl-UZ"/>
        </w:rPr>
        <w:t xml:space="preserve"> </w:t>
      </w:r>
      <w:r w:rsidRPr="00B64925">
        <w:rPr>
          <w:rFonts w:ascii="Times New Roman" w:hAnsi="Times New Roman" w:cs="Times New Roman"/>
          <w:kern w:val="0"/>
          <w:sz w:val="20"/>
          <w:szCs w:val="20"/>
          <w:lang w:val="uz-Cyrl-UZ"/>
        </w:rPr>
        <w:t xml:space="preserve">Para un análisis más amplio sobre esta denominación </w:t>
      </w:r>
      <w:r w:rsidRPr="00B64925">
        <w:rPr>
          <w:rFonts w:ascii="Times New Roman" w:hAnsi="Times New Roman" w:cs="Times New Roman"/>
          <w:i/>
          <w:iCs/>
          <w:kern w:val="0"/>
          <w:sz w:val="20"/>
          <w:szCs w:val="20"/>
          <w:lang w:val="uz-Cyrl-UZ"/>
        </w:rPr>
        <w:t>OutCrit</w:t>
      </w:r>
      <w:r w:rsidRPr="00B64925">
        <w:rPr>
          <w:rFonts w:ascii="Times New Roman" w:hAnsi="Times New Roman" w:cs="Times New Roman"/>
          <w:kern w:val="0"/>
          <w:sz w:val="20"/>
          <w:szCs w:val="20"/>
          <w:lang w:val="uz-Cyrl-UZ"/>
        </w:rPr>
        <w:t xml:space="preserve">, </w:t>
      </w:r>
      <w:r w:rsidRPr="00B64925">
        <w:rPr>
          <w:rFonts w:ascii="Times New Roman" w:hAnsi="Times New Roman" w:cs="Times New Roman"/>
          <w:i/>
          <w:iCs/>
          <w:kern w:val="0"/>
          <w:sz w:val="20"/>
          <w:szCs w:val="20"/>
          <w:lang w:val="uz-Cyrl-UZ"/>
        </w:rPr>
        <w:t>véase</w:t>
      </w:r>
      <w:r w:rsidRPr="00B64925">
        <w:rPr>
          <w:rFonts w:ascii="Times New Roman" w:hAnsi="Times New Roman" w:cs="Times New Roman"/>
          <w:kern w:val="0"/>
          <w:sz w:val="20"/>
          <w:szCs w:val="20"/>
          <w:lang w:val="uz-Cyrl-UZ"/>
        </w:rPr>
        <w:t xml:space="preserve"> Francisco Valdés, </w:t>
      </w:r>
      <w:r w:rsidRPr="00B64925">
        <w:rPr>
          <w:rFonts w:ascii="Times New Roman" w:hAnsi="Times New Roman" w:cs="Times New Roman"/>
          <w:i/>
          <w:iCs/>
          <w:kern w:val="0"/>
          <w:sz w:val="20"/>
          <w:szCs w:val="20"/>
          <w:lang w:val="uz-Cyrl-UZ"/>
        </w:rPr>
        <w:t>Outsider Scholars, Legal Theory and OutCrit Perspectivity: Postsubordination Vision as Jurisprudential Method</w:t>
      </w:r>
      <w:r w:rsidRPr="00B64925">
        <w:rPr>
          <w:rFonts w:ascii="Times New Roman" w:hAnsi="Times New Roman" w:cs="Times New Roman"/>
          <w:kern w:val="0"/>
          <w:sz w:val="20"/>
          <w:szCs w:val="20"/>
          <w:lang w:val="uz-Cyrl-UZ"/>
        </w:rPr>
        <w:t xml:space="preserve">, 49 </w:t>
      </w:r>
      <w:r w:rsidRPr="00B64925">
        <w:rPr>
          <w:rFonts w:ascii="Times New Roman" w:hAnsi="Times New Roman" w:cs="Times New Roman"/>
          <w:i/>
          <w:iCs/>
          <w:kern w:val="0"/>
          <w:sz w:val="20"/>
          <w:szCs w:val="20"/>
          <w:lang w:val="uz-Cyrl-UZ"/>
        </w:rPr>
        <w:t>DePaul Law Review</w:t>
      </w:r>
      <w:r w:rsidRPr="00B64925">
        <w:rPr>
          <w:rFonts w:ascii="Times New Roman" w:hAnsi="Times New Roman" w:cs="Times New Roman"/>
          <w:kern w:val="0"/>
          <w:sz w:val="20"/>
          <w:szCs w:val="20"/>
          <w:lang w:val="uz-Cyrl-UZ"/>
        </w:rPr>
        <w:t xml:space="preserve"> 831 (2000).</w:t>
      </w:r>
    </w:p>
    <w:p w14:paraId="1BC2CB8E" w14:textId="4852CC9D" w:rsidR="001F3DDD" w:rsidRPr="00B64925" w:rsidRDefault="001F3DDD" w:rsidP="001F3DDD">
      <w:pPr>
        <w:autoSpaceDE w:val="0"/>
        <w:autoSpaceDN w:val="0"/>
        <w:adjustRightInd w:val="0"/>
        <w:spacing w:after="0" w:line="240" w:lineRule="auto"/>
        <w:rPr>
          <w:rFonts w:ascii="Times New Roman" w:hAnsi="Times New Roman" w:cs="Times New Roman"/>
          <w:kern w:val="0"/>
          <w:sz w:val="20"/>
          <w:szCs w:val="20"/>
          <w:lang w:val="uz-Cyrl-UZ"/>
        </w:rPr>
      </w:pPr>
    </w:p>
  </w:footnote>
  <w:footnote w:id="7">
    <w:p w14:paraId="1301AF8A" w14:textId="30C47D19" w:rsidR="008B02B1" w:rsidRPr="00481CC8" w:rsidRDefault="008B02B1" w:rsidP="008B02B1">
      <w:pPr>
        <w:autoSpaceDE w:val="0"/>
        <w:autoSpaceDN w:val="0"/>
        <w:adjustRightInd w:val="0"/>
        <w:spacing w:after="0" w:line="240" w:lineRule="auto"/>
        <w:rPr>
          <w:rFonts w:ascii="Times New Roman" w:hAnsi="Times New Roman" w:cs="Times New Roman"/>
          <w:kern w:val="0"/>
          <w:sz w:val="20"/>
          <w:szCs w:val="20"/>
          <w:lang w:val="uz-Cyrl-UZ"/>
        </w:rPr>
      </w:pPr>
      <w:r w:rsidRPr="00305BF6">
        <w:rPr>
          <w:rStyle w:val="FootnoteReference"/>
          <w:rFonts w:ascii="Times New Roman" w:hAnsi="Times New Roman" w:cs="Times New Roman"/>
          <w:sz w:val="20"/>
          <w:szCs w:val="20"/>
          <w:lang w:val="es-PR"/>
        </w:rPr>
        <w:t>7</w:t>
      </w:r>
      <w:r w:rsidRPr="00305BF6">
        <w:rPr>
          <w:rFonts w:ascii="Times New Roman" w:hAnsi="Times New Roman" w:cs="Times New Roman"/>
          <w:sz w:val="20"/>
          <w:szCs w:val="20"/>
          <w:lang w:val="es-PR"/>
        </w:rPr>
        <w:t xml:space="preserve"> </w:t>
      </w:r>
      <w:r w:rsidR="00481CC8" w:rsidRPr="00481CC8">
        <w:rPr>
          <w:rFonts w:ascii="Times New Roman" w:hAnsi="Times New Roman" w:cs="Times New Roman"/>
          <w:kern w:val="0"/>
          <w:sz w:val="20"/>
          <w:szCs w:val="20"/>
          <w:lang w:val="uz-Cyrl-UZ"/>
        </w:rPr>
        <w:t xml:space="preserve">Para una exposición influyente y relativamente reciente del originalismo contemporáneo, </w:t>
      </w:r>
      <w:r w:rsidR="00481CC8" w:rsidRPr="00481CC8">
        <w:rPr>
          <w:rFonts w:ascii="Times New Roman" w:hAnsi="Times New Roman" w:cs="Times New Roman"/>
          <w:i/>
          <w:iCs/>
          <w:kern w:val="0"/>
          <w:sz w:val="20"/>
          <w:szCs w:val="20"/>
          <w:lang w:val="uz-Cyrl-UZ"/>
        </w:rPr>
        <w:t>véase</w:t>
      </w:r>
      <w:r w:rsidR="00481CC8" w:rsidRPr="00481CC8">
        <w:rPr>
          <w:rFonts w:ascii="Times New Roman" w:hAnsi="Times New Roman" w:cs="Times New Roman"/>
          <w:kern w:val="0"/>
          <w:sz w:val="20"/>
          <w:szCs w:val="20"/>
          <w:lang w:val="uz-Cyrl-UZ"/>
        </w:rPr>
        <w:t xml:space="preserve"> Antonin Scalia, </w:t>
      </w:r>
      <w:r w:rsidR="00481CC8" w:rsidRPr="00481CC8">
        <w:rPr>
          <w:rFonts w:ascii="Times New Roman" w:hAnsi="Times New Roman" w:cs="Times New Roman"/>
          <w:i/>
          <w:iCs/>
          <w:kern w:val="0"/>
          <w:sz w:val="20"/>
          <w:szCs w:val="20"/>
          <w:lang w:val="uz-Cyrl-UZ"/>
        </w:rPr>
        <w:t>Originalism: The Lesser Evil</w:t>
      </w:r>
      <w:r w:rsidR="00481CC8" w:rsidRPr="00481CC8">
        <w:rPr>
          <w:rFonts w:ascii="Times New Roman" w:hAnsi="Times New Roman" w:cs="Times New Roman"/>
          <w:kern w:val="0"/>
          <w:sz w:val="20"/>
          <w:szCs w:val="20"/>
          <w:lang w:val="uz-Cyrl-UZ"/>
        </w:rPr>
        <w:t xml:space="preserve">, 57 </w:t>
      </w:r>
      <w:r w:rsidR="00481CC8" w:rsidRPr="00481CC8">
        <w:rPr>
          <w:rFonts w:ascii="Times New Roman" w:hAnsi="Times New Roman" w:cs="Times New Roman"/>
          <w:i/>
          <w:iCs/>
          <w:kern w:val="0"/>
          <w:sz w:val="20"/>
          <w:szCs w:val="20"/>
          <w:lang w:val="uz-Cyrl-UZ"/>
        </w:rPr>
        <w:t>University of Cincinnati Law Review</w:t>
      </w:r>
      <w:r w:rsidR="00481CC8" w:rsidRPr="00481CC8">
        <w:rPr>
          <w:rFonts w:ascii="Times New Roman" w:hAnsi="Times New Roman" w:cs="Times New Roman"/>
          <w:kern w:val="0"/>
          <w:sz w:val="20"/>
          <w:szCs w:val="20"/>
          <w:lang w:val="uz-Cyrl-UZ"/>
        </w:rPr>
        <w:t xml:space="preserve"> 849, 862 (1989) (defiende la intención de los Forjadores y otros factores históricos como las mejores herramientas para la interpretación constitucional, incluso en su forma de </w:t>
      </w:r>
      <w:r w:rsidR="00481CC8" w:rsidRPr="00481CC8">
        <w:rPr>
          <w:rFonts w:ascii="Times New Roman" w:hAnsi="Times New Roman" w:cs="Times New Roman"/>
          <w:i/>
          <w:iCs/>
          <w:kern w:val="0"/>
          <w:sz w:val="20"/>
          <w:szCs w:val="20"/>
          <w:lang w:val="uz-Cyrl-UZ"/>
        </w:rPr>
        <w:t>originalismo tímido</w:t>
      </w:r>
      <w:r w:rsidR="00481CC8" w:rsidRPr="00481CC8">
        <w:rPr>
          <w:rFonts w:ascii="Times New Roman" w:hAnsi="Times New Roman" w:cs="Times New Roman"/>
          <w:kern w:val="0"/>
          <w:sz w:val="20"/>
          <w:szCs w:val="20"/>
          <w:lang w:val="uz-Cyrl-UZ"/>
        </w:rPr>
        <w:t>).</w:t>
      </w:r>
      <w:r w:rsidR="00481CC8">
        <w:rPr>
          <w:rFonts w:ascii="Times New Roman" w:hAnsi="Times New Roman" w:cs="Times New Roman"/>
          <w:kern w:val="0"/>
          <w:sz w:val="20"/>
          <w:szCs w:val="20"/>
          <w:lang w:val="uz-Cyrl-UZ"/>
        </w:rPr>
        <w:t xml:space="preserve"> </w:t>
      </w:r>
      <w:r w:rsidR="00481CC8" w:rsidRPr="00481CC8">
        <w:rPr>
          <w:rFonts w:ascii="Times New Roman" w:hAnsi="Times New Roman" w:cs="Times New Roman"/>
          <w:i/>
          <w:iCs/>
          <w:kern w:val="0"/>
          <w:sz w:val="20"/>
          <w:szCs w:val="20"/>
          <w:lang w:val="uz-Cyrl-UZ"/>
        </w:rPr>
        <w:t>Véase</w:t>
      </w:r>
      <w:r w:rsidR="00481CC8" w:rsidRPr="00481CC8">
        <w:rPr>
          <w:rFonts w:ascii="Times New Roman" w:hAnsi="Times New Roman" w:cs="Times New Roman"/>
          <w:kern w:val="0"/>
          <w:sz w:val="20"/>
          <w:szCs w:val="20"/>
          <w:lang w:val="uz-Cyrl-UZ"/>
        </w:rPr>
        <w:t xml:space="preserve"> también Edwin Meese III, </w:t>
      </w:r>
      <w:r w:rsidR="00481CC8" w:rsidRPr="00481CC8">
        <w:rPr>
          <w:rFonts w:ascii="Times New Roman" w:hAnsi="Times New Roman" w:cs="Times New Roman"/>
          <w:i/>
          <w:iCs/>
          <w:kern w:val="0"/>
          <w:sz w:val="20"/>
          <w:szCs w:val="20"/>
          <w:lang w:val="uz-Cyrl-UZ"/>
        </w:rPr>
        <w:t>Interpreting the Constitution</w:t>
      </w:r>
      <w:r w:rsidR="00481CC8" w:rsidRPr="00481CC8">
        <w:rPr>
          <w:rFonts w:ascii="Times New Roman" w:hAnsi="Times New Roman" w:cs="Times New Roman"/>
          <w:kern w:val="0"/>
          <w:sz w:val="20"/>
          <w:szCs w:val="20"/>
          <w:lang w:val="uz-Cyrl-UZ"/>
        </w:rPr>
        <w:t xml:space="preserve">, en </w:t>
      </w:r>
      <w:r w:rsidR="00481CC8" w:rsidRPr="00481CC8">
        <w:rPr>
          <w:rFonts w:ascii="Times New Roman" w:hAnsi="Times New Roman" w:cs="Times New Roman"/>
          <w:i/>
          <w:iCs/>
          <w:kern w:val="0"/>
          <w:sz w:val="20"/>
          <w:szCs w:val="20"/>
          <w:lang w:val="uz-Cyrl-UZ"/>
        </w:rPr>
        <w:t>Interpreting the Constitution: The Debate Over Original Intent</w:t>
      </w:r>
      <w:r w:rsidR="00481CC8" w:rsidRPr="00481CC8">
        <w:rPr>
          <w:rFonts w:ascii="Times New Roman" w:hAnsi="Times New Roman" w:cs="Times New Roman"/>
          <w:kern w:val="0"/>
          <w:sz w:val="20"/>
          <w:szCs w:val="20"/>
          <w:lang w:val="uz-Cyrl-UZ"/>
        </w:rPr>
        <w:t xml:space="preserve"> 13 (Jack N. Rakove, ed., 1990) (desarrolla un “originalismo” al estilo Reagan, asociado con la jurisprudencia de reacción y las guerras culturales reaccionarias).</w:t>
      </w:r>
    </w:p>
    <w:p w14:paraId="42B8034B" w14:textId="434C2E11" w:rsidR="008B02B1" w:rsidRPr="00305BF6" w:rsidRDefault="00305BF6" w:rsidP="00A40448">
      <w:pPr>
        <w:autoSpaceDE w:val="0"/>
        <w:autoSpaceDN w:val="0"/>
        <w:adjustRightInd w:val="0"/>
        <w:spacing w:after="0" w:line="240" w:lineRule="auto"/>
        <w:ind w:firstLine="720"/>
        <w:rPr>
          <w:rFonts w:ascii="Times New Roman" w:hAnsi="Times New Roman" w:cs="Times New Roman"/>
          <w:kern w:val="0"/>
          <w:sz w:val="20"/>
          <w:szCs w:val="20"/>
          <w:lang w:val="es-PR"/>
        </w:rPr>
      </w:pPr>
      <w:r w:rsidRPr="00305BF6">
        <w:rPr>
          <w:rFonts w:ascii="Times New Roman" w:hAnsi="Times New Roman" w:cs="Times New Roman"/>
          <w:kern w:val="0"/>
          <w:sz w:val="20"/>
          <w:szCs w:val="20"/>
          <w:lang w:val="es-PR"/>
        </w:rPr>
        <w:t>A pesar del dominio político actual del originalismo, siguen surgiendo respuestas y alternativas.</w:t>
      </w:r>
      <w:r w:rsidR="00A40448">
        <w:rPr>
          <w:rFonts w:ascii="Times New Roman" w:hAnsi="Times New Roman" w:cs="Times New Roman"/>
          <w:kern w:val="0"/>
          <w:sz w:val="20"/>
          <w:szCs w:val="20"/>
          <w:lang w:val="es-PR"/>
        </w:rPr>
        <w:t xml:space="preserve"> </w:t>
      </w:r>
      <w:r w:rsidRPr="00A40448">
        <w:rPr>
          <w:rFonts w:ascii="Times New Roman" w:hAnsi="Times New Roman" w:cs="Times New Roman"/>
          <w:i/>
          <w:iCs/>
          <w:kern w:val="0"/>
          <w:sz w:val="20"/>
          <w:szCs w:val="20"/>
          <w:lang w:val="es-PR"/>
        </w:rPr>
        <w:t>Véase</w:t>
      </w:r>
      <w:r w:rsidRPr="00305BF6">
        <w:rPr>
          <w:rFonts w:ascii="Times New Roman" w:hAnsi="Times New Roman" w:cs="Times New Roman"/>
          <w:kern w:val="0"/>
          <w:sz w:val="20"/>
          <w:szCs w:val="20"/>
          <w:lang w:val="es-PR"/>
        </w:rPr>
        <w:t xml:space="preserve">, por ejemplo, Stephen Breyer, </w:t>
      </w:r>
      <w:r w:rsidRPr="00A40448">
        <w:rPr>
          <w:rFonts w:ascii="Times New Roman" w:hAnsi="Times New Roman" w:cs="Times New Roman"/>
          <w:i/>
          <w:iCs/>
          <w:kern w:val="0"/>
          <w:sz w:val="20"/>
          <w:szCs w:val="20"/>
          <w:lang w:val="es-PR"/>
        </w:rPr>
        <w:t>Our Democratic Constitution</w:t>
      </w:r>
      <w:r w:rsidRPr="00305BF6">
        <w:rPr>
          <w:rFonts w:ascii="Times New Roman" w:hAnsi="Times New Roman" w:cs="Times New Roman"/>
          <w:kern w:val="0"/>
          <w:sz w:val="20"/>
          <w:szCs w:val="20"/>
          <w:lang w:val="es-PR"/>
        </w:rPr>
        <w:t>, 77 New York University Law Review 245 (2002) (cuestiona los supuestos del formalismo, el originalismo, el textualismo y otros métodos vinculados a la jurisprudencia de reacción y a la adopción selectiva de la ideología originalista).</w:t>
      </w:r>
      <w:r w:rsidR="00A40448">
        <w:rPr>
          <w:rFonts w:ascii="Times New Roman" w:hAnsi="Times New Roman" w:cs="Times New Roman"/>
          <w:kern w:val="0"/>
          <w:sz w:val="20"/>
          <w:szCs w:val="20"/>
          <w:lang w:val="es-PR"/>
        </w:rPr>
        <w:t xml:space="preserve"> </w:t>
      </w:r>
      <w:r w:rsidRPr="00A40448">
        <w:rPr>
          <w:rFonts w:ascii="Times New Roman" w:hAnsi="Times New Roman" w:cs="Times New Roman"/>
          <w:i/>
          <w:iCs/>
          <w:kern w:val="0"/>
          <w:sz w:val="20"/>
          <w:szCs w:val="20"/>
          <w:lang w:val="es-PR"/>
        </w:rPr>
        <w:t>Véase</w:t>
      </w:r>
      <w:r w:rsidRPr="00305BF6">
        <w:rPr>
          <w:rFonts w:ascii="Times New Roman" w:hAnsi="Times New Roman" w:cs="Times New Roman"/>
          <w:kern w:val="0"/>
          <w:sz w:val="20"/>
          <w:szCs w:val="20"/>
          <w:lang w:val="es-PR"/>
        </w:rPr>
        <w:t xml:space="preserve"> también William J. Brennan, Jr., </w:t>
      </w:r>
      <w:r w:rsidRPr="00A40448">
        <w:rPr>
          <w:rFonts w:ascii="Times New Roman" w:hAnsi="Times New Roman" w:cs="Times New Roman"/>
          <w:i/>
          <w:iCs/>
          <w:kern w:val="0"/>
          <w:sz w:val="20"/>
          <w:szCs w:val="20"/>
          <w:lang w:val="es-PR"/>
        </w:rPr>
        <w:t>The Constitution of the United States: Contemporary Ratification</w:t>
      </w:r>
      <w:r w:rsidRPr="00305BF6">
        <w:rPr>
          <w:rFonts w:ascii="Times New Roman" w:hAnsi="Times New Roman" w:cs="Times New Roman"/>
          <w:kern w:val="0"/>
          <w:sz w:val="20"/>
          <w:szCs w:val="20"/>
          <w:lang w:val="es-PR"/>
        </w:rPr>
        <w:t xml:space="preserve">, en </w:t>
      </w:r>
      <w:r w:rsidRPr="00C17589">
        <w:rPr>
          <w:rFonts w:ascii="Times New Roman" w:hAnsi="Times New Roman" w:cs="Times New Roman"/>
          <w:i/>
          <w:iCs/>
          <w:kern w:val="0"/>
          <w:sz w:val="20"/>
          <w:szCs w:val="20"/>
          <w:lang w:val="es-PR"/>
        </w:rPr>
        <w:t>Interpreting the Constitution: The Debate Over Original Intent</w:t>
      </w:r>
      <w:r w:rsidRPr="00305BF6">
        <w:rPr>
          <w:rFonts w:ascii="Times New Roman" w:hAnsi="Times New Roman" w:cs="Times New Roman"/>
          <w:kern w:val="0"/>
          <w:sz w:val="20"/>
          <w:szCs w:val="20"/>
          <w:lang w:val="es-PR"/>
        </w:rPr>
        <w:t>, op. cit., p. 23 (presenta una crítica similar y anterior a los imperativos originalistas).</w:t>
      </w:r>
    </w:p>
  </w:footnote>
  <w:footnote w:id="8">
    <w:p w14:paraId="496C9623" w14:textId="77777777" w:rsidR="00097E4A" w:rsidRPr="00DC6FD7" w:rsidRDefault="00097E4A" w:rsidP="00097E4A">
      <w:pPr>
        <w:pStyle w:val="FootnoteText"/>
        <w:rPr>
          <w:rFonts w:ascii="Times New Roman" w:hAnsi="Times New Roman" w:cs="Times New Roman"/>
        </w:rPr>
      </w:pPr>
      <w:r w:rsidRPr="00DC6FD7">
        <w:rPr>
          <w:rStyle w:val="FootnoteReference"/>
          <w:rFonts w:ascii="Times New Roman" w:hAnsi="Times New Roman" w:cs="Times New Roman"/>
        </w:rPr>
        <w:t>8</w:t>
      </w:r>
      <w:r w:rsidRPr="00DC6FD7">
        <w:rPr>
          <w:rFonts w:ascii="Times New Roman" w:hAnsi="Times New Roman" w:cs="Times New Roman"/>
        </w:rPr>
        <w:t xml:space="preserve"> Lawrence Lessig, </w:t>
      </w:r>
      <w:r w:rsidRPr="00DC6FD7">
        <w:rPr>
          <w:rFonts w:ascii="Times New Roman" w:hAnsi="Times New Roman" w:cs="Times New Roman"/>
          <w:i/>
          <w:iCs/>
        </w:rPr>
        <w:t>Fidelity in Translation,</w:t>
      </w:r>
      <w:r w:rsidRPr="00DC6FD7">
        <w:rPr>
          <w:rFonts w:ascii="Times New Roman" w:hAnsi="Times New Roman" w:cs="Times New Roman"/>
        </w:rPr>
        <w:t xml:space="preserve"> 71 TEX. L. REV. 1165 (1992-93).</w:t>
      </w:r>
    </w:p>
  </w:footnote>
  <w:footnote w:id="9">
    <w:p w14:paraId="1CD00941" w14:textId="3F03F6E3" w:rsidR="00E60DC1" w:rsidRPr="00F60606" w:rsidRDefault="00E60DC1" w:rsidP="00E60DC1">
      <w:pPr>
        <w:autoSpaceDE w:val="0"/>
        <w:autoSpaceDN w:val="0"/>
        <w:adjustRightInd w:val="0"/>
        <w:spacing w:after="0" w:line="240" w:lineRule="auto"/>
        <w:rPr>
          <w:rFonts w:ascii="Times New Roman" w:hAnsi="Times New Roman" w:cs="Times New Roman"/>
          <w:kern w:val="0"/>
          <w:sz w:val="20"/>
          <w:szCs w:val="20"/>
          <w:lang w:val="uz-Cyrl-UZ"/>
        </w:rPr>
      </w:pPr>
      <w:r w:rsidRPr="00DC6FD7">
        <w:rPr>
          <w:rStyle w:val="FootnoteReference"/>
          <w:rFonts w:ascii="Times New Roman" w:hAnsi="Times New Roman" w:cs="Times New Roman"/>
          <w:sz w:val="20"/>
          <w:szCs w:val="20"/>
        </w:rPr>
        <w:t>9</w:t>
      </w:r>
      <w:r w:rsidRPr="00DC6FD7">
        <w:rPr>
          <w:rFonts w:ascii="Times New Roman" w:hAnsi="Times New Roman" w:cs="Times New Roman"/>
          <w:sz w:val="20"/>
          <w:szCs w:val="20"/>
        </w:rPr>
        <w:t xml:space="preserve"> </w:t>
      </w:r>
      <w:r w:rsidR="00F60606" w:rsidRPr="00F60606">
        <w:rPr>
          <w:rFonts w:ascii="Times New Roman" w:hAnsi="Times New Roman" w:cs="Times New Roman"/>
          <w:kern w:val="0"/>
          <w:sz w:val="20"/>
          <w:szCs w:val="20"/>
          <w:lang w:val="uz-Cyrl-UZ"/>
        </w:rPr>
        <w:t xml:space="preserve">Antonin Scalia, </w:t>
      </w:r>
      <w:r w:rsidR="00F60606" w:rsidRPr="00F60606">
        <w:rPr>
          <w:rFonts w:ascii="Times New Roman" w:hAnsi="Times New Roman" w:cs="Times New Roman"/>
          <w:i/>
          <w:iCs/>
          <w:kern w:val="0"/>
          <w:sz w:val="20"/>
          <w:szCs w:val="20"/>
          <w:lang w:val="uz-Cyrl-UZ"/>
        </w:rPr>
        <w:t>Transcript of Discussion Between U.S. Supreme Court Justices Antonin Scalia and Stephen Breyer</w:t>
      </w:r>
      <w:r w:rsidR="00F60606" w:rsidRPr="00F60606">
        <w:rPr>
          <w:rFonts w:ascii="Times New Roman" w:hAnsi="Times New Roman" w:cs="Times New Roman"/>
          <w:kern w:val="0"/>
          <w:sz w:val="20"/>
          <w:szCs w:val="20"/>
          <w:lang w:val="uz-Cyrl-UZ"/>
        </w:rPr>
        <w:t xml:space="preserve">, </w:t>
      </w:r>
      <w:r w:rsidR="00F60606" w:rsidRPr="00F60606">
        <w:rPr>
          <w:rFonts w:ascii="Times New Roman" w:hAnsi="Times New Roman" w:cs="Times New Roman"/>
          <w:i/>
          <w:iCs/>
          <w:kern w:val="0"/>
          <w:sz w:val="20"/>
          <w:szCs w:val="20"/>
          <w:lang w:val="uz-Cyrl-UZ"/>
        </w:rPr>
        <w:t>American University, Washington College of Law</w:t>
      </w:r>
      <w:r w:rsidR="00F60606" w:rsidRPr="00F60606">
        <w:rPr>
          <w:rFonts w:ascii="Times New Roman" w:hAnsi="Times New Roman" w:cs="Times New Roman"/>
          <w:kern w:val="0"/>
          <w:sz w:val="20"/>
          <w:szCs w:val="20"/>
          <w:lang w:val="uz-Cyrl-UZ"/>
        </w:rPr>
        <w:t xml:space="preserve"> (13 de enero de 2005), disponible </w:t>
      </w:r>
      <w:r w:rsidR="00F60606" w:rsidRPr="00F60606">
        <w:rPr>
          <w:rFonts w:ascii="Times New Roman" w:hAnsi="Times New Roman" w:cs="Times New Roman"/>
          <w:kern w:val="0"/>
          <w:sz w:val="20"/>
          <w:szCs w:val="20"/>
          <w:lang w:val="uz-Cyrl-UZ"/>
        </w:rPr>
        <w:t xml:space="preserve">en: </w:t>
      </w:r>
      <w:r w:rsidR="00A53CBB">
        <w:rPr>
          <w:rFonts w:ascii="Times New Roman" w:hAnsi="Times New Roman" w:cs="Times New Roman"/>
          <w:kern w:val="0"/>
          <w:sz w:val="20"/>
          <w:szCs w:val="20"/>
          <w:lang w:val="uz-Cyrl-UZ"/>
        </w:rPr>
        <w:fldChar w:fldCharType="begin"/>
      </w:r>
      <w:r w:rsidR="00A53CBB">
        <w:rPr>
          <w:rFonts w:ascii="Times New Roman" w:hAnsi="Times New Roman" w:cs="Times New Roman"/>
          <w:kern w:val="0"/>
          <w:sz w:val="20"/>
          <w:szCs w:val="20"/>
          <w:lang w:val="uz-Cyrl-UZ"/>
        </w:rPr>
        <w:instrText>HYPERLINK "</w:instrText>
      </w:r>
      <w:r w:rsidR="00A53CBB" w:rsidRPr="00F60606">
        <w:rPr>
          <w:rFonts w:ascii="Times New Roman" w:hAnsi="Times New Roman" w:cs="Times New Roman"/>
          <w:kern w:val="0"/>
          <w:sz w:val="20"/>
          <w:szCs w:val="20"/>
          <w:lang w:val="uz-Cyrl-UZ"/>
        </w:rPr>
        <w:instrText>http://domino.american.edu/AU/media/mediarel.nsf/D265343BDC2189785256B810071F238/1F2F7DC4757FD01E85256F890068E6E0?OpenDocument</w:instrText>
      </w:r>
      <w:r w:rsidR="00A53CBB">
        <w:rPr>
          <w:rFonts w:ascii="Times New Roman" w:hAnsi="Times New Roman" w:cs="Times New Roman"/>
          <w:kern w:val="0"/>
          <w:sz w:val="20"/>
          <w:szCs w:val="20"/>
          <w:lang w:val="uz-Cyrl-UZ"/>
        </w:rPr>
        <w:instrText>"</w:instrText>
      </w:r>
      <w:r w:rsidR="00A53CBB">
        <w:rPr>
          <w:rFonts w:ascii="Times New Roman" w:hAnsi="Times New Roman" w:cs="Times New Roman"/>
          <w:kern w:val="0"/>
          <w:sz w:val="20"/>
          <w:szCs w:val="20"/>
          <w:lang w:val="uz-Cyrl-UZ"/>
        </w:rPr>
        <w:fldChar w:fldCharType="separate"/>
      </w:r>
      <w:r w:rsidR="00A53CBB" w:rsidRPr="00CA0306">
        <w:rPr>
          <w:rStyle w:val="Hyperlink"/>
          <w:rFonts w:ascii="Times New Roman" w:hAnsi="Times New Roman" w:cs="Times New Roman"/>
          <w:kern w:val="0"/>
          <w:sz w:val="20"/>
          <w:szCs w:val="20"/>
          <w:lang w:val="uz-Cyrl-UZ"/>
        </w:rPr>
        <w:t>http://domino.american.edu/AU/media/mediarel.nsf/D265343BDC2189785256B810071F238/1F2F7DC4757FD01E85256F890068E6E0?OpenDocument</w:t>
      </w:r>
      <w:r w:rsidR="00A53CBB">
        <w:rPr>
          <w:rFonts w:ascii="Times New Roman" w:hAnsi="Times New Roman" w:cs="Times New Roman"/>
          <w:kern w:val="0"/>
          <w:sz w:val="20"/>
          <w:szCs w:val="20"/>
          <w:lang w:val="uz-Cyrl-UZ"/>
        </w:rPr>
        <w:fldChar w:fldCharType="end"/>
      </w:r>
      <w:r w:rsidR="00F60606" w:rsidRPr="00F60606">
        <w:rPr>
          <w:rFonts w:ascii="Times New Roman" w:hAnsi="Times New Roman" w:cs="Times New Roman"/>
          <w:kern w:val="0"/>
          <w:sz w:val="20"/>
          <w:szCs w:val="20"/>
          <w:lang w:val="uz-Cyrl-UZ"/>
        </w:rPr>
        <w:t>.</w:t>
      </w:r>
      <w:r w:rsidR="00A53CBB">
        <w:rPr>
          <w:rFonts w:ascii="Times New Roman" w:hAnsi="Times New Roman" w:cs="Times New Roman"/>
          <w:kern w:val="0"/>
          <w:sz w:val="20"/>
          <w:szCs w:val="20"/>
          <w:lang w:val="uz-Cyrl-UZ"/>
        </w:rPr>
        <w:t xml:space="preserve"> </w:t>
      </w:r>
    </w:p>
  </w:footnote>
  <w:footnote w:id="10">
    <w:p w14:paraId="4D1B51AF" w14:textId="3E98DA35" w:rsidR="00DF6BDE" w:rsidRPr="005F2CB5" w:rsidRDefault="00DF6BDE" w:rsidP="00DF6BDE">
      <w:pPr>
        <w:autoSpaceDE w:val="0"/>
        <w:autoSpaceDN w:val="0"/>
        <w:adjustRightInd w:val="0"/>
        <w:spacing w:after="0" w:line="240" w:lineRule="auto"/>
        <w:rPr>
          <w:rFonts w:ascii="Times New Roman" w:hAnsi="Times New Roman" w:cs="Times New Roman"/>
          <w:kern w:val="0"/>
          <w:sz w:val="20"/>
          <w:szCs w:val="20"/>
          <w:lang w:val="es-PR"/>
        </w:rPr>
      </w:pPr>
      <w:r w:rsidRPr="005F2CB5">
        <w:rPr>
          <w:rStyle w:val="FootnoteReference"/>
          <w:rFonts w:ascii="Times New Roman" w:hAnsi="Times New Roman" w:cs="Times New Roman"/>
          <w:sz w:val="20"/>
          <w:szCs w:val="20"/>
          <w:lang w:val="es-PR"/>
        </w:rPr>
        <w:t>10</w:t>
      </w:r>
      <w:r w:rsidRPr="005F2CB5">
        <w:rPr>
          <w:rFonts w:ascii="Times New Roman" w:hAnsi="Times New Roman" w:cs="Times New Roman"/>
          <w:sz w:val="20"/>
          <w:szCs w:val="20"/>
          <w:lang w:val="es-PR"/>
        </w:rPr>
        <w:t xml:space="preserve"> </w:t>
      </w:r>
      <w:r w:rsidR="006B1012" w:rsidRPr="006B1012">
        <w:rPr>
          <w:rFonts w:ascii="Times New Roman" w:hAnsi="Times New Roman" w:cs="Times New Roman"/>
          <w:kern w:val="0"/>
          <w:sz w:val="20"/>
          <w:szCs w:val="20"/>
          <w:lang w:val="uz-Cyrl-UZ"/>
        </w:rPr>
        <w:t>Para evitar que cualquier fragmento de “intención” se convirtiera en un arma política, las personas delegadas a la Convención Constitucional acordaron, desde el inicio de sus deliberaciones, que “las sesiones serían estrictamente secretas.”</w:t>
      </w:r>
      <w:r w:rsidR="003A151C">
        <w:rPr>
          <w:rFonts w:ascii="Times New Roman" w:hAnsi="Times New Roman" w:cs="Times New Roman"/>
          <w:kern w:val="0"/>
          <w:sz w:val="20"/>
          <w:szCs w:val="20"/>
          <w:lang w:val="uz-Cyrl-UZ"/>
        </w:rPr>
        <w:t xml:space="preserve"> </w:t>
      </w:r>
      <w:r w:rsidR="006B1012" w:rsidRPr="006B1012">
        <w:rPr>
          <w:rFonts w:ascii="Times New Roman" w:hAnsi="Times New Roman" w:cs="Times New Roman"/>
          <w:kern w:val="0"/>
          <w:sz w:val="20"/>
          <w:szCs w:val="20"/>
          <w:lang w:val="uz-Cyrl-UZ"/>
        </w:rPr>
        <w:t>Para hacer cumplir este mandato, “se apostaron centinelas fuera y dentro”, se mantuvieron las ventanas cerradas a pesar del calor veraniego, y se intercambiaron votos de confidencialidad.</w:t>
      </w:r>
      <w:r w:rsidR="003A151C">
        <w:rPr>
          <w:rFonts w:ascii="Times New Roman" w:hAnsi="Times New Roman" w:cs="Times New Roman"/>
          <w:kern w:val="0"/>
          <w:sz w:val="20"/>
          <w:szCs w:val="20"/>
          <w:lang w:val="uz-Cyrl-UZ"/>
        </w:rPr>
        <w:t xml:space="preserve"> </w:t>
      </w:r>
      <w:r w:rsidR="006B1012" w:rsidRPr="006B1012">
        <w:rPr>
          <w:rFonts w:ascii="Times New Roman" w:hAnsi="Times New Roman" w:cs="Times New Roman"/>
          <w:kern w:val="0"/>
          <w:sz w:val="20"/>
          <w:szCs w:val="20"/>
          <w:lang w:val="uz-Cyrl-UZ"/>
        </w:rPr>
        <w:t>“El orden de secreto fue observado con tanto escrúpulo, que no fue sino muchos años después que se conoció algo definitivo sobre lo que había ocurrido en la convención.”</w:t>
      </w:r>
      <w:r w:rsidR="003A151C">
        <w:rPr>
          <w:rFonts w:ascii="Times New Roman" w:hAnsi="Times New Roman" w:cs="Times New Roman"/>
          <w:kern w:val="0"/>
          <w:sz w:val="20"/>
          <w:szCs w:val="20"/>
          <w:lang w:val="uz-Cyrl-UZ"/>
        </w:rPr>
        <w:t xml:space="preserve"> </w:t>
      </w:r>
      <w:r w:rsidR="006B1012" w:rsidRPr="006B1012">
        <w:rPr>
          <w:rFonts w:ascii="Times New Roman" w:hAnsi="Times New Roman" w:cs="Times New Roman"/>
          <w:kern w:val="0"/>
          <w:sz w:val="20"/>
          <w:szCs w:val="20"/>
          <w:lang w:val="uz-Cyrl-UZ"/>
        </w:rPr>
        <w:t xml:space="preserve">MAX FARRAND, </w:t>
      </w:r>
      <w:r w:rsidR="006B1012" w:rsidRPr="006B1012">
        <w:rPr>
          <w:rFonts w:ascii="Times New Roman" w:hAnsi="Times New Roman" w:cs="Times New Roman"/>
          <w:i/>
          <w:iCs/>
          <w:kern w:val="0"/>
          <w:sz w:val="20"/>
          <w:szCs w:val="20"/>
          <w:lang w:val="uz-Cyrl-UZ"/>
        </w:rPr>
        <w:t>The Framing of the Constitution of the United States</w:t>
      </w:r>
      <w:r w:rsidR="006B1012" w:rsidRPr="006B1012">
        <w:rPr>
          <w:rFonts w:ascii="Times New Roman" w:hAnsi="Times New Roman" w:cs="Times New Roman"/>
          <w:kern w:val="0"/>
          <w:sz w:val="20"/>
          <w:szCs w:val="20"/>
          <w:lang w:val="uz-Cyrl-UZ"/>
        </w:rPr>
        <w:t>, pp. 58–59 (1913).</w:t>
      </w:r>
      <w:r w:rsidR="00A02D8F">
        <w:rPr>
          <w:rFonts w:ascii="Times New Roman" w:hAnsi="Times New Roman" w:cs="Times New Roman"/>
          <w:kern w:val="0"/>
          <w:sz w:val="20"/>
          <w:szCs w:val="20"/>
          <w:lang w:val="uz-Cyrl-UZ"/>
        </w:rPr>
        <w:t xml:space="preserve"> </w:t>
      </w:r>
      <w:r w:rsidR="006B1012" w:rsidRPr="006B1012">
        <w:rPr>
          <w:rFonts w:ascii="Times New Roman" w:hAnsi="Times New Roman" w:cs="Times New Roman"/>
          <w:kern w:val="0"/>
          <w:sz w:val="20"/>
          <w:szCs w:val="20"/>
          <w:lang w:val="uz-Cyrl-UZ"/>
        </w:rPr>
        <w:t>Este “sello de secreto” fue violado de manera particularmente notoria por James Madison, quien publicó sus notas de forma póstuma, aunque no sin ediciones inciertas.</w:t>
      </w:r>
      <w:r w:rsidR="00A02D8F">
        <w:rPr>
          <w:rFonts w:ascii="Times New Roman" w:hAnsi="Times New Roman" w:cs="Times New Roman"/>
          <w:kern w:val="0"/>
          <w:sz w:val="20"/>
          <w:szCs w:val="20"/>
          <w:lang w:val="uz-Cyrl-UZ"/>
        </w:rPr>
        <w:t xml:space="preserve"> </w:t>
      </w:r>
      <w:r w:rsidR="006B1012" w:rsidRPr="006B1012">
        <w:rPr>
          <w:rFonts w:ascii="Times New Roman" w:hAnsi="Times New Roman" w:cs="Times New Roman"/>
          <w:kern w:val="0"/>
          <w:sz w:val="20"/>
          <w:szCs w:val="20"/>
          <w:lang w:val="uz-Cyrl-UZ"/>
        </w:rPr>
        <w:t>Antes de morir, Madison había escrito que eligió su asiento y organizó su tiempo durante aquel verano para redactar sus notas</w:t>
      </w:r>
      <w:r w:rsidR="00A02D8F" w:rsidRPr="00A02D8F">
        <w:rPr>
          <w:rFonts w:ascii="Times New Roman" w:hAnsi="Times New Roman" w:cs="Times New Roman"/>
          <w:kern w:val="0"/>
          <w:sz w:val="20"/>
          <w:szCs w:val="20"/>
          <w:lang w:val="uz-Cyrl-UZ"/>
        </w:rPr>
        <w:t xml:space="preserve"> </w:t>
      </w:r>
      <w:r w:rsidR="00A02D8F" w:rsidRPr="006B1012">
        <w:rPr>
          <w:rFonts w:ascii="Times New Roman" w:hAnsi="Times New Roman" w:cs="Times New Roman"/>
          <w:kern w:val="0"/>
          <w:sz w:val="20"/>
          <w:szCs w:val="20"/>
          <w:lang w:val="uz-Cyrl-UZ"/>
        </w:rPr>
        <w:t>extensas</w:t>
      </w:r>
      <w:r w:rsidR="006B1012" w:rsidRPr="006B1012">
        <w:rPr>
          <w:rFonts w:ascii="Times New Roman" w:hAnsi="Times New Roman" w:cs="Times New Roman"/>
          <w:kern w:val="0"/>
          <w:sz w:val="20"/>
          <w:szCs w:val="20"/>
          <w:lang w:val="uz-Cyrl-UZ"/>
        </w:rPr>
        <w:t xml:space="preserve">, que han fascinado a las personas historiadoras. Véase </w:t>
      </w:r>
      <w:r w:rsidR="006B1012" w:rsidRPr="006B1012">
        <w:rPr>
          <w:rFonts w:ascii="Times New Roman" w:hAnsi="Times New Roman" w:cs="Times New Roman"/>
          <w:i/>
          <w:iCs/>
          <w:kern w:val="0"/>
          <w:sz w:val="20"/>
          <w:szCs w:val="20"/>
          <w:lang w:val="uz-Cyrl-UZ"/>
        </w:rPr>
        <w:t>id.</w:t>
      </w:r>
      <w:r w:rsidR="006B1012" w:rsidRPr="006B1012">
        <w:rPr>
          <w:rFonts w:ascii="Times New Roman" w:hAnsi="Times New Roman" w:cs="Times New Roman"/>
          <w:kern w:val="0"/>
          <w:sz w:val="20"/>
          <w:szCs w:val="20"/>
          <w:lang w:val="uz-Cyrl-UZ"/>
        </w:rPr>
        <w:t xml:space="preserve"> pp. 59–60.</w:t>
      </w:r>
      <w:r w:rsidR="00A02D8F">
        <w:rPr>
          <w:rFonts w:ascii="Times New Roman" w:hAnsi="Times New Roman" w:cs="Times New Roman"/>
          <w:kern w:val="0"/>
          <w:sz w:val="20"/>
          <w:szCs w:val="20"/>
          <w:lang w:val="uz-Cyrl-UZ"/>
        </w:rPr>
        <w:t xml:space="preserve"> </w:t>
      </w:r>
      <w:r w:rsidR="006B1012" w:rsidRPr="006B1012">
        <w:rPr>
          <w:rFonts w:ascii="Times New Roman" w:hAnsi="Times New Roman" w:cs="Times New Roman"/>
          <w:kern w:val="0"/>
          <w:sz w:val="20"/>
          <w:szCs w:val="20"/>
          <w:lang w:val="uz-Cyrl-UZ"/>
        </w:rPr>
        <w:t>Sin embargo, su transgresión ha contribuido a crear justo las condiciones que los Forjadores, en conjunto, parecían haber querido evitar: condiciones que permiten que la “intención de los Forjadores” se convierta, finalmente, en una ficha ideológica—especialmente durante las últimas décadas bajo el gobierno de jueces y políticos “originalistas”.</w:t>
      </w:r>
    </w:p>
  </w:footnote>
  <w:footnote w:id="11">
    <w:p w14:paraId="15CF461D" w14:textId="51734B01" w:rsidR="0091203F" w:rsidRPr="00DC6FD7" w:rsidRDefault="0091203F" w:rsidP="0091203F">
      <w:pPr>
        <w:autoSpaceDE w:val="0"/>
        <w:autoSpaceDN w:val="0"/>
        <w:adjustRightInd w:val="0"/>
        <w:spacing w:after="0" w:line="240" w:lineRule="auto"/>
        <w:rPr>
          <w:rFonts w:ascii="Times New Roman" w:hAnsi="Times New Roman" w:cs="Times New Roman"/>
          <w:kern w:val="0"/>
          <w:sz w:val="20"/>
          <w:szCs w:val="20"/>
        </w:rPr>
      </w:pPr>
      <w:r w:rsidRPr="00DC6FD7">
        <w:rPr>
          <w:rStyle w:val="FootnoteReference"/>
          <w:rFonts w:ascii="Times New Roman" w:hAnsi="Times New Roman" w:cs="Times New Roman"/>
          <w:sz w:val="20"/>
          <w:szCs w:val="20"/>
        </w:rPr>
        <w:t>11</w:t>
      </w:r>
      <w:r w:rsidRPr="00DC6FD7">
        <w:rPr>
          <w:rFonts w:ascii="Times New Roman" w:hAnsi="Times New Roman" w:cs="Times New Roman"/>
          <w:sz w:val="20"/>
          <w:szCs w:val="20"/>
        </w:rPr>
        <w:t xml:space="preserve"> </w:t>
      </w:r>
      <w:r w:rsidRPr="00DC6FD7">
        <w:rPr>
          <w:rFonts w:ascii="Times New Roman" w:hAnsi="Times New Roman" w:cs="Times New Roman"/>
          <w:kern w:val="0"/>
          <w:sz w:val="20"/>
          <w:szCs w:val="20"/>
        </w:rPr>
        <w:t xml:space="preserve">Robert Post </w:t>
      </w:r>
      <w:r w:rsidR="005F2CB5">
        <w:rPr>
          <w:rFonts w:ascii="Times New Roman" w:hAnsi="Times New Roman" w:cs="Times New Roman"/>
          <w:kern w:val="0"/>
          <w:sz w:val="20"/>
          <w:szCs w:val="20"/>
        </w:rPr>
        <w:t>y</w:t>
      </w:r>
      <w:r w:rsidRPr="00DC6FD7">
        <w:rPr>
          <w:rFonts w:ascii="Times New Roman" w:hAnsi="Times New Roman" w:cs="Times New Roman"/>
          <w:kern w:val="0"/>
          <w:sz w:val="20"/>
          <w:szCs w:val="20"/>
        </w:rPr>
        <w:t xml:space="preserve"> Reva Siegel, </w:t>
      </w:r>
      <w:r w:rsidRPr="00DC6FD7">
        <w:rPr>
          <w:rFonts w:ascii="Times New Roman" w:hAnsi="Times New Roman" w:cs="Times New Roman"/>
          <w:i/>
          <w:iCs/>
          <w:kern w:val="0"/>
          <w:sz w:val="20"/>
          <w:szCs w:val="20"/>
        </w:rPr>
        <w:t xml:space="preserve">Originalism as a Political Practice: The Right's Living Constitution, </w:t>
      </w:r>
      <w:r w:rsidRPr="00DC6FD7">
        <w:rPr>
          <w:rFonts w:ascii="Times New Roman" w:hAnsi="Times New Roman" w:cs="Times New Roman"/>
          <w:kern w:val="0"/>
          <w:sz w:val="20"/>
          <w:szCs w:val="20"/>
        </w:rPr>
        <w:t xml:space="preserve">75 FORDHAM L. REV. 545, 549 (2006) </w:t>
      </w:r>
    </w:p>
  </w:footnote>
  <w:footnote w:id="12">
    <w:p w14:paraId="67C402AD" w14:textId="3F18DD4B" w:rsidR="0016295B" w:rsidRPr="00DC6FD7" w:rsidRDefault="0016295B" w:rsidP="0016295B">
      <w:pPr>
        <w:pStyle w:val="FootnoteText"/>
        <w:rPr>
          <w:rFonts w:ascii="Times New Roman" w:hAnsi="Times New Roman" w:cs="Times New Roman"/>
        </w:rPr>
      </w:pPr>
      <w:r w:rsidRPr="00DC6FD7">
        <w:rPr>
          <w:rStyle w:val="FootnoteReference"/>
          <w:rFonts w:ascii="Times New Roman" w:hAnsi="Times New Roman" w:cs="Times New Roman"/>
        </w:rPr>
        <w:t>12</w:t>
      </w:r>
      <w:r w:rsidRPr="00DC6FD7">
        <w:rPr>
          <w:rFonts w:ascii="Times New Roman" w:hAnsi="Times New Roman" w:cs="Times New Roman"/>
        </w:rPr>
        <w:t xml:space="preserve"> </w:t>
      </w:r>
      <w:r w:rsidRPr="00DC6FD7">
        <w:rPr>
          <w:rFonts w:ascii="Times New Roman" w:hAnsi="Times New Roman" w:cs="Times New Roman"/>
          <w:i/>
          <w:iCs/>
          <w:kern w:val="0"/>
        </w:rPr>
        <w:t xml:space="preserve">Id. </w:t>
      </w:r>
      <w:r w:rsidR="005F2CB5">
        <w:rPr>
          <w:rFonts w:ascii="Times New Roman" w:hAnsi="Times New Roman" w:cs="Times New Roman"/>
          <w:kern w:val="0"/>
        </w:rPr>
        <w:t>en</w:t>
      </w:r>
      <w:r w:rsidRPr="00DC6FD7">
        <w:rPr>
          <w:rFonts w:ascii="Times New Roman" w:hAnsi="Times New Roman" w:cs="Times New Roman"/>
          <w:kern w:val="0"/>
        </w:rPr>
        <w:t xml:space="preserve"> 567.</w:t>
      </w:r>
    </w:p>
  </w:footnote>
  <w:footnote w:id="13">
    <w:p w14:paraId="409BF42D" w14:textId="405FAB97" w:rsidR="00D15055" w:rsidRPr="00607F6D" w:rsidRDefault="00D15055" w:rsidP="00D15055">
      <w:pPr>
        <w:pStyle w:val="FootnoteText"/>
        <w:rPr>
          <w:rFonts w:ascii="Times New Roman" w:hAnsi="Times New Roman" w:cs="Times New Roman"/>
          <w:lang w:val="uz-Cyrl-UZ"/>
        </w:rPr>
      </w:pPr>
      <w:r w:rsidRPr="00607F6D">
        <w:rPr>
          <w:rStyle w:val="FootnoteReference"/>
          <w:rFonts w:ascii="Times New Roman" w:hAnsi="Times New Roman" w:cs="Times New Roman"/>
          <w:lang w:val="es-PR"/>
        </w:rPr>
        <w:t>13</w:t>
      </w:r>
      <w:r w:rsidRPr="00607F6D">
        <w:rPr>
          <w:rFonts w:ascii="Times New Roman" w:hAnsi="Times New Roman" w:cs="Times New Roman"/>
          <w:lang w:val="es-PR"/>
        </w:rPr>
        <w:t xml:space="preserve"> </w:t>
      </w:r>
      <w:r w:rsidR="00607F6D" w:rsidRPr="00607F6D">
        <w:rPr>
          <w:rFonts w:ascii="Times New Roman" w:hAnsi="Times New Roman" w:cs="Times New Roman"/>
          <w:lang w:val="uz-Cyrl-UZ"/>
        </w:rPr>
        <w:t xml:space="preserve">Tomo el término adecuado de Jed Rubenfeld, </w:t>
      </w:r>
      <w:r w:rsidR="00607F6D" w:rsidRPr="00607F6D">
        <w:rPr>
          <w:rFonts w:ascii="Times New Roman" w:hAnsi="Times New Roman" w:cs="Times New Roman"/>
          <w:i/>
          <w:iCs/>
          <w:lang w:val="uz-Cyrl-UZ"/>
        </w:rPr>
        <w:t>The Anti-Antidiscrimination Agenda</w:t>
      </w:r>
      <w:r w:rsidR="00607F6D" w:rsidRPr="00607F6D">
        <w:rPr>
          <w:rFonts w:ascii="Times New Roman" w:hAnsi="Times New Roman" w:cs="Times New Roman"/>
          <w:lang w:val="uz-Cyrl-UZ"/>
        </w:rPr>
        <w:t xml:space="preserve">, 111 </w:t>
      </w:r>
      <w:r w:rsidR="00607F6D" w:rsidRPr="00607F6D">
        <w:rPr>
          <w:rFonts w:ascii="Times New Roman" w:hAnsi="Times New Roman" w:cs="Times New Roman"/>
          <w:i/>
          <w:iCs/>
          <w:lang w:val="uz-Cyrl-UZ"/>
        </w:rPr>
        <w:t>Yale Law Journal</w:t>
      </w:r>
      <w:r w:rsidR="00607F6D" w:rsidRPr="00607F6D">
        <w:rPr>
          <w:rFonts w:ascii="Times New Roman" w:hAnsi="Times New Roman" w:cs="Times New Roman"/>
          <w:lang w:val="uz-Cyrl-UZ"/>
        </w:rPr>
        <w:t xml:space="preserve"> 1141 (2002) (sobre la “agenda anti-antidiscriminación”).</w:t>
      </w:r>
    </w:p>
  </w:footnote>
  <w:footnote w:id="14">
    <w:p w14:paraId="11C3556B" w14:textId="7ECF7B14" w:rsidR="00607F6D" w:rsidRPr="00607F6D" w:rsidRDefault="00D15055" w:rsidP="00607F6D">
      <w:pPr>
        <w:pStyle w:val="FootnoteText"/>
        <w:rPr>
          <w:rFonts w:ascii="Times New Roman" w:hAnsi="Times New Roman" w:cs="Times New Roman"/>
          <w:lang w:val="uz-Cyrl-UZ"/>
        </w:rPr>
      </w:pPr>
      <w:r w:rsidRPr="00DC6FD7">
        <w:rPr>
          <w:rStyle w:val="FootnoteReference"/>
          <w:rFonts w:ascii="Times New Roman" w:hAnsi="Times New Roman" w:cs="Times New Roman"/>
        </w:rPr>
        <w:t>14</w:t>
      </w:r>
      <w:r w:rsidRPr="00DC6FD7">
        <w:rPr>
          <w:rFonts w:ascii="Times New Roman" w:hAnsi="Times New Roman" w:cs="Times New Roman"/>
        </w:rPr>
        <w:t xml:space="preserve"> </w:t>
      </w:r>
      <w:r w:rsidR="00607F6D" w:rsidRPr="00607F6D">
        <w:rPr>
          <w:rFonts w:ascii="Times New Roman" w:hAnsi="Times New Roman" w:cs="Times New Roman"/>
          <w:lang w:val="uz-Cyrl-UZ"/>
        </w:rPr>
        <w:t xml:space="preserve">Para una visión general de las guerras culturales, </w:t>
      </w:r>
      <w:r w:rsidR="00607F6D" w:rsidRPr="00607F6D">
        <w:rPr>
          <w:rFonts w:ascii="Times New Roman" w:hAnsi="Times New Roman" w:cs="Times New Roman"/>
          <w:i/>
          <w:iCs/>
          <w:lang w:val="uz-Cyrl-UZ"/>
        </w:rPr>
        <w:t>véase</w:t>
      </w:r>
      <w:r w:rsidR="00607F6D" w:rsidRPr="00607F6D">
        <w:rPr>
          <w:rFonts w:ascii="Times New Roman" w:hAnsi="Times New Roman" w:cs="Times New Roman"/>
          <w:lang w:val="uz-Cyrl-UZ"/>
        </w:rPr>
        <w:t xml:space="preserve"> Francisco Valdés, </w:t>
      </w:r>
      <w:r w:rsidR="00607F6D" w:rsidRPr="00607F6D">
        <w:rPr>
          <w:rFonts w:ascii="Times New Roman" w:hAnsi="Times New Roman" w:cs="Times New Roman"/>
          <w:i/>
          <w:iCs/>
          <w:lang w:val="uz-Cyrl-UZ"/>
        </w:rPr>
        <w:t>Culture, “Kulturkampf” and Beyond: The Antidiscrimination Principle under the Jurisprudence of Backlash</w:t>
      </w:r>
      <w:r w:rsidR="00607F6D" w:rsidRPr="00607F6D">
        <w:rPr>
          <w:rFonts w:ascii="Times New Roman" w:hAnsi="Times New Roman" w:cs="Times New Roman"/>
          <w:lang w:val="uz-Cyrl-UZ"/>
        </w:rPr>
        <w:t xml:space="preserve">, en </w:t>
      </w:r>
      <w:r w:rsidR="00607F6D" w:rsidRPr="00607F6D">
        <w:rPr>
          <w:rFonts w:ascii="Times New Roman" w:hAnsi="Times New Roman" w:cs="Times New Roman"/>
          <w:i/>
          <w:iCs/>
          <w:lang w:val="uz-Cyrl-UZ"/>
        </w:rPr>
        <w:t>The Blackwell Companion to Law and Society</w:t>
      </w:r>
      <w:r w:rsidR="00607F6D" w:rsidRPr="00607F6D">
        <w:rPr>
          <w:rFonts w:ascii="Times New Roman" w:hAnsi="Times New Roman" w:cs="Times New Roman"/>
          <w:lang w:val="uz-Cyrl-UZ"/>
        </w:rPr>
        <w:t xml:space="preserve"> (Austin Sarat, ed., 2003).</w:t>
      </w:r>
    </w:p>
    <w:p w14:paraId="6C0A520A" w14:textId="0DB0B182" w:rsidR="00D15055" w:rsidRPr="00607F6D" w:rsidRDefault="00D15055" w:rsidP="00D15055">
      <w:pPr>
        <w:pStyle w:val="FootnoteText"/>
        <w:rPr>
          <w:rFonts w:ascii="Times New Roman" w:hAnsi="Times New Roman" w:cs="Times New Roman"/>
          <w:lang w:val="uz-Cyrl-UZ"/>
        </w:rPr>
      </w:pPr>
    </w:p>
  </w:footnote>
  <w:footnote w:id="15">
    <w:p w14:paraId="6584A8B4" w14:textId="436E1792" w:rsidR="007D64F6" w:rsidRPr="007D64F6" w:rsidRDefault="001A564B" w:rsidP="007D64F6">
      <w:pPr>
        <w:pStyle w:val="FootnoteText"/>
        <w:rPr>
          <w:rFonts w:ascii="Times New Roman" w:hAnsi="Times New Roman" w:cs="Times New Roman"/>
          <w:lang w:val="uz-Cyrl-UZ"/>
        </w:rPr>
      </w:pPr>
      <w:r w:rsidRPr="00C135F3">
        <w:rPr>
          <w:rStyle w:val="FootnoteReference"/>
          <w:rFonts w:ascii="Times New Roman" w:hAnsi="Times New Roman" w:cs="Times New Roman"/>
          <w:lang w:val="es-PR"/>
        </w:rPr>
        <w:t>15</w:t>
      </w:r>
      <w:r w:rsidRPr="00C135F3">
        <w:rPr>
          <w:rFonts w:ascii="Times New Roman" w:hAnsi="Times New Roman" w:cs="Times New Roman"/>
          <w:lang w:val="es-PR"/>
        </w:rPr>
        <w:t xml:space="preserve"> </w:t>
      </w:r>
      <w:r w:rsidR="007D64F6" w:rsidRPr="00C135F3">
        <w:rPr>
          <w:rFonts w:ascii="Times New Roman" w:hAnsi="Times New Roman" w:cs="Times New Roman"/>
          <w:lang w:val="uz-Cyrl-UZ"/>
        </w:rPr>
        <w:t xml:space="preserve">Para un ejemplo clave y representativo, </w:t>
      </w:r>
      <w:r w:rsidR="007D64F6" w:rsidRPr="00C135F3">
        <w:rPr>
          <w:rFonts w:ascii="Times New Roman" w:hAnsi="Times New Roman" w:cs="Times New Roman"/>
          <w:i/>
          <w:iCs/>
          <w:lang w:val="uz-Cyrl-UZ"/>
        </w:rPr>
        <w:t>véase</w:t>
      </w:r>
      <w:r w:rsidR="007D64F6" w:rsidRPr="00C135F3">
        <w:rPr>
          <w:rFonts w:ascii="Times New Roman" w:hAnsi="Times New Roman" w:cs="Times New Roman"/>
          <w:lang w:val="uz-Cyrl-UZ"/>
        </w:rPr>
        <w:t xml:space="preserve"> Meese, nota 7 </w:t>
      </w:r>
      <w:r w:rsidR="007D64F6" w:rsidRPr="00C135F3">
        <w:rPr>
          <w:rFonts w:ascii="Times New Roman" w:hAnsi="Times New Roman" w:cs="Times New Roman"/>
          <w:i/>
          <w:iCs/>
          <w:lang w:val="uz-Cyrl-UZ"/>
        </w:rPr>
        <w:t>supra</w:t>
      </w:r>
      <w:r w:rsidR="007D64F6" w:rsidRPr="00C135F3">
        <w:rPr>
          <w:rFonts w:ascii="Times New Roman" w:hAnsi="Times New Roman" w:cs="Times New Roman"/>
          <w:lang w:val="uz-Cyrl-UZ"/>
        </w:rPr>
        <w:t>, p. 17 (selecciona citas estratégicas de M</w:t>
      </w:r>
      <w:r w:rsidR="007D64F6" w:rsidRPr="007D64F6">
        <w:rPr>
          <w:rFonts w:ascii="Times New Roman" w:hAnsi="Times New Roman" w:cs="Times New Roman"/>
          <w:lang w:val="uz-Cyrl-UZ"/>
        </w:rPr>
        <w:t>adison y Jefferson para apoyar sus argumentos, mientras elimina hechos históricos inconvenientes del relato).</w:t>
      </w:r>
    </w:p>
    <w:p w14:paraId="0EC1DA4D" w14:textId="2D48E62C" w:rsidR="001A564B" w:rsidRPr="007D64F6" w:rsidRDefault="001A564B" w:rsidP="001A564B">
      <w:pPr>
        <w:pStyle w:val="FootnoteText"/>
        <w:rPr>
          <w:rFonts w:ascii="Times New Roman" w:hAnsi="Times New Roman" w:cs="Times New Roman"/>
          <w:lang w:val="uz-Cyrl-UZ"/>
        </w:rPr>
      </w:pPr>
    </w:p>
  </w:footnote>
  <w:footnote w:id="16">
    <w:p w14:paraId="1E921505" w14:textId="73B89D4D" w:rsidR="00580BC5" w:rsidRPr="00397547" w:rsidRDefault="00580BC5" w:rsidP="009D4712">
      <w:pPr>
        <w:autoSpaceDE w:val="0"/>
        <w:autoSpaceDN w:val="0"/>
        <w:adjustRightInd w:val="0"/>
        <w:spacing w:after="0" w:line="240" w:lineRule="auto"/>
        <w:rPr>
          <w:rFonts w:ascii="Times New Roman" w:hAnsi="Times New Roman" w:cs="Times New Roman"/>
          <w:kern w:val="0"/>
          <w:sz w:val="20"/>
          <w:szCs w:val="20"/>
          <w:lang w:val="es-PR"/>
        </w:rPr>
      </w:pPr>
      <w:r w:rsidRPr="00516DDF">
        <w:rPr>
          <w:rStyle w:val="FootnoteReference"/>
          <w:rFonts w:ascii="Times New Roman" w:hAnsi="Times New Roman" w:cs="Times New Roman"/>
          <w:sz w:val="20"/>
          <w:szCs w:val="20"/>
          <w:lang w:val="es-PR"/>
        </w:rPr>
        <w:t>16</w:t>
      </w:r>
      <w:r w:rsidRPr="00516DDF">
        <w:rPr>
          <w:rFonts w:ascii="Times New Roman" w:hAnsi="Times New Roman" w:cs="Times New Roman"/>
          <w:sz w:val="20"/>
          <w:szCs w:val="20"/>
          <w:lang w:val="es-PR"/>
        </w:rPr>
        <w:t xml:space="preserve"> </w:t>
      </w:r>
      <w:r w:rsidR="009D4712" w:rsidRPr="009D4712">
        <w:rPr>
          <w:rFonts w:ascii="Times New Roman" w:hAnsi="Times New Roman" w:cs="Times New Roman"/>
          <w:kern w:val="0"/>
          <w:sz w:val="20"/>
          <w:szCs w:val="20"/>
          <w:lang w:val="es-PR"/>
        </w:rPr>
        <w:t>Marbury contra Madison, 5 U.S. 137 (1803), en la que los jueces federalistas, liderados por el recién nombrado presidente del Tribunal Supremo, John Marshall, se atribuyeron el poder de revisar la constitucionalidad de actos legislativos y ejecutivos federales—e invalidaron la legislación federalista que creaba las comisiones objeto de controversia.</w:t>
      </w:r>
      <w:r w:rsidR="00397547">
        <w:rPr>
          <w:rFonts w:ascii="Times New Roman" w:hAnsi="Times New Roman" w:cs="Times New Roman"/>
          <w:kern w:val="0"/>
          <w:sz w:val="20"/>
          <w:szCs w:val="20"/>
          <w:lang w:val="es-PR"/>
        </w:rPr>
        <w:t xml:space="preserve"> </w:t>
      </w:r>
      <w:r w:rsidR="009D4712" w:rsidRPr="009D4712">
        <w:rPr>
          <w:rFonts w:ascii="Times New Roman" w:hAnsi="Times New Roman" w:cs="Times New Roman"/>
          <w:kern w:val="0"/>
          <w:sz w:val="20"/>
          <w:szCs w:val="20"/>
          <w:lang w:val="es-PR"/>
        </w:rPr>
        <w:t xml:space="preserve">Para el contexto histórico, </w:t>
      </w:r>
      <w:r w:rsidR="009D4712" w:rsidRPr="00397547">
        <w:rPr>
          <w:rFonts w:ascii="Times New Roman" w:hAnsi="Times New Roman" w:cs="Times New Roman"/>
          <w:i/>
          <w:iCs/>
          <w:kern w:val="0"/>
          <w:sz w:val="20"/>
          <w:szCs w:val="20"/>
          <w:lang w:val="es-PR"/>
        </w:rPr>
        <w:t>véase</w:t>
      </w:r>
      <w:r w:rsidR="009D4712" w:rsidRPr="009D4712">
        <w:rPr>
          <w:rFonts w:ascii="Times New Roman" w:hAnsi="Times New Roman" w:cs="Times New Roman"/>
          <w:kern w:val="0"/>
          <w:sz w:val="20"/>
          <w:szCs w:val="20"/>
          <w:lang w:val="es-PR"/>
        </w:rPr>
        <w:t xml:space="preserve"> JAMES F. SIMON, </w:t>
      </w:r>
      <w:r w:rsidR="009D4712" w:rsidRPr="00397547">
        <w:rPr>
          <w:rFonts w:ascii="Times New Roman" w:hAnsi="Times New Roman" w:cs="Times New Roman"/>
          <w:i/>
          <w:iCs/>
          <w:kern w:val="0"/>
          <w:sz w:val="20"/>
          <w:szCs w:val="20"/>
          <w:lang w:val="es-PR"/>
        </w:rPr>
        <w:t>What Kind of Nation: Thomas Jefferson, John Marshall, and the Epic Struggle to Create a United States</w:t>
      </w:r>
      <w:r w:rsidR="009D4712" w:rsidRPr="009D4712">
        <w:rPr>
          <w:rFonts w:ascii="Times New Roman" w:hAnsi="Times New Roman" w:cs="Times New Roman"/>
          <w:kern w:val="0"/>
          <w:sz w:val="20"/>
          <w:szCs w:val="20"/>
          <w:lang w:val="es-PR"/>
        </w:rPr>
        <w:t xml:space="preserve"> (2002) (presenta un análisis exhaustivo de las animosidades y conflictos de por vida entre estos dos miembros de la generación fundadora, y cómo su relación representó un microcosmos de las luchas políticas que enmarcaron la fundación del país).</w:t>
      </w:r>
    </w:p>
  </w:footnote>
  <w:footnote w:id="17">
    <w:p w14:paraId="2C2011BD" w14:textId="77777777" w:rsidR="00580BC5" w:rsidRPr="00DC6FD7" w:rsidRDefault="00580BC5" w:rsidP="00580BC5">
      <w:pPr>
        <w:pStyle w:val="FootnoteText"/>
        <w:rPr>
          <w:rFonts w:ascii="Times New Roman" w:hAnsi="Times New Roman" w:cs="Times New Roman"/>
        </w:rPr>
      </w:pPr>
      <w:r w:rsidRPr="00DC6FD7">
        <w:rPr>
          <w:rStyle w:val="FootnoteReference"/>
          <w:rFonts w:ascii="Times New Roman" w:hAnsi="Times New Roman" w:cs="Times New Roman"/>
        </w:rPr>
        <w:t>17</w:t>
      </w:r>
      <w:r w:rsidRPr="00DC6FD7">
        <w:rPr>
          <w:rFonts w:ascii="Times New Roman" w:hAnsi="Times New Roman" w:cs="Times New Roman"/>
        </w:rPr>
        <w:t xml:space="preserve"> </w:t>
      </w:r>
      <w:r w:rsidRPr="00DC6FD7">
        <w:rPr>
          <w:rFonts w:ascii="Times New Roman" w:hAnsi="Times New Roman" w:cs="Times New Roman"/>
          <w:iCs/>
          <w:kern w:val="0"/>
        </w:rPr>
        <w:t>McCulloch v. Maryland,</w:t>
      </w:r>
      <w:r w:rsidRPr="00DC6FD7">
        <w:rPr>
          <w:rFonts w:ascii="Times New Roman" w:hAnsi="Times New Roman" w:cs="Times New Roman"/>
          <w:kern w:val="0"/>
        </w:rPr>
        <w:t xml:space="preserve"> 17 U.S. (4 Wheat.) 316 (1819).</w:t>
      </w:r>
    </w:p>
  </w:footnote>
  <w:footnote w:id="18">
    <w:p w14:paraId="234F767D" w14:textId="77777777" w:rsidR="00580BC5" w:rsidRPr="00DC6FD7" w:rsidRDefault="00580BC5" w:rsidP="00580BC5">
      <w:pPr>
        <w:pStyle w:val="FootnoteText"/>
        <w:rPr>
          <w:rFonts w:ascii="Times New Roman" w:hAnsi="Times New Roman" w:cs="Times New Roman"/>
        </w:rPr>
      </w:pPr>
      <w:r w:rsidRPr="00DC6FD7">
        <w:rPr>
          <w:rStyle w:val="FootnoteReference"/>
          <w:rFonts w:ascii="Times New Roman" w:hAnsi="Times New Roman" w:cs="Times New Roman"/>
        </w:rPr>
        <w:t>18</w:t>
      </w:r>
      <w:r w:rsidRPr="00DC6FD7">
        <w:rPr>
          <w:rFonts w:ascii="Times New Roman" w:hAnsi="Times New Roman" w:cs="Times New Roman"/>
        </w:rPr>
        <w:t xml:space="preserve"> </w:t>
      </w:r>
      <w:r w:rsidRPr="00DC6FD7">
        <w:rPr>
          <w:rFonts w:ascii="Times New Roman" w:hAnsi="Times New Roman" w:cs="Times New Roman"/>
          <w:iCs/>
          <w:kern w:val="0"/>
        </w:rPr>
        <w:t>Gibbons v. Ogden</w:t>
      </w:r>
      <w:r w:rsidRPr="00DC6FD7">
        <w:rPr>
          <w:rFonts w:ascii="Times New Roman" w:hAnsi="Times New Roman" w:cs="Times New Roman"/>
          <w:kern w:val="0"/>
        </w:rPr>
        <w:t>, 22 U.S. (9 Wheat.) 1 (1824).</w:t>
      </w:r>
    </w:p>
  </w:footnote>
  <w:footnote w:id="19">
    <w:p w14:paraId="21D32B38" w14:textId="172D1B17" w:rsidR="00BE220F" w:rsidRPr="00DC6FD7" w:rsidRDefault="00BE220F" w:rsidP="00BE220F">
      <w:pPr>
        <w:pStyle w:val="FootnoteText"/>
        <w:rPr>
          <w:rFonts w:ascii="Times New Roman" w:hAnsi="Times New Roman" w:cs="Times New Roman"/>
        </w:rPr>
      </w:pPr>
      <w:r w:rsidRPr="00DC6FD7">
        <w:rPr>
          <w:rStyle w:val="FootnoteReference"/>
          <w:rFonts w:ascii="Times New Roman" w:hAnsi="Times New Roman" w:cs="Times New Roman"/>
        </w:rPr>
        <w:t>19</w:t>
      </w:r>
      <w:r w:rsidRPr="00DC6FD7">
        <w:rPr>
          <w:rFonts w:ascii="Times New Roman" w:hAnsi="Times New Roman" w:cs="Times New Roman"/>
        </w:rPr>
        <w:t xml:space="preserve"> </w:t>
      </w:r>
      <w:proofErr w:type="spellStart"/>
      <w:r w:rsidR="00516DDF">
        <w:rPr>
          <w:rFonts w:ascii="Times New Roman" w:hAnsi="Times New Roman" w:cs="Times New Roman"/>
          <w:i/>
          <w:iCs/>
          <w:kern w:val="0"/>
        </w:rPr>
        <w:t>Véase</w:t>
      </w:r>
      <w:proofErr w:type="spellEnd"/>
      <w:r w:rsidRPr="00516DDF">
        <w:rPr>
          <w:rFonts w:ascii="Times New Roman" w:hAnsi="Times New Roman" w:cs="Times New Roman"/>
          <w:i/>
          <w:iCs/>
          <w:kern w:val="0"/>
        </w:rPr>
        <w:t xml:space="preserve"> </w:t>
      </w:r>
      <w:r w:rsidRPr="00DC6FD7">
        <w:rPr>
          <w:rFonts w:ascii="Times New Roman" w:hAnsi="Times New Roman" w:cs="Times New Roman"/>
          <w:iCs/>
          <w:kern w:val="0"/>
        </w:rPr>
        <w:t>McCulloch</w:t>
      </w:r>
      <w:r w:rsidRPr="00DC6FD7">
        <w:rPr>
          <w:rFonts w:ascii="Times New Roman" w:hAnsi="Times New Roman" w:cs="Times New Roman"/>
          <w:i/>
          <w:iCs/>
          <w:kern w:val="0"/>
        </w:rPr>
        <w:t xml:space="preserve">, </w:t>
      </w:r>
      <w:r w:rsidRPr="00DC6FD7">
        <w:rPr>
          <w:rFonts w:ascii="Times New Roman" w:hAnsi="Times New Roman" w:cs="Times New Roman"/>
          <w:kern w:val="0"/>
        </w:rPr>
        <w:t>17 U.S. at 421.</w:t>
      </w:r>
    </w:p>
  </w:footnote>
  <w:footnote w:id="20">
    <w:p w14:paraId="7A49DC67" w14:textId="77777777" w:rsidR="00785C86" w:rsidRPr="00DC6FD7" w:rsidRDefault="00785C86" w:rsidP="00785C86">
      <w:pPr>
        <w:pStyle w:val="FootnoteText"/>
        <w:rPr>
          <w:rFonts w:ascii="Times New Roman" w:hAnsi="Times New Roman" w:cs="Times New Roman"/>
        </w:rPr>
      </w:pPr>
      <w:r w:rsidRPr="00DC6FD7">
        <w:rPr>
          <w:rStyle w:val="FootnoteReference"/>
          <w:rFonts w:ascii="Times New Roman" w:hAnsi="Times New Roman" w:cs="Times New Roman"/>
        </w:rPr>
        <w:t>20</w:t>
      </w:r>
      <w:r w:rsidRPr="00DC6FD7">
        <w:rPr>
          <w:rFonts w:ascii="Times New Roman" w:hAnsi="Times New Roman" w:cs="Times New Roman"/>
        </w:rPr>
        <w:t xml:space="preserve"> </w:t>
      </w:r>
      <w:r w:rsidRPr="00DC6FD7">
        <w:rPr>
          <w:rFonts w:ascii="Times New Roman" w:hAnsi="Times New Roman" w:cs="Times New Roman"/>
          <w:i/>
          <w:iCs/>
          <w:kern w:val="0"/>
        </w:rPr>
        <w:t>Id.</w:t>
      </w:r>
    </w:p>
  </w:footnote>
  <w:footnote w:id="21">
    <w:p w14:paraId="1DDF9A0A" w14:textId="77142F96" w:rsidR="00516DDF" w:rsidRPr="00516DDF" w:rsidRDefault="00984299" w:rsidP="00516DDF">
      <w:pPr>
        <w:autoSpaceDE w:val="0"/>
        <w:autoSpaceDN w:val="0"/>
        <w:adjustRightInd w:val="0"/>
        <w:spacing w:after="0" w:line="240" w:lineRule="auto"/>
        <w:rPr>
          <w:rFonts w:ascii="Times New Roman" w:hAnsi="Times New Roman" w:cs="Times New Roman"/>
          <w:kern w:val="0"/>
          <w:sz w:val="20"/>
          <w:szCs w:val="20"/>
          <w:lang w:val="uz-Cyrl-UZ"/>
        </w:rPr>
      </w:pPr>
      <w:r w:rsidRPr="00B630FB">
        <w:rPr>
          <w:rStyle w:val="FootnoteReference"/>
          <w:rFonts w:ascii="Times New Roman" w:hAnsi="Times New Roman" w:cs="Times New Roman"/>
          <w:sz w:val="20"/>
          <w:szCs w:val="20"/>
          <w:lang w:val="es-PR"/>
        </w:rPr>
        <w:t>21</w:t>
      </w:r>
      <w:r w:rsidRPr="00B630FB">
        <w:rPr>
          <w:rFonts w:ascii="Times New Roman" w:hAnsi="Times New Roman" w:cs="Times New Roman"/>
          <w:sz w:val="20"/>
          <w:szCs w:val="20"/>
          <w:lang w:val="es-PR"/>
        </w:rPr>
        <w:t xml:space="preserve"> </w:t>
      </w:r>
      <w:r w:rsidR="00516DDF" w:rsidRPr="00516DDF">
        <w:rPr>
          <w:rFonts w:ascii="Times New Roman" w:hAnsi="Times New Roman" w:cs="Times New Roman"/>
          <w:kern w:val="0"/>
          <w:sz w:val="20"/>
          <w:szCs w:val="20"/>
          <w:lang w:val="uz-Cyrl-UZ"/>
        </w:rPr>
        <w:t>En una opinión unánime redactada por el presidente del Tribunal Supremo, John Marshall, la Corte contrastó dos enfoques básicos de interpretación constitucional: el enfoque “justo”, “razonable” o “sólido” frente al enfoque “estricto” o “limitado”.</w:t>
      </w:r>
      <w:r w:rsidR="00516DDF">
        <w:rPr>
          <w:rFonts w:ascii="Times New Roman" w:hAnsi="Times New Roman" w:cs="Times New Roman"/>
          <w:kern w:val="0"/>
          <w:sz w:val="20"/>
          <w:szCs w:val="20"/>
          <w:lang w:val="uz-Cyrl-UZ"/>
        </w:rPr>
        <w:t xml:space="preserve"> </w:t>
      </w:r>
      <w:r w:rsidR="00516DDF" w:rsidRPr="00516DDF">
        <w:rPr>
          <w:rFonts w:ascii="Times New Roman" w:hAnsi="Times New Roman" w:cs="Times New Roman"/>
          <w:kern w:val="0"/>
          <w:sz w:val="20"/>
          <w:szCs w:val="20"/>
          <w:lang w:val="uz-Cyrl-UZ"/>
        </w:rPr>
        <w:t xml:space="preserve">Al optar por el primero, las y los jueces razonaron que el segundo tendría una “influencia nefasta” sobre la nación, debido a la “absoluta imposibilidad de mantenerlo sin volver incompetente al gobierno para alcanzar sus grandes fines.” </w:t>
      </w:r>
      <w:r w:rsidR="00516DDF" w:rsidRPr="00516DDF">
        <w:rPr>
          <w:rFonts w:ascii="Times New Roman" w:hAnsi="Times New Roman" w:cs="Times New Roman"/>
          <w:i/>
          <w:iCs/>
          <w:kern w:val="0"/>
          <w:sz w:val="20"/>
          <w:szCs w:val="20"/>
          <w:lang w:val="uz-Cyrl-UZ"/>
        </w:rPr>
        <w:t>Id.</w:t>
      </w:r>
      <w:r w:rsidR="00516DDF" w:rsidRPr="00516DDF">
        <w:rPr>
          <w:rFonts w:ascii="Times New Roman" w:hAnsi="Times New Roman" w:cs="Times New Roman"/>
          <w:kern w:val="0"/>
          <w:sz w:val="20"/>
          <w:szCs w:val="20"/>
          <w:lang w:val="uz-Cyrl-UZ"/>
        </w:rPr>
        <w:t xml:space="preserve"> en 417–18.</w:t>
      </w:r>
    </w:p>
    <w:p w14:paraId="40F60F04" w14:textId="26253332" w:rsidR="00984299" w:rsidRPr="00516DDF" w:rsidRDefault="00984299" w:rsidP="00984299">
      <w:pPr>
        <w:autoSpaceDE w:val="0"/>
        <w:autoSpaceDN w:val="0"/>
        <w:adjustRightInd w:val="0"/>
        <w:spacing w:after="0" w:line="240" w:lineRule="auto"/>
        <w:rPr>
          <w:rFonts w:ascii="Times New Roman" w:hAnsi="Times New Roman" w:cs="Times New Roman"/>
          <w:kern w:val="0"/>
          <w:sz w:val="20"/>
          <w:szCs w:val="20"/>
          <w:lang w:val="es-PR"/>
        </w:rPr>
      </w:pPr>
    </w:p>
  </w:footnote>
  <w:footnote w:id="22">
    <w:p w14:paraId="2A4D52FC" w14:textId="36234285" w:rsidR="003D511B" w:rsidRPr="00D028C0" w:rsidRDefault="003D511B" w:rsidP="003D511B">
      <w:pPr>
        <w:pStyle w:val="FootnoteText"/>
        <w:rPr>
          <w:rFonts w:ascii="Times New Roman" w:hAnsi="Times New Roman" w:cs="Times New Roman"/>
          <w:i/>
          <w:lang w:val="uz-Cyrl-UZ"/>
        </w:rPr>
      </w:pPr>
      <w:r w:rsidRPr="00994D63">
        <w:rPr>
          <w:rStyle w:val="FootnoteReference"/>
          <w:rFonts w:ascii="Times New Roman" w:hAnsi="Times New Roman" w:cs="Times New Roman"/>
          <w:lang w:val="es-PR"/>
        </w:rPr>
        <w:t>22</w:t>
      </w:r>
      <w:r w:rsidRPr="00994D63">
        <w:rPr>
          <w:rFonts w:ascii="Times New Roman" w:hAnsi="Times New Roman" w:cs="Times New Roman"/>
          <w:lang w:val="es-PR"/>
        </w:rPr>
        <w:t xml:space="preserve"> </w:t>
      </w:r>
      <w:r w:rsidR="00D028C0" w:rsidRPr="00D028C0">
        <w:rPr>
          <w:rFonts w:ascii="Times New Roman" w:hAnsi="Times New Roman" w:cs="Times New Roman"/>
          <w:i/>
          <w:lang w:val="uz-Cyrl-UZ"/>
        </w:rPr>
        <w:t>Véase</w:t>
      </w:r>
      <w:r w:rsidRPr="00994D63">
        <w:rPr>
          <w:rFonts w:ascii="Times New Roman" w:hAnsi="Times New Roman" w:cs="Times New Roman"/>
          <w:lang w:val="es-PR"/>
        </w:rPr>
        <w:t xml:space="preserve"> Gibbons, not</w:t>
      </w:r>
      <w:r w:rsidR="00D028C0" w:rsidRPr="00994D63">
        <w:rPr>
          <w:rFonts w:ascii="Times New Roman" w:hAnsi="Times New Roman" w:cs="Times New Roman"/>
          <w:lang w:val="es-PR"/>
        </w:rPr>
        <w:t>a</w:t>
      </w:r>
      <w:r w:rsidRPr="00994D63">
        <w:rPr>
          <w:rFonts w:ascii="Times New Roman" w:hAnsi="Times New Roman" w:cs="Times New Roman"/>
          <w:lang w:val="es-PR"/>
        </w:rPr>
        <w:t xml:space="preserve"> 18</w:t>
      </w:r>
      <w:r w:rsidR="00D028C0" w:rsidRPr="00994D63">
        <w:rPr>
          <w:rFonts w:ascii="Times New Roman" w:hAnsi="Times New Roman" w:cs="Times New Roman"/>
          <w:i/>
          <w:lang w:val="es-PR"/>
        </w:rPr>
        <w:t xml:space="preserve"> supra</w:t>
      </w:r>
      <w:r w:rsidRPr="00994D63">
        <w:rPr>
          <w:rFonts w:ascii="Times New Roman" w:hAnsi="Times New Roman" w:cs="Times New Roman"/>
          <w:lang w:val="es-PR"/>
        </w:rPr>
        <w:t>.</w:t>
      </w:r>
    </w:p>
  </w:footnote>
  <w:footnote w:id="23">
    <w:p w14:paraId="792A9A3B" w14:textId="422D866A" w:rsidR="00105CD6" w:rsidRPr="00994D63" w:rsidRDefault="00105CD6" w:rsidP="00105CD6">
      <w:pPr>
        <w:autoSpaceDE w:val="0"/>
        <w:autoSpaceDN w:val="0"/>
        <w:adjustRightInd w:val="0"/>
        <w:spacing w:after="0" w:line="240" w:lineRule="auto"/>
        <w:rPr>
          <w:rFonts w:ascii="Times New Roman" w:hAnsi="Times New Roman" w:cs="Times New Roman"/>
          <w:sz w:val="20"/>
          <w:szCs w:val="20"/>
          <w:lang w:val="uz-Cyrl-UZ"/>
        </w:rPr>
      </w:pPr>
      <w:r w:rsidRPr="00994D63">
        <w:rPr>
          <w:rStyle w:val="FootnoteReference"/>
          <w:rFonts w:ascii="Times New Roman" w:hAnsi="Times New Roman" w:cs="Times New Roman"/>
          <w:sz w:val="20"/>
          <w:szCs w:val="20"/>
          <w:lang w:val="es-PR"/>
        </w:rPr>
        <w:t>23</w:t>
      </w:r>
      <w:r w:rsidRPr="00994D63">
        <w:rPr>
          <w:rFonts w:ascii="Times New Roman" w:hAnsi="Times New Roman" w:cs="Times New Roman"/>
          <w:sz w:val="20"/>
          <w:szCs w:val="20"/>
          <w:lang w:val="es-PR"/>
        </w:rPr>
        <w:t xml:space="preserve"> </w:t>
      </w:r>
      <w:r w:rsidR="00994D63" w:rsidRPr="00994D63">
        <w:rPr>
          <w:rFonts w:ascii="Times New Roman" w:hAnsi="Times New Roman" w:cs="Times New Roman"/>
          <w:i/>
          <w:sz w:val="20"/>
          <w:szCs w:val="20"/>
          <w:lang w:val="uz-Cyrl-UZ"/>
        </w:rPr>
        <w:t>Véase</w:t>
      </w:r>
      <w:r w:rsidR="00994D63" w:rsidRPr="00994D63">
        <w:rPr>
          <w:rFonts w:ascii="Times New Roman" w:hAnsi="Times New Roman" w:cs="Times New Roman"/>
          <w:iCs/>
          <w:sz w:val="20"/>
          <w:szCs w:val="20"/>
          <w:lang w:val="uz-Cyrl-UZ"/>
        </w:rPr>
        <w:t>, por ejemplo</w:t>
      </w:r>
      <w:r w:rsidR="00994D63" w:rsidRPr="00994D63">
        <w:rPr>
          <w:rFonts w:ascii="Times New Roman" w:hAnsi="Times New Roman" w:cs="Times New Roman"/>
          <w:i/>
          <w:sz w:val="20"/>
          <w:szCs w:val="20"/>
          <w:lang w:val="uz-Cyrl-UZ"/>
        </w:rPr>
        <w:t xml:space="preserve">, </w:t>
      </w:r>
      <w:r w:rsidR="00994D63" w:rsidRPr="00994D63">
        <w:rPr>
          <w:rFonts w:ascii="Times New Roman" w:hAnsi="Times New Roman" w:cs="Times New Roman"/>
          <w:sz w:val="20"/>
          <w:szCs w:val="20"/>
          <w:lang w:val="uz-Cyrl-UZ"/>
        </w:rPr>
        <w:t>Youngstown Sheet and Tube Co. contra Sawyer, 343 U.S. 579, 610 (1952) (opinión concurrente del juez Frankfurter) (invalida la incautación ejecutiva de las acerías destinada a mantener el suministro militar durante las operaciones de la Guerra de Corea).</w:t>
      </w:r>
    </w:p>
  </w:footnote>
  <w:footnote w:id="24">
    <w:p w14:paraId="15DA35E6" w14:textId="23CA25F8" w:rsidR="00FE641B" w:rsidRPr="00FE641B" w:rsidRDefault="00101D64" w:rsidP="00FE641B">
      <w:pPr>
        <w:pStyle w:val="FootnoteText"/>
        <w:rPr>
          <w:rFonts w:ascii="Times New Roman" w:hAnsi="Times New Roman" w:cs="Times New Roman"/>
          <w:lang w:val="uz-Cyrl-UZ"/>
        </w:rPr>
      </w:pPr>
      <w:r w:rsidRPr="00FE641B">
        <w:rPr>
          <w:rStyle w:val="FootnoteReference"/>
          <w:rFonts w:ascii="Times New Roman" w:hAnsi="Times New Roman" w:cs="Times New Roman"/>
          <w:lang w:val="es-PR"/>
        </w:rPr>
        <w:t>24</w:t>
      </w:r>
      <w:r w:rsidRPr="00FE641B">
        <w:rPr>
          <w:rFonts w:ascii="Times New Roman" w:hAnsi="Times New Roman" w:cs="Times New Roman"/>
          <w:lang w:val="es-PR"/>
        </w:rPr>
        <w:t xml:space="preserve"> </w:t>
      </w:r>
      <w:r w:rsidR="00FE641B" w:rsidRPr="00FE641B">
        <w:rPr>
          <w:rFonts w:ascii="Times New Roman" w:hAnsi="Times New Roman" w:cs="Times New Roman"/>
          <w:lang w:val="uz-Cyrl-UZ"/>
        </w:rPr>
        <w:t xml:space="preserve">El Fiscal General de Estados Unidos es uno de los principales matones en este asunto. Véase, por ejemplo, </w:t>
      </w:r>
      <w:r w:rsidR="00FE641B" w:rsidRPr="00FE641B">
        <w:rPr>
          <w:rFonts w:ascii="Times New Roman" w:hAnsi="Times New Roman" w:cs="Times New Roman"/>
          <w:i/>
          <w:iCs/>
          <w:lang w:val="uz-Cyrl-UZ"/>
        </w:rPr>
        <w:t>Ashcroft: Critics of New Terror Measures Undermine Effort</w:t>
      </w:r>
      <w:r w:rsidR="00FE641B" w:rsidRPr="00FE641B">
        <w:rPr>
          <w:rFonts w:ascii="Times New Roman" w:hAnsi="Times New Roman" w:cs="Times New Roman"/>
          <w:lang w:val="uz-Cyrl-UZ"/>
        </w:rPr>
        <w:t xml:space="preserve">, cnn.com, 7 de diciembre de 2001, disponible en </w:t>
      </w:r>
      <w:hyperlink r:id="rId1" w:history="1">
        <w:r w:rsidR="00FE641B" w:rsidRPr="00CA0306">
          <w:rPr>
            <w:rStyle w:val="Hyperlink"/>
            <w:rFonts w:ascii="Times New Roman" w:hAnsi="Times New Roman" w:cs="Times New Roman"/>
            <w:lang w:val="uz-Cyrl-UZ"/>
          </w:rPr>
          <w:t>http://www.cnn.com/2001[US/12/06/inv.ashcroft.hearing/</w:t>
        </w:r>
      </w:hyperlink>
      <w:r w:rsidR="00FE641B" w:rsidRPr="00FE641B">
        <w:rPr>
          <w:rFonts w:ascii="Times New Roman" w:hAnsi="Times New Roman" w:cs="Times New Roman"/>
          <w:lang w:val="uz-Cyrl-UZ"/>
        </w:rPr>
        <w:t>.</w:t>
      </w:r>
      <w:r w:rsidR="00FE641B">
        <w:rPr>
          <w:rFonts w:ascii="Times New Roman" w:hAnsi="Times New Roman" w:cs="Times New Roman"/>
          <w:lang w:val="uz-Cyrl-UZ"/>
        </w:rPr>
        <w:t xml:space="preserve"> </w:t>
      </w:r>
    </w:p>
    <w:p w14:paraId="5BBD27D3" w14:textId="6F527C36" w:rsidR="00101D64" w:rsidRPr="00FE641B" w:rsidRDefault="00101D64" w:rsidP="00101D64">
      <w:pPr>
        <w:pStyle w:val="FootnoteText"/>
        <w:rPr>
          <w:rFonts w:ascii="Times New Roman" w:hAnsi="Times New Roman" w:cs="Times New Roman"/>
          <w:lang w:val="uz-Cyrl-UZ"/>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60834"/>
      <w:docPartObj>
        <w:docPartGallery w:val="Page Numbers (Top of Page)"/>
        <w:docPartUnique/>
      </w:docPartObj>
    </w:sdtPr>
    <w:sdtEndPr>
      <w:rPr>
        <w:noProof/>
      </w:rPr>
    </w:sdtEndPr>
    <w:sdtContent>
      <w:p w14:paraId="60F6F1BF" w14:textId="6214EEEE" w:rsidR="00584797" w:rsidRDefault="00584797">
        <w:pPr>
          <w:pStyle w:val="Header"/>
          <w:jc w:val="right"/>
        </w:pPr>
        <w:r>
          <w:fldChar w:fldCharType="begin"/>
        </w:r>
        <w:r>
          <w:instrText xml:space="preserve"> PAGE   \* MERGEFORMAT </w:instrText>
        </w:r>
        <w:r>
          <w:fldChar w:fldCharType="separate"/>
        </w:r>
        <w:r w:rsidR="009F3DF5">
          <w:rPr>
            <w:noProof/>
          </w:rPr>
          <w:t>1</w:t>
        </w:r>
        <w:r>
          <w:rPr>
            <w:noProof/>
          </w:rPr>
          <w:fldChar w:fldCharType="end"/>
        </w:r>
      </w:p>
    </w:sdtContent>
  </w:sdt>
  <w:p w14:paraId="2A39A4F7" w14:textId="77777777" w:rsidR="00584797" w:rsidRDefault="005847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227"/>
    <w:multiLevelType w:val="multilevel"/>
    <w:tmpl w:val="44E21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4798E"/>
    <w:multiLevelType w:val="multilevel"/>
    <w:tmpl w:val="FCE0D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05520"/>
    <w:multiLevelType w:val="multilevel"/>
    <w:tmpl w:val="CBEC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42716C"/>
    <w:multiLevelType w:val="multilevel"/>
    <w:tmpl w:val="FEE2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90"/>
    <w:rsid w:val="00001223"/>
    <w:rsid w:val="00010FA7"/>
    <w:rsid w:val="000148FC"/>
    <w:rsid w:val="00015686"/>
    <w:rsid w:val="000724CD"/>
    <w:rsid w:val="00093412"/>
    <w:rsid w:val="00097E4A"/>
    <w:rsid w:val="000F330A"/>
    <w:rsid w:val="00101D64"/>
    <w:rsid w:val="00105CD6"/>
    <w:rsid w:val="00106155"/>
    <w:rsid w:val="001075EC"/>
    <w:rsid w:val="001149C1"/>
    <w:rsid w:val="001219B3"/>
    <w:rsid w:val="0012490E"/>
    <w:rsid w:val="0015693A"/>
    <w:rsid w:val="0016295B"/>
    <w:rsid w:val="001639DF"/>
    <w:rsid w:val="001713E2"/>
    <w:rsid w:val="00175C50"/>
    <w:rsid w:val="001A564B"/>
    <w:rsid w:val="001B3FD3"/>
    <w:rsid w:val="001C6127"/>
    <w:rsid w:val="001D3FF3"/>
    <w:rsid w:val="001F1E7F"/>
    <w:rsid w:val="001F2893"/>
    <w:rsid w:val="001F3DDD"/>
    <w:rsid w:val="001F51B2"/>
    <w:rsid w:val="00201D95"/>
    <w:rsid w:val="00204C00"/>
    <w:rsid w:val="002067F3"/>
    <w:rsid w:val="00226724"/>
    <w:rsid w:val="0023410D"/>
    <w:rsid w:val="002406B1"/>
    <w:rsid w:val="00242DAE"/>
    <w:rsid w:val="00244BF0"/>
    <w:rsid w:val="00250ABA"/>
    <w:rsid w:val="00255BA1"/>
    <w:rsid w:val="002579B2"/>
    <w:rsid w:val="00264AEA"/>
    <w:rsid w:val="0029596A"/>
    <w:rsid w:val="002A48F5"/>
    <w:rsid w:val="002A7799"/>
    <w:rsid w:val="002B0D29"/>
    <w:rsid w:val="002B16C4"/>
    <w:rsid w:val="002B7D98"/>
    <w:rsid w:val="002C34C9"/>
    <w:rsid w:val="002D0CD5"/>
    <w:rsid w:val="002D3865"/>
    <w:rsid w:val="002D3F85"/>
    <w:rsid w:val="002E311A"/>
    <w:rsid w:val="002E6C63"/>
    <w:rsid w:val="002F07CE"/>
    <w:rsid w:val="002F343B"/>
    <w:rsid w:val="0030501C"/>
    <w:rsid w:val="00305BF6"/>
    <w:rsid w:val="00314EA4"/>
    <w:rsid w:val="003153E9"/>
    <w:rsid w:val="003271D0"/>
    <w:rsid w:val="00352C31"/>
    <w:rsid w:val="003552A8"/>
    <w:rsid w:val="003579C9"/>
    <w:rsid w:val="00365601"/>
    <w:rsid w:val="00366F0A"/>
    <w:rsid w:val="003959D4"/>
    <w:rsid w:val="00397547"/>
    <w:rsid w:val="003A151C"/>
    <w:rsid w:val="003A3033"/>
    <w:rsid w:val="003B0819"/>
    <w:rsid w:val="003C0430"/>
    <w:rsid w:val="003D511B"/>
    <w:rsid w:val="0040742C"/>
    <w:rsid w:val="00411437"/>
    <w:rsid w:val="004410D6"/>
    <w:rsid w:val="00454CF9"/>
    <w:rsid w:val="004677DE"/>
    <w:rsid w:val="00481CC8"/>
    <w:rsid w:val="0049530E"/>
    <w:rsid w:val="004A6B19"/>
    <w:rsid w:val="004F2231"/>
    <w:rsid w:val="004F450E"/>
    <w:rsid w:val="00516DDF"/>
    <w:rsid w:val="0054022E"/>
    <w:rsid w:val="005716E4"/>
    <w:rsid w:val="00580BC5"/>
    <w:rsid w:val="00584797"/>
    <w:rsid w:val="00586192"/>
    <w:rsid w:val="005979E9"/>
    <w:rsid w:val="00597F37"/>
    <w:rsid w:val="005A0F58"/>
    <w:rsid w:val="005A596B"/>
    <w:rsid w:val="005A786F"/>
    <w:rsid w:val="005E1D26"/>
    <w:rsid w:val="005E20DD"/>
    <w:rsid w:val="005E4834"/>
    <w:rsid w:val="005F2CB5"/>
    <w:rsid w:val="00604EFA"/>
    <w:rsid w:val="00607F6D"/>
    <w:rsid w:val="0061182C"/>
    <w:rsid w:val="0061200A"/>
    <w:rsid w:val="006214D9"/>
    <w:rsid w:val="00626CCE"/>
    <w:rsid w:val="00675990"/>
    <w:rsid w:val="006B1012"/>
    <w:rsid w:val="00713457"/>
    <w:rsid w:val="007166D7"/>
    <w:rsid w:val="00727CFF"/>
    <w:rsid w:val="007623B8"/>
    <w:rsid w:val="00774020"/>
    <w:rsid w:val="00785C86"/>
    <w:rsid w:val="007A010B"/>
    <w:rsid w:val="007A067F"/>
    <w:rsid w:val="007A0A48"/>
    <w:rsid w:val="007A0E01"/>
    <w:rsid w:val="007D5494"/>
    <w:rsid w:val="007D64F6"/>
    <w:rsid w:val="007E02A0"/>
    <w:rsid w:val="0080320C"/>
    <w:rsid w:val="00840328"/>
    <w:rsid w:val="00843393"/>
    <w:rsid w:val="00847379"/>
    <w:rsid w:val="00847608"/>
    <w:rsid w:val="00863FB1"/>
    <w:rsid w:val="00870746"/>
    <w:rsid w:val="00892B72"/>
    <w:rsid w:val="008A2B5F"/>
    <w:rsid w:val="008B02B1"/>
    <w:rsid w:val="008B1B79"/>
    <w:rsid w:val="008C344A"/>
    <w:rsid w:val="008C4E86"/>
    <w:rsid w:val="008D34A4"/>
    <w:rsid w:val="008D39AA"/>
    <w:rsid w:val="0091203F"/>
    <w:rsid w:val="009369C7"/>
    <w:rsid w:val="00952044"/>
    <w:rsid w:val="00952D97"/>
    <w:rsid w:val="009567F7"/>
    <w:rsid w:val="00957267"/>
    <w:rsid w:val="009809E5"/>
    <w:rsid w:val="00984299"/>
    <w:rsid w:val="00986336"/>
    <w:rsid w:val="00994D63"/>
    <w:rsid w:val="009A2AE0"/>
    <w:rsid w:val="009B4CCF"/>
    <w:rsid w:val="009D4712"/>
    <w:rsid w:val="009F02B8"/>
    <w:rsid w:val="009F1D25"/>
    <w:rsid w:val="009F35A7"/>
    <w:rsid w:val="009F3DF5"/>
    <w:rsid w:val="00A02D8F"/>
    <w:rsid w:val="00A13822"/>
    <w:rsid w:val="00A14E3A"/>
    <w:rsid w:val="00A40448"/>
    <w:rsid w:val="00A512C3"/>
    <w:rsid w:val="00A53CBB"/>
    <w:rsid w:val="00A640C5"/>
    <w:rsid w:val="00AA01D2"/>
    <w:rsid w:val="00AA7DD5"/>
    <w:rsid w:val="00AF5497"/>
    <w:rsid w:val="00AF6E78"/>
    <w:rsid w:val="00B04C8E"/>
    <w:rsid w:val="00B2426B"/>
    <w:rsid w:val="00B30256"/>
    <w:rsid w:val="00B4351D"/>
    <w:rsid w:val="00B4465C"/>
    <w:rsid w:val="00B51444"/>
    <w:rsid w:val="00B617B4"/>
    <w:rsid w:val="00B630FB"/>
    <w:rsid w:val="00B64925"/>
    <w:rsid w:val="00B76948"/>
    <w:rsid w:val="00BA21B7"/>
    <w:rsid w:val="00BB1B63"/>
    <w:rsid w:val="00BD2471"/>
    <w:rsid w:val="00BE220F"/>
    <w:rsid w:val="00C01957"/>
    <w:rsid w:val="00C01D54"/>
    <w:rsid w:val="00C04F69"/>
    <w:rsid w:val="00C10FEB"/>
    <w:rsid w:val="00C135F3"/>
    <w:rsid w:val="00C17589"/>
    <w:rsid w:val="00C360B8"/>
    <w:rsid w:val="00C42677"/>
    <w:rsid w:val="00C4355B"/>
    <w:rsid w:val="00C51B34"/>
    <w:rsid w:val="00C61812"/>
    <w:rsid w:val="00C76D6D"/>
    <w:rsid w:val="00CD67D1"/>
    <w:rsid w:val="00CD7E12"/>
    <w:rsid w:val="00CF3C0E"/>
    <w:rsid w:val="00D00CF8"/>
    <w:rsid w:val="00D028C0"/>
    <w:rsid w:val="00D07EDE"/>
    <w:rsid w:val="00D146F8"/>
    <w:rsid w:val="00D15055"/>
    <w:rsid w:val="00D3717D"/>
    <w:rsid w:val="00D56288"/>
    <w:rsid w:val="00D61B88"/>
    <w:rsid w:val="00D73930"/>
    <w:rsid w:val="00DA167D"/>
    <w:rsid w:val="00DB2EC1"/>
    <w:rsid w:val="00DB3C27"/>
    <w:rsid w:val="00DB5FF5"/>
    <w:rsid w:val="00DC6FD7"/>
    <w:rsid w:val="00DE643A"/>
    <w:rsid w:val="00DF6BDE"/>
    <w:rsid w:val="00DF78DE"/>
    <w:rsid w:val="00E0171E"/>
    <w:rsid w:val="00E54145"/>
    <w:rsid w:val="00E60DC1"/>
    <w:rsid w:val="00E76676"/>
    <w:rsid w:val="00E94E74"/>
    <w:rsid w:val="00EB2619"/>
    <w:rsid w:val="00EE6602"/>
    <w:rsid w:val="00EF1172"/>
    <w:rsid w:val="00EF3072"/>
    <w:rsid w:val="00EF5E43"/>
    <w:rsid w:val="00F02352"/>
    <w:rsid w:val="00F12175"/>
    <w:rsid w:val="00F17909"/>
    <w:rsid w:val="00F325CE"/>
    <w:rsid w:val="00F32779"/>
    <w:rsid w:val="00F3674E"/>
    <w:rsid w:val="00F37649"/>
    <w:rsid w:val="00F47605"/>
    <w:rsid w:val="00F55BC7"/>
    <w:rsid w:val="00F60606"/>
    <w:rsid w:val="00F655D9"/>
    <w:rsid w:val="00F7535F"/>
    <w:rsid w:val="00F8630D"/>
    <w:rsid w:val="00FA5D12"/>
    <w:rsid w:val="00FB6135"/>
    <w:rsid w:val="00FC1D82"/>
    <w:rsid w:val="00FC425E"/>
    <w:rsid w:val="00FC6659"/>
    <w:rsid w:val="00FC66A8"/>
    <w:rsid w:val="00FD0995"/>
    <w:rsid w:val="00FD4E99"/>
    <w:rsid w:val="00FE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C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90"/>
  </w:style>
  <w:style w:type="paragraph" w:styleId="Footer">
    <w:name w:val="footer"/>
    <w:basedOn w:val="Normal"/>
    <w:link w:val="FooterChar"/>
    <w:uiPriority w:val="99"/>
    <w:unhideWhenUsed/>
    <w:rsid w:val="00675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90"/>
  </w:style>
  <w:style w:type="paragraph" w:styleId="FootnoteText">
    <w:name w:val="footnote text"/>
    <w:basedOn w:val="Normal"/>
    <w:link w:val="FootnoteTextChar"/>
    <w:uiPriority w:val="99"/>
    <w:unhideWhenUsed/>
    <w:rsid w:val="00675990"/>
    <w:pPr>
      <w:spacing w:after="0" w:line="240" w:lineRule="auto"/>
    </w:pPr>
    <w:rPr>
      <w:sz w:val="20"/>
      <w:szCs w:val="20"/>
    </w:rPr>
  </w:style>
  <w:style w:type="character" w:customStyle="1" w:styleId="FootnoteTextChar">
    <w:name w:val="Footnote Text Char"/>
    <w:basedOn w:val="DefaultParagraphFont"/>
    <w:link w:val="FootnoteText"/>
    <w:uiPriority w:val="99"/>
    <w:rsid w:val="00675990"/>
    <w:rPr>
      <w:sz w:val="20"/>
      <w:szCs w:val="20"/>
    </w:rPr>
  </w:style>
  <w:style w:type="character" w:styleId="FootnoteReference">
    <w:name w:val="footnote reference"/>
    <w:basedOn w:val="DefaultParagraphFont"/>
    <w:uiPriority w:val="99"/>
    <w:unhideWhenUsed/>
    <w:rsid w:val="00675990"/>
    <w:rPr>
      <w:vertAlign w:val="superscript"/>
    </w:rPr>
  </w:style>
  <w:style w:type="character" w:styleId="Hyperlink">
    <w:name w:val="Hyperlink"/>
    <w:basedOn w:val="DefaultParagraphFont"/>
    <w:uiPriority w:val="99"/>
    <w:unhideWhenUsed/>
    <w:rsid w:val="008D34A4"/>
    <w:rPr>
      <w:color w:val="0563C1" w:themeColor="hyperlink"/>
      <w:u w:val="single"/>
    </w:rPr>
  </w:style>
  <w:style w:type="character" w:customStyle="1" w:styleId="UnresolvedMention1">
    <w:name w:val="Unresolved Mention1"/>
    <w:basedOn w:val="DefaultParagraphFont"/>
    <w:uiPriority w:val="99"/>
    <w:semiHidden/>
    <w:unhideWhenUsed/>
    <w:rsid w:val="008D34A4"/>
    <w:rPr>
      <w:color w:val="605E5C"/>
      <w:shd w:val="clear" w:color="auto" w:fill="E1DFDD"/>
    </w:rPr>
  </w:style>
  <w:style w:type="paragraph" w:styleId="NormalWeb">
    <w:name w:val="Normal (Web)"/>
    <w:basedOn w:val="Normal"/>
    <w:uiPriority w:val="99"/>
    <w:semiHidden/>
    <w:unhideWhenUsed/>
    <w:rsid w:val="00D07EDE"/>
    <w:rPr>
      <w:rFonts w:ascii="Times New Roman" w:hAnsi="Times New Roman" w:cs="Times New Roman"/>
      <w:sz w:val="24"/>
      <w:szCs w:val="24"/>
    </w:rPr>
  </w:style>
  <w:style w:type="paragraph" w:customStyle="1" w:styleId="p1">
    <w:name w:val="p1"/>
    <w:basedOn w:val="Normal"/>
    <w:rsid w:val="00EF5E43"/>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UnresolvedMention">
    <w:name w:val="Unresolved Mention"/>
    <w:basedOn w:val="DefaultParagraphFont"/>
    <w:uiPriority w:val="99"/>
    <w:semiHidden/>
    <w:unhideWhenUsed/>
    <w:rsid w:val="002D3865"/>
    <w:rPr>
      <w:color w:val="605E5C"/>
      <w:shd w:val="clear" w:color="auto" w:fill="E1DFDD"/>
    </w:rPr>
  </w:style>
  <w:style w:type="paragraph" w:customStyle="1" w:styleId="p2">
    <w:name w:val="p2"/>
    <w:basedOn w:val="Normal"/>
    <w:rsid w:val="008D39AA"/>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604E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90"/>
  </w:style>
  <w:style w:type="paragraph" w:styleId="Footer">
    <w:name w:val="footer"/>
    <w:basedOn w:val="Normal"/>
    <w:link w:val="FooterChar"/>
    <w:uiPriority w:val="99"/>
    <w:unhideWhenUsed/>
    <w:rsid w:val="00675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90"/>
  </w:style>
  <w:style w:type="paragraph" w:styleId="FootnoteText">
    <w:name w:val="footnote text"/>
    <w:basedOn w:val="Normal"/>
    <w:link w:val="FootnoteTextChar"/>
    <w:uiPriority w:val="99"/>
    <w:unhideWhenUsed/>
    <w:rsid w:val="00675990"/>
    <w:pPr>
      <w:spacing w:after="0" w:line="240" w:lineRule="auto"/>
    </w:pPr>
    <w:rPr>
      <w:sz w:val="20"/>
      <w:szCs w:val="20"/>
    </w:rPr>
  </w:style>
  <w:style w:type="character" w:customStyle="1" w:styleId="FootnoteTextChar">
    <w:name w:val="Footnote Text Char"/>
    <w:basedOn w:val="DefaultParagraphFont"/>
    <w:link w:val="FootnoteText"/>
    <w:uiPriority w:val="99"/>
    <w:rsid w:val="00675990"/>
    <w:rPr>
      <w:sz w:val="20"/>
      <w:szCs w:val="20"/>
    </w:rPr>
  </w:style>
  <w:style w:type="character" w:styleId="FootnoteReference">
    <w:name w:val="footnote reference"/>
    <w:basedOn w:val="DefaultParagraphFont"/>
    <w:uiPriority w:val="99"/>
    <w:unhideWhenUsed/>
    <w:rsid w:val="00675990"/>
    <w:rPr>
      <w:vertAlign w:val="superscript"/>
    </w:rPr>
  </w:style>
  <w:style w:type="character" w:styleId="Hyperlink">
    <w:name w:val="Hyperlink"/>
    <w:basedOn w:val="DefaultParagraphFont"/>
    <w:uiPriority w:val="99"/>
    <w:unhideWhenUsed/>
    <w:rsid w:val="008D34A4"/>
    <w:rPr>
      <w:color w:val="0563C1" w:themeColor="hyperlink"/>
      <w:u w:val="single"/>
    </w:rPr>
  </w:style>
  <w:style w:type="character" w:customStyle="1" w:styleId="UnresolvedMention1">
    <w:name w:val="Unresolved Mention1"/>
    <w:basedOn w:val="DefaultParagraphFont"/>
    <w:uiPriority w:val="99"/>
    <w:semiHidden/>
    <w:unhideWhenUsed/>
    <w:rsid w:val="008D34A4"/>
    <w:rPr>
      <w:color w:val="605E5C"/>
      <w:shd w:val="clear" w:color="auto" w:fill="E1DFDD"/>
    </w:rPr>
  </w:style>
  <w:style w:type="paragraph" w:styleId="NormalWeb">
    <w:name w:val="Normal (Web)"/>
    <w:basedOn w:val="Normal"/>
    <w:uiPriority w:val="99"/>
    <w:semiHidden/>
    <w:unhideWhenUsed/>
    <w:rsid w:val="00D07EDE"/>
    <w:rPr>
      <w:rFonts w:ascii="Times New Roman" w:hAnsi="Times New Roman" w:cs="Times New Roman"/>
      <w:sz w:val="24"/>
      <w:szCs w:val="24"/>
    </w:rPr>
  </w:style>
  <w:style w:type="paragraph" w:customStyle="1" w:styleId="p1">
    <w:name w:val="p1"/>
    <w:basedOn w:val="Normal"/>
    <w:rsid w:val="00EF5E43"/>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UnresolvedMention">
    <w:name w:val="Unresolved Mention"/>
    <w:basedOn w:val="DefaultParagraphFont"/>
    <w:uiPriority w:val="99"/>
    <w:semiHidden/>
    <w:unhideWhenUsed/>
    <w:rsid w:val="002D3865"/>
    <w:rPr>
      <w:color w:val="605E5C"/>
      <w:shd w:val="clear" w:color="auto" w:fill="E1DFDD"/>
    </w:rPr>
  </w:style>
  <w:style w:type="paragraph" w:customStyle="1" w:styleId="p2">
    <w:name w:val="p2"/>
    <w:basedOn w:val="Normal"/>
    <w:rsid w:val="008D39AA"/>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60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173">
      <w:bodyDiv w:val="1"/>
      <w:marLeft w:val="0"/>
      <w:marRight w:val="0"/>
      <w:marTop w:val="0"/>
      <w:marBottom w:val="0"/>
      <w:divBdr>
        <w:top w:val="none" w:sz="0" w:space="0" w:color="auto"/>
        <w:left w:val="none" w:sz="0" w:space="0" w:color="auto"/>
        <w:bottom w:val="none" w:sz="0" w:space="0" w:color="auto"/>
        <w:right w:val="none" w:sz="0" w:space="0" w:color="auto"/>
      </w:divBdr>
    </w:div>
    <w:div w:id="95104599">
      <w:bodyDiv w:val="1"/>
      <w:marLeft w:val="0"/>
      <w:marRight w:val="0"/>
      <w:marTop w:val="0"/>
      <w:marBottom w:val="0"/>
      <w:divBdr>
        <w:top w:val="none" w:sz="0" w:space="0" w:color="auto"/>
        <w:left w:val="none" w:sz="0" w:space="0" w:color="auto"/>
        <w:bottom w:val="none" w:sz="0" w:space="0" w:color="auto"/>
        <w:right w:val="none" w:sz="0" w:space="0" w:color="auto"/>
      </w:divBdr>
    </w:div>
    <w:div w:id="177621133">
      <w:bodyDiv w:val="1"/>
      <w:marLeft w:val="0"/>
      <w:marRight w:val="0"/>
      <w:marTop w:val="0"/>
      <w:marBottom w:val="0"/>
      <w:divBdr>
        <w:top w:val="none" w:sz="0" w:space="0" w:color="auto"/>
        <w:left w:val="none" w:sz="0" w:space="0" w:color="auto"/>
        <w:bottom w:val="none" w:sz="0" w:space="0" w:color="auto"/>
        <w:right w:val="none" w:sz="0" w:space="0" w:color="auto"/>
      </w:divBdr>
    </w:div>
    <w:div w:id="219946315">
      <w:bodyDiv w:val="1"/>
      <w:marLeft w:val="0"/>
      <w:marRight w:val="0"/>
      <w:marTop w:val="0"/>
      <w:marBottom w:val="0"/>
      <w:divBdr>
        <w:top w:val="none" w:sz="0" w:space="0" w:color="auto"/>
        <w:left w:val="none" w:sz="0" w:space="0" w:color="auto"/>
        <w:bottom w:val="none" w:sz="0" w:space="0" w:color="auto"/>
        <w:right w:val="none" w:sz="0" w:space="0" w:color="auto"/>
      </w:divBdr>
    </w:div>
    <w:div w:id="224268278">
      <w:bodyDiv w:val="1"/>
      <w:marLeft w:val="0"/>
      <w:marRight w:val="0"/>
      <w:marTop w:val="0"/>
      <w:marBottom w:val="0"/>
      <w:divBdr>
        <w:top w:val="none" w:sz="0" w:space="0" w:color="auto"/>
        <w:left w:val="none" w:sz="0" w:space="0" w:color="auto"/>
        <w:bottom w:val="none" w:sz="0" w:space="0" w:color="auto"/>
        <w:right w:val="none" w:sz="0" w:space="0" w:color="auto"/>
      </w:divBdr>
    </w:div>
    <w:div w:id="249891680">
      <w:bodyDiv w:val="1"/>
      <w:marLeft w:val="0"/>
      <w:marRight w:val="0"/>
      <w:marTop w:val="0"/>
      <w:marBottom w:val="0"/>
      <w:divBdr>
        <w:top w:val="none" w:sz="0" w:space="0" w:color="auto"/>
        <w:left w:val="none" w:sz="0" w:space="0" w:color="auto"/>
        <w:bottom w:val="none" w:sz="0" w:space="0" w:color="auto"/>
        <w:right w:val="none" w:sz="0" w:space="0" w:color="auto"/>
      </w:divBdr>
    </w:div>
    <w:div w:id="306016604">
      <w:bodyDiv w:val="1"/>
      <w:marLeft w:val="0"/>
      <w:marRight w:val="0"/>
      <w:marTop w:val="0"/>
      <w:marBottom w:val="0"/>
      <w:divBdr>
        <w:top w:val="none" w:sz="0" w:space="0" w:color="auto"/>
        <w:left w:val="none" w:sz="0" w:space="0" w:color="auto"/>
        <w:bottom w:val="none" w:sz="0" w:space="0" w:color="auto"/>
        <w:right w:val="none" w:sz="0" w:space="0" w:color="auto"/>
      </w:divBdr>
    </w:div>
    <w:div w:id="311368047">
      <w:bodyDiv w:val="1"/>
      <w:marLeft w:val="0"/>
      <w:marRight w:val="0"/>
      <w:marTop w:val="0"/>
      <w:marBottom w:val="0"/>
      <w:divBdr>
        <w:top w:val="none" w:sz="0" w:space="0" w:color="auto"/>
        <w:left w:val="none" w:sz="0" w:space="0" w:color="auto"/>
        <w:bottom w:val="none" w:sz="0" w:space="0" w:color="auto"/>
        <w:right w:val="none" w:sz="0" w:space="0" w:color="auto"/>
      </w:divBdr>
    </w:div>
    <w:div w:id="465468163">
      <w:bodyDiv w:val="1"/>
      <w:marLeft w:val="0"/>
      <w:marRight w:val="0"/>
      <w:marTop w:val="0"/>
      <w:marBottom w:val="0"/>
      <w:divBdr>
        <w:top w:val="none" w:sz="0" w:space="0" w:color="auto"/>
        <w:left w:val="none" w:sz="0" w:space="0" w:color="auto"/>
        <w:bottom w:val="none" w:sz="0" w:space="0" w:color="auto"/>
        <w:right w:val="none" w:sz="0" w:space="0" w:color="auto"/>
      </w:divBdr>
    </w:div>
    <w:div w:id="606431678">
      <w:bodyDiv w:val="1"/>
      <w:marLeft w:val="0"/>
      <w:marRight w:val="0"/>
      <w:marTop w:val="0"/>
      <w:marBottom w:val="0"/>
      <w:divBdr>
        <w:top w:val="none" w:sz="0" w:space="0" w:color="auto"/>
        <w:left w:val="none" w:sz="0" w:space="0" w:color="auto"/>
        <w:bottom w:val="none" w:sz="0" w:space="0" w:color="auto"/>
        <w:right w:val="none" w:sz="0" w:space="0" w:color="auto"/>
      </w:divBdr>
    </w:div>
    <w:div w:id="610284462">
      <w:bodyDiv w:val="1"/>
      <w:marLeft w:val="0"/>
      <w:marRight w:val="0"/>
      <w:marTop w:val="0"/>
      <w:marBottom w:val="0"/>
      <w:divBdr>
        <w:top w:val="none" w:sz="0" w:space="0" w:color="auto"/>
        <w:left w:val="none" w:sz="0" w:space="0" w:color="auto"/>
        <w:bottom w:val="none" w:sz="0" w:space="0" w:color="auto"/>
        <w:right w:val="none" w:sz="0" w:space="0" w:color="auto"/>
      </w:divBdr>
    </w:div>
    <w:div w:id="659045773">
      <w:bodyDiv w:val="1"/>
      <w:marLeft w:val="0"/>
      <w:marRight w:val="0"/>
      <w:marTop w:val="0"/>
      <w:marBottom w:val="0"/>
      <w:divBdr>
        <w:top w:val="none" w:sz="0" w:space="0" w:color="auto"/>
        <w:left w:val="none" w:sz="0" w:space="0" w:color="auto"/>
        <w:bottom w:val="none" w:sz="0" w:space="0" w:color="auto"/>
        <w:right w:val="none" w:sz="0" w:space="0" w:color="auto"/>
      </w:divBdr>
    </w:div>
    <w:div w:id="660475377">
      <w:bodyDiv w:val="1"/>
      <w:marLeft w:val="0"/>
      <w:marRight w:val="0"/>
      <w:marTop w:val="0"/>
      <w:marBottom w:val="0"/>
      <w:divBdr>
        <w:top w:val="none" w:sz="0" w:space="0" w:color="auto"/>
        <w:left w:val="none" w:sz="0" w:space="0" w:color="auto"/>
        <w:bottom w:val="none" w:sz="0" w:space="0" w:color="auto"/>
        <w:right w:val="none" w:sz="0" w:space="0" w:color="auto"/>
      </w:divBdr>
    </w:div>
    <w:div w:id="692923757">
      <w:bodyDiv w:val="1"/>
      <w:marLeft w:val="0"/>
      <w:marRight w:val="0"/>
      <w:marTop w:val="0"/>
      <w:marBottom w:val="0"/>
      <w:divBdr>
        <w:top w:val="none" w:sz="0" w:space="0" w:color="auto"/>
        <w:left w:val="none" w:sz="0" w:space="0" w:color="auto"/>
        <w:bottom w:val="none" w:sz="0" w:space="0" w:color="auto"/>
        <w:right w:val="none" w:sz="0" w:space="0" w:color="auto"/>
      </w:divBdr>
    </w:div>
    <w:div w:id="704405573">
      <w:bodyDiv w:val="1"/>
      <w:marLeft w:val="0"/>
      <w:marRight w:val="0"/>
      <w:marTop w:val="0"/>
      <w:marBottom w:val="0"/>
      <w:divBdr>
        <w:top w:val="none" w:sz="0" w:space="0" w:color="auto"/>
        <w:left w:val="none" w:sz="0" w:space="0" w:color="auto"/>
        <w:bottom w:val="none" w:sz="0" w:space="0" w:color="auto"/>
        <w:right w:val="none" w:sz="0" w:space="0" w:color="auto"/>
      </w:divBdr>
    </w:div>
    <w:div w:id="709763949">
      <w:bodyDiv w:val="1"/>
      <w:marLeft w:val="0"/>
      <w:marRight w:val="0"/>
      <w:marTop w:val="0"/>
      <w:marBottom w:val="0"/>
      <w:divBdr>
        <w:top w:val="none" w:sz="0" w:space="0" w:color="auto"/>
        <w:left w:val="none" w:sz="0" w:space="0" w:color="auto"/>
        <w:bottom w:val="none" w:sz="0" w:space="0" w:color="auto"/>
        <w:right w:val="none" w:sz="0" w:space="0" w:color="auto"/>
      </w:divBdr>
    </w:div>
    <w:div w:id="793523897">
      <w:bodyDiv w:val="1"/>
      <w:marLeft w:val="0"/>
      <w:marRight w:val="0"/>
      <w:marTop w:val="0"/>
      <w:marBottom w:val="0"/>
      <w:divBdr>
        <w:top w:val="none" w:sz="0" w:space="0" w:color="auto"/>
        <w:left w:val="none" w:sz="0" w:space="0" w:color="auto"/>
        <w:bottom w:val="none" w:sz="0" w:space="0" w:color="auto"/>
        <w:right w:val="none" w:sz="0" w:space="0" w:color="auto"/>
      </w:divBdr>
    </w:div>
    <w:div w:id="841431857">
      <w:bodyDiv w:val="1"/>
      <w:marLeft w:val="0"/>
      <w:marRight w:val="0"/>
      <w:marTop w:val="0"/>
      <w:marBottom w:val="0"/>
      <w:divBdr>
        <w:top w:val="none" w:sz="0" w:space="0" w:color="auto"/>
        <w:left w:val="none" w:sz="0" w:space="0" w:color="auto"/>
        <w:bottom w:val="none" w:sz="0" w:space="0" w:color="auto"/>
        <w:right w:val="none" w:sz="0" w:space="0" w:color="auto"/>
      </w:divBdr>
    </w:div>
    <w:div w:id="919676832">
      <w:bodyDiv w:val="1"/>
      <w:marLeft w:val="0"/>
      <w:marRight w:val="0"/>
      <w:marTop w:val="0"/>
      <w:marBottom w:val="0"/>
      <w:divBdr>
        <w:top w:val="none" w:sz="0" w:space="0" w:color="auto"/>
        <w:left w:val="none" w:sz="0" w:space="0" w:color="auto"/>
        <w:bottom w:val="none" w:sz="0" w:space="0" w:color="auto"/>
        <w:right w:val="none" w:sz="0" w:space="0" w:color="auto"/>
      </w:divBdr>
    </w:div>
    <w:div w:id="926693573">
      <w:bodyDiv w:val="1"/>
      <w:marLeft w:val="0"/>
      <w:marRight w:val="0"/>
      <w:marTop w:val="0"/>
      <w:marBottom w:val="0"/>
      <w:divBdr>
        <w:top w:val="none" w:sz="0" w:space="0" w:color="auto"/>
        <w:left w:val="none" w:sz="0" w:space="0" w:color="auto"/>
        <w:bottom w:val="none" w:sz="0" w:space="0" w:color="auto"/>
        <w:right w:val="none" w:sz="0" w:space="0" w:color="auto"/>
      </w:divBdr>
    </w:div>
    <w:div w:id="974290814">
      <w:bodyDiv w:val="1"/>
      <w:marLeft w:val="0"/>
      <w:marRight w:val="0"/>
      <w:marTop w:val="0"/>
      <w:marBottom w:val="0"/>
      <w:divBdr>
        <w:top w:val="none" w:sz="0" w:space="0" w:color="auto"/>
        <w:left w:val="none" w:sz="0" w:space="0" w:color="auto"/>
        <w:bottom w:val="none" w:sz="0" w:space="0" w:color="auto"/>
        <w:right w:val="none" w:sz="0" w:space="0" w:color="auto"/>
      </w:divBdr>
    </w:div>
    <w:div w:id="980036691">
      <w:bodyDiv w:val="1"/>
      <w:marLeft w:val="0"/>
      <w:marRight w:val="0"/>
      <w:marTop w:val="0"/>
      <w:marBottom w:val="0"/>
      <w:divBdr>
        <w:top w:val="none" w:sz="0" w:space="0" w:color="auto"/>
        <w:left w:val="none" w:sz="0" w:space="0" w:color="auto"/>
        <w:bottom w:val="none" w:sz="0" w:space="0" w:color="auto"/>
        <w:right w:val="none" w:sz="0" w:space="0" w:color="auto"/>
      </w:divBdr>
    </w:div>
    <w:div w:id="985936109">
      <w:bodyDiv w:val="1"/>
      <w:marLeft w:val="0"/>
      <w:marRight w:val="0"/>
      <w:marTop w:val="0"/>
      <w:marBottom w:val="0"/>
      <w:divBdr>
        <w:top w:val="none" w:sz="0" w:space="0" w:color="auto"/>
        <w:left w:val="none" w:sz="0" w:space="0" w:color="auto"/>
        <w:bottom w:val="none" w:sz="0" w:space="0" w:color="auto"/>
        <w:right w:val="none" w:sz="0" w:space="0" w:color="auto"/>
      </w:divBdr>
    </w:div>
    <w:div w:id="1046762536">
      <w:bodyDiv w:val="1"/>
      <w:marLeft w:val="0"/>
      <w:marRight w:val="0"/>
      <w:marTop w:val="0"/>
      <w:marBottom w:val="0"/>
      <w:divBdr>
        <w:top w:val="none" w:sz="0" w:space="0" w:color="auto"/>
        <w:left w:val="none" w:sz="0" w:space="0" w:color="auto"/>
        <w:bottom w:val="none" w:sz="0" w:space="0" w:color="auto"/>
        <w:right w:val="none" w:sz="0" w:space="0" w:color="auto"/>
      </w:divBdr>
    </w:div>
    <w:div w:id="1054768546">
      <w:bodyDiv w:val="1"/>
      <w:marLeft w:val="0"/>
      <w:marRight w:val="0"/>
      <w:marTop w:val="0"/>
      <w:marBottom w:val="0"/>
      <w:divBdr>
        <w:top w:val="none" w:sz="0" w:space="0" w:color="auto"/>
        <w:left w:val="none" w:sz="0" w:space="0" w:color="auto"/>
        <w:bottom w:val="none" w:sz="0" w:space="0" w:color="auto"/>
        <w:right w:val="none" w:sz="0" w:space="0" w:color="auto"/>
      </w:divBdr>
    </w:div>
    <w:div w:id="1068845551">
      <w:bodyDiv w:val="1"/>
      <w:marLeft w:val="0"/>
      <w:marRight w:val="0"/>
      <w:marTop w:val="0"/>
      <w:marBottom w:val="0"/>
      <w:divBdr>
        <w:top w:val="none" w:sz="0" w:space="0" w:color="auto"/>
        <w:left w:val="none" w:sz="0" w:space="0" w:color="auto"/>
        <w:bottom w:val="none" w:sz="0" w:space="0" w:color="auto"/>
        <w:right w:val="none" w:sz="0" w:space="0" w:color="auto"/>
      </w:divBdr>
    </w:div>
    <w:div w:id="1090737672">
      <w:bodyDiv w:val="1"/>
      <w:marLeft w:val="0"/>
      <w:marRight w:val="0"/>
      <w:marTop w:val="0"/>
      <w:marBottom w:val="0"/>
      <w:divBdr>
        <w:top w:val="none" w:sz="0" w:space="0" w:color="auto"/>
        <w:left w:val="none" w:sz="0" w:space="0" w:color="auto"/>
        <w:bottom w:val="none" w:sz="0" w:space="0" w:color="auto"/>
        <w:right w:val="none" w:sz="0" w:space="0" w:color="auto"/>
      </w:divBdr>
    </w:div>
    <w:div w:id="1101803090">
      <w:bodyDiv w:val="1"/>
      <w:marLeft w:val="0"/>
      <w:marRight w:val="0"/>
      <w:marTop w:val="0"/>
      <w:marBottom w:val="0"/>
      <w:divBdr>
        <w:top w:val="none" w:sz="0" w:space="0" w:color="auto"/>
        <w:left w:val="none" w:sz="0" w:space="0" w:color="auto"/>
        <w:bottom w:val="none" w:sz="0" w:space="0" w:color="auto"/>
        <w:right w:val="none" w:sz="0" w:space="0" w:color="auto"/>
      </w:divBdr>
    </w:div>
    <w:div w:id="1136219939">
      <w:bodyDiv w:val="1"/>
      <w:marLeft w:val="0"/>
      <w:marRight w:val="0"/>
      <w:marTop w:val="0"/>
      <w:marBottom w:val="0"/>
      <w:divBdr>
        <w:top w:val="none" w:sz="0" w:space="0" w:color="auto"/>
        <w:left w:val="none" w:sz="0" w:space="0" w:color="auto"/>
        <w:bottom w:val="none" w:sz="0" w:space="0" w:color="auto"/>
        <w:right w:val="none" w:sz="0" w:space="0" w:color="auto"/>
      </w:divBdr>
    </w:div>
    <w:div w:id="1180969640">
      <w:bodyDiv w:val="1"/>
      <w:marLeft w:val="0"/>
      <w:marRight w:val="0"/>
      <w:marTop w:val="0"/>
      <w:marBottom w:val="0"/>
      <w:divBdr>
        <w:top w:val="none" w:sz="0" w:space="0" w:color="auto"/>
        <w:left w:val="none" w:sz="0" w:space="0" w:color="auto"/>
        <w:bottom w:val="none" w:sz="0" w:space="0" w:color="auto"/>
        <w:right w:val="none" w:sz="0" w:space="0" w:color="auto"/>
      </w:divBdr>
    </w:div>
    <w:div w:id="1227686515">
      <w:bodyDiv w:val="1"/>
      <w:marLeft w:val="0"/>
      <w:marRight w:val="0"/>
      <w:marTop w:val="0"/>
      <w:marBottom w:val="0"/>
      <w:divBdr>
        <w:top w:val="none" w:sz="0" w:space="0" w:color="auto"/>
        <w:left w:val="none" w:sz="0" w:space="0" w:color="auto"/>
        <w:bottom w:val="none" w:sz="0" w:space="0" w:color="auto"/>
        <w:right w:val="none" w:sz="0" w:space="0" w:color="auto"/>
      </w:divBdr>
    </w:div>
    <w:div w:id="1266838953">
      <w:bodyDiv w:val="1"/>
      <w:marLeft w:val="0"/>
      <w:marRight w:val="0"/>
      <w:marTop w:val="0"/>
      <w:marBottom w:val="0"/>
      <w:divBdr>
        <w:top w:val="none" w:sz="0" w:space="0" w:color="auto"/>
        <w:left w:val="none" w:sz="0" w:space="0" w:color="auto"/>
        <w:bottom w:val="none" w:sz="0" w:space="0" w:color="auto"/>
        <w:right w:val="none" w:sz="0" w:space="0" w:color="auto"/>
      </w:divBdr>
    </w:div>
    <w:div w:id="1284922186">
      <w:bodyDiv w:val="1"/>
      <w:marLeft w:val="0"/>
      <w:marRight w:val="0"/>
      <w:marTop w:val="0"/>
      <w:marBottom w:val="0"/>
      <w:divBdr>
        <w:top w:val="none" w:sz="0" w:space="0" w:color="auto"/>
        <w:left w:val="none" w:sz="0" w:space="0" w:color="auto"/>
        <w:bottom w:val="none" w:sz="0" w:space="0" w:color="auto"/>
        <w:right w:val="none" w:sz="0" w:space="0" w:color="auto"/>
      </w:divBdr>
    </w:div>
    <w:div w:id="1341202712">
      <w:bodyDiv w:val="1"/>
      <w:marLeft w:val="0"/>
      <w:marRight w:val="0"/>
      <w:marTop w:val="0"/>
      <w:marBottom w:val="0"/>
      <w:divBdr>
        <w:top w:val="none" w:sz="0" w:space="0" w:color="auto"/>
        <w:left w:val="none" w:sz="0" w:space="0" w:color="auto"/>
        <w:bottom w:val="none" w:sz="0" w:space="0" w:color="auto"/>
        <w:right w:val="none" w:sz="0" w:space="0" w:color="auto"/>
      </w:divBdr>
    </w:div>
    <w:div w:id="1350448754">
      <w:bodyDiv w:val="1"/>
      <w:marLeft w:val="0"/>
      <w:marRight w:val="0"/>
      <w:marTop w:val="0"/>
      <w:marBottom w:val="0"/>
      <w:divBdr>
        <w:top w:val="none" w:sz="0" w:space="0" w:color="auto"/>
        <w:left w:val="none" w:sz="0" w:space="0" w:color="auto"/>
        <w:bottom w:val="none" w:sz="0" w:space="0" w:color="auto"/>
        <w:right w:val="none" w:sz="0" w:space="0" w:color="auto"/>
      </w:divBdr>
    </w:div>
    <w:div w:id="1371537434">
      <w:bodyDiv w:val="1"/>
      <w:marLeft w:val="0"/>
      <w:marRight w:val="0"/>
      <w:marTop w:val="0"/>
      <w:marBottom w:val="0"/>
      <w:divBdr>
        <w:top w:val="none" w:sz="0" w:space="0" w:color="auto"/>
        <w:left w:val="none" w:sz="0" w:space="0" w:color="auto"/>
        <w:bottom w:val="none" w:sz="0" w:space="0" w:color="auto"/>
        <w:right w:val="none" w:sz="0" w:space="0" w:color="auto"/>
      </w:divBdr>
    </w:div>
    <w:div w:id="1387800050">
      <w:bodyDiv w:val="1"/>
      <w:marLeft w:val="0"/>
      <w:marRight w:val="0"/>
      <w:marTop w:val="0"/>
      <w:marBottom w:val="0"/>
      <w:divBdr>
        <w:top w:val="none" w:sz="0" w:space="0" w:color="auto"/>
        <w:left w:val="none" w:sz="0" w:space="0" w:color="auto"/>
        <w:bottom w:val="none" w:sz="0" w:space="0" w:color="auto"/>
        <w:right w:val="none" w:sz="0" w:space="0" w:color="auto"/>
      </w:divBdr>
    </w:div>
    <w:div w:id="1474516224">
      <w:bodyDiv w:val="1"/>
      <w:marLeft w:val="0"/>
      <w:marRight w:val="0"/>
      <w:marTop w:val="0"/>
      <w:marBottom w:val="0"/>
      <w:divBdr>
        <w:top w:val="none" w:sz="0" w:space="0" w:color="auto"/>
        <w:left w:val="none" w:sz="0" w:space="0" w:color="auto"/>
        <w:bottom w:val="none" w:sz="0" w:space="0" w:color="auto"/>
        <w:right w:val="none" w:sz="0" w:space="0" w:color="auto"/>
      </w:divBdr>
    </w:div>
    <w:div w:id="1504319648">
      <w:bodyDiv w:val="1"/>
      <w:marLeft w:val="0"/>
      <w:marRight w:val="0"/>
      <w:marTop w:val="0"/>
      <w:marBottom w:val="0"/>
      <w:divBdr>
        <w:top w:val="none" w:sz="0" w:space="0" w:color="auto"/>
        <w:left w:val="none" w:sz="0" w:space="0" w:color="auto"/>
        <w:bottom w:val="none" w:sz="0" w:space="0" w:color="auto"/>
        <w:right w:val="none" w:sz="0" w:space="0" w:color="auto"/>
      </w:divBdr>
    </w:div>
    <w:div w:id="1523084019">
      <w:bodyDiv w:val="1"/>
      <w:marLeft w:val="0"/>
      <w:marRight w:val="0"/>
      <w:marTop w:val="0"/>
      <w:marBottom w:val="0"/>
      <w:divBdr>
        <w:top w:val="none" w:sz="0" w:space="0" w:color="auto"/>
        <w:left w:val="none" w:sz="0" w:space="0" w:color="auto"/>
        <w:bottom w:val="none" w:sz="0" w:space="0" w:color="auto"/>
        <w:right w:val="none" w:sz="0" w:space="0" w:color="auto"/>
      </w:divBdr>
    </w:div>
    <w:div w:id="1545410993">
      <w:bodyDiv w:val="1"/>
      <w:marLeft w:val="0"/>
      <w:marRight w:val="0"/>
      <w:marTop w:val="0"/>
      <w:marBottom w:val="0"/>
      <w:divBdr>
        <w:top w:val="none" w:sz="0" w:space="0" w:color="auto"/>
        <w:left w:val="none" w:sz="0" w:space="0" w:color="auto"/>
        <w:bottom w:val="none" w:sz="0" w:space="0" w:color="auto"/>
        <w:right w:val="none" w:sz="0" w:space="0" w:color="auto"/>
      </w:divBdr>
    </w:div>
    <w:div w:id="1575893289">
      <w:bodyDiv w:val="1"/>
      <w:marLeft w:val="0"/>
      <w:marRight w:val="0"/>
      <w:marTop w:val="0"/>
      <w:marBottom w:val="0"/>
      <w:divBdr>
        <w:top w:val="none" w:sz="0" w:space="0" w:color="auto"/>
        <w:left w:val="none" w:sz="0" w:space="0" w:color="auto"/>
        <w:bottom w:val="none" w:sz="0" w:space="0" w:color="auto"/>
        <w:right w:val="none" w:sz="0" w:space="0" w:color="auto"/>
      </w:divBdr>
    </w:div>
    <w:div w:id="1694334510">
      <w:bodyDiv w:val="1"/>
      <w:marLeft w:val="0"/>
      <w:marRight w:val="0"/>
      <w:marTop w:val="0"/>
      <w:marBottom w:val="0"/>
      <w:divBdr>
        <w:top w:val="none" w:sz="0" w:space="0" w:color="auto"/>
        <w:left w:val="none" w:sz="0" w:space="0" w:color="auto"/>
        <w:bottom w:val="none" w:sz="0" w:space="0" w:color="auto"/>
        <w:right w:val="none" w:sz="0" w:space="0" w:color="auto"/>
      </w:divBdr>
    </w:div>
    <w:div w:id="1701972062">
      <w:bodyDiv w:val="1"/>
      <w:marLeft w:val="0"/>
      <w:marRight w:val="0"/>
      <w:marTop w:val="0"/>
      <w:marBottom w:val="0"/>
      <w:divBdr>
        <w:top w:val="none" w:sz="0" w:space="0" w:color="auto"/>
        <w:left w:val="none" w:sz="0" w:space="0" w:color="auto"/>
        <w:bottom w:val="none" w:sz="0" w:space="0" w:color="auto"/>
        <w:right w:val="none" w:sz="0" w:space="0" w:color="auto"/>
      </w:divBdr>
    </w:div>
    <w:div w:id="1871674916">
      <w:bodyDiv w:val="1"/>
      <w:marLeft w:val="0"/>
      <w:marRight w:val="0"/>
      <w:marTop w:val="0"/>
      <w:marBottom w:val="0"/>
      <w:divBdr>
        <w:top w:val="none" w:sz="0" w:space="0" w:color="auto"/>
        <w:left w:val="none" w:sz="0" w:space="0" w:color="auto"/>
        <w:bottom w:val="none" w:sz="0" w:space="0" w:color="auto"/>
        <w:right w:val="none" w:sz="0" w:space="0" w:color="auto"/>
      </w:divBdr>
    </w:div>
    <w:div w:id="1942881376">
      <w:bodyDiv w:val="1"/>
      <w:marLeft w:val="0"/>
      <w:marRight w:val="0"/>
      <w:marTop w:val="0"/>
      <w:marBottom w:val="0"/>
      <w:divBdr>
        <w:top w:val="none" w:sz="0" w:space="0" w:color="auto"/>
        <w:left w:val="none" w:sz="0" w:space="0" w:color="auto"/>
        <w:bottom w:val="none" w:sz="0" w:space="0" w:color="auto"/>
        <w:right w:val="none" w:sz="0" w:space="0" w:color="auto"/>
      </w:divBdr>
    </w:div>
    <w:div w:id="2014448391">
      <w:bodyDiv w:val="1"/>
      <w:marLeft w:val="0"/>
      <w:marRight w:val="0"/>
      <w:marTop w:val="0"/>
      <w:marBottom w:val="0"/>
      <w:divBdr>
        <w:top w:val="none" w:sz="0" w:space="0" w:color="auto"/>
        <w:left w:val="none" w:sz="0" w:space="0" w:color="auto"/>
        <w:bottom w:val="none" w:sz="0" w:space="0" w:color="auto"/>
        <w:right w:val="none" w:sz="0" w:space="0" w:color="auto"/>
      </w:divBdr>
    </w:div>
    <w:div w:id="2142263626">
      <w:bodyDiv w:val="1"/>
      <w:marLeft w:val="0"/>
      <w:marRight w:val="0"/>
      <w:marTop w:val="0"/>
      <w:marBottom w:val="0"/>
      <w:divBdr>
        <w:top w:val="none" w:sz="0" w:space="0" w:color="auto"/>
        <w:left w:val="none" w:sz="0" w:space="0" w:color="auto"/>
        <w:bottom w:val="none" w:sz="0" w:space="0" w:color="auto"/>
        <w:right w:val="none" w:sz="0" w:space="0" w:color="auto"/>
      </w:divBdr>
    </w:div>
    <w:div w:id="21461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cnn.com/2001%5bUS/12/06/inv.ashcroft.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C30F-9306-0149-A62D-C2009198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4472</Words>
  <Characters>25495</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2025-04-23T17:04:00Z</dcterms:created>
  <dcterms:modified xsi:type="dcterms:W3CDTF">2025-04-23T17:04:00Z</dcterms:modified>
</cp:coreProperties>
</file>