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BF1BA" w14:textId="7E7FC1A9" w:rsidR="00101686" w:rsidRPr="00101686" w:rsidRDefault="00101686" w:rsidP="00101686">
      <w:pPr>
        <w:spacing w:after="0" w:line="240" w:lineRule="auto"/>
        <w:ind w:left="720"/>
        <w:jc w:val="center"/>
        <w:rPr>
          <w:rFonts w:ascii="Times New Roman" w:hAnsi="Times New Roman" w:cs="Times New Roman"/>
          <w:b/>
          <w:bCs/>
          <w:caps/>
          <w:sz w:val="24"/>
          <w:szCs w:val="24"/>
          <w:lang w:val="es-ES"/>
        </w:rPr>
      </w:pPr>
      <w:r w:rsidRPr="00101686">
        <w:rPr>
          <w:rFonts w:ascii="Times New Roman" w:hAnsi="Times New Roman" w:cs="Times New Roman"/>
          <w:b/>
          <w:bCs/>
          <w:caps/>
          <w:sz w:val="24"/>
          <w:szCs w:val="24"/>
          <w:lang w:val="es-ES"/>
        </w:rPr>
        <w:t xml:space="preserve">Cartografiar y movilizar las críticas legales: </w:t>
      </w:r>
      <w:r w:rsidRPr="00FC37AC">
        <w:rPr>
          <w:rFonts w:ascii="Times New Roman" w:hAnsi="Times New Roman" w:cs="Times New Roman"/>
          <w:b/>
          <w:bCs/>
          <w:caps/>
          <w:sz w:val="24"/>
          <w:szCs w:val="24"/>
          <w:lang w:val="es-ES"/>
        </w:rPr>
        <w:br/>
      </w:r>
      <w:r w:rsidRPr="00101686">
        <w:rPr>
          <w:rFonts w:ascii="Times New Roman" w:hAnsi="Times New Roman" w:cs="Times New Roman"/>
          <w:b/>
          <w:bCs/>
          <w:caps/>
          <w:sz w:val="24"/>
          <w:szCs w:val="24"/>
          <w:lang w:val="es-ES"/>
        </w:rPr>
        <w:t>Cambiar de diáspora a colectivo, o los juristas logran la diferencia como guerreros culturales</w:t>
      </w:r>
    </w:p>
    <w:p w14:paraId="6D6BB2CF" w14:textId="7CA9973F" w:rsidR="00307023" w:rsidRPr="00FC37AC" w:rsidRDefault="003D51E7" w:rsidP="00307023">
      <w:pPr>
        <w:spacing w:after="0" w:line="240" w:lineRule="auto"/>
        <w:jc w:val="center"/>
        <w:rPr>
          <w:rFonts w:ascii="Times New Roman" w:hAnsi="Times New Roman" w:cs="Times New Roman"/>
          <w:sz w:val="24"/>
          <w:szCs w:val="24"/>
          <w:lang w:val="es-ES"/>
        </w:rPr>
      </w:pPr>
      <w:r w:rsidRPr="00FC37AC">
        <w:rPr>
          <w:rFonts w:ascii="Times New Roman" w:hAnsi="Times New Roman" w:cs="Times New Roman"/>
          <w:sz w:val="24"/>
          <w:szCs w:val="24"/>
          <w:lang w:val="es-ES"/>
        </w:rPr>
        <w:t xml:space="preserve">Francisco </w:t>
      </w:r>
      <w:r w:rsidR="00FC37AC" w:rsidRPr="00FC37AC">
        <w:rPr>
          <w:rFonts w:ascii="Times New Roman" w:hAnsi="Times New Roman" w:cs="Times New Roman"/>
          <w:sz w:val="24"/>
          <w:szCs w:val="24"/>
          <w:lang w:val="es-ES"/>
        </w:rPr>
        <w:t>Valdés</w:t>
      </w:r>
    </w:p>
    <w:p w14:paraId="57B7B2EC" w14:textId="05535F07" w:rsidR="00307023" w:rsidRPr="00FC37AC" w:rsidRDefault="00307023" w:rsidP="00307023">
      <w:pPr>
        <w:spacing w:after="0" w:line="240" w:lineRule="auto"/>
        <w:jc w:val="center"/>
        <w:rPr>
          <w:rFonts w:ascii="Times New Roman" w:hAnsi="Times New Roman" w:cs="Times New Roman"/>
          <w:sz w:val="24"/>
          <w:szCs w:val="24"/>
          <w:lang w:val="es-ES"/>
        </w:rPr>
      </w:pPr>
      <w:r w:rsidRPr="00FC37AC">
        <w:rPr>
          <w:rFonts w:ascii="Times New Roman" w:hAnsi="Times New Roman" w:cs="Times New Roman"/>
          <w:sz w:val="24"/>
          <w:szCs w:val="24"/>
          <w:lang w:val="es-ES"/>
        </w:rPr>
        <w:t xml:space="preserve">100 Denver </w:t>
      </w:r>
      <w:r w:rsidR="0087649F" w:rsidRPr="00FC37AC">
        <w:rPr>
          <w:rFonts w:ascii="Times New Roman" w:hAnsi="Times New Roman" w:cs="Times New Roman"/>
          <w:sz w:val="24"/>
          <w:szCs w:val="24"/>
          <w:lang w:val="es-ES"/>
        </w:rPr>
        <w:t xml:space="preserve">University </w:t>
      </w:r>
      <w:r w:rsidRPr="00FC37AC">
        <w:rPr>
          <w:rFonts w:ascii="Times New Roman" w:hAnsi="Times New Roman" w:cs="Times New Roman"/>
          <w:sz w:val="24"/>
          <w:szCs w:val="24"/>
          <w:lang w:val="es-ES"/>
        </w:rPr>
        <w:t>Law Review 625</w:t>
      </w:r>
      <w:r w:rsidR="00EB6BDD" w:rsidRPr="00FC37AC">
        <w:rPr>
          <w:rFonts w:ascii="Times New Roman" w:hAnsi="Times New Roman" w:cs="Times New Roman"/>
          <w:sz w:val="24"/>
          <w:szCs w:val="24"/>
          <w:lang w:val="es-ES"/>
        </w:rPr>
        <w:t xml:space="preserve"> (2023)</w:t>
      </w:r>
      <w:r w:rsidRPr="00FC37AC">
        <w:rPr>
          <w:rFonts w:ascii="Times New Roman" w:hAnsi="Times New Roman" w:cs="Times New Roman"/>
          <w:sz w:val="24"/>
          <w:szCs w:val="24"/>
          <w:lang w:val="es-ES"/>
        </w:rPr>
        <w:t xml:space="preserve"> </w:t>
      </w:r>
    </w:p>
    <w:p w14:paraId="3FF9A343" w14:textId="77777777" w:rsidR="002E00A9" w:rsidRDefault="002E00A9" w:rsidP="002E00A9">
      <w:pPr>
        <w:spacing w:after="0" w:line="240" w:lineRule="auto"/>
        <w:jc w:val="center"/>
        <w:rPr>
          <w:rFonts w:ascii="Times New Roman" w:hAnsi="Times New Roman" w:cs="Times New Roman"/>
          <w:sz w:val="24"/>
          <w:szCs w:val="24"/>
          <w:u w:val="single"/>
        </w:rPr>
      </w:pPr>
      <w:hyperlink r:id="rId9" w:history="1">
        <w:r w:rsidRPr="00E950CF">
          <w:rPr>
            <w:rStyle w:val="Hyperlink"/>
            <w:rFonts w:ascii="Times New Roman" w:hAnsi="Times New Roman" w:cs="Times New Roman"/>
            <w:sz w:val="24"/>
            <w:szCs w:val="24"/>
          </w:rPr>
          <w:t>https://www.denverlawrev.org/_files/ugd/9d4c2a_2ef067a863b244afb24abcbf664de4b7.pdf</w:t>
        </w:r>
      </w:hyperlink>
    </w:p>
    <w:p w14:paraId="18B3EAF3" w14:textId="77777777" w:rsidR="00AF6C28" w:rsidRPr="00FC37AC" w:rsidRDefault="00AF6C28" w:rsidP="00A321E8">
      <w:pPr>
        <w:spacing w:after="0" w:line="240" w:lineRule="auto"/>
        <w:rPr>
          <w:rFonts w:ascii="Times New Roman" w:hAnsi="Times New Roman" w:cs="Times New Roman"/>
          <w:sz w:val="24"/>
          <w:szCs w:val="24"/>
          <w:lang w:val="es-ES"/>
        </w:rPr>
      </w:pPr>
    </w:p>
    <w:p w14:paraId="123D0732" w14:textId="77777777" w:rsidR="00A321E8" w:rsidRPr="00FC37AC" w:rsidRDefault="00A321E8" w:rsidP="00A321E8">
      <w:pPr>
        <w:spacing w:after="0" w:line="240" w:lineRule="auto"/>
        <w:rPr>
          <w:rFonts w:ascii="Times New Roman" w:hAnsi="Times New Roman" w:cs="Times New Roman"/>
          <w:sz w:val="24"/>
          <w:szCs w:val="24"/>
          <w:lang w:val="es-ES"/>
        </w:rPr>
      </w:pPr>
    </w:p>
    <w:p w14:paraId="580A12DB" w14:textId="5D59E797" w:rsidR="00F60941" w:rsidRPr="00FC37AC" w:rsidRDefault="00F60941" w:rsidP="00307023">
      <w:pPr>
        <w:spacing w:after="0" w:line="240" w:lineRule="auto"/>
        <w:rPr>
          <w:rFonts w:ascii="Times New Roman" w:hAnsi="Times New Roman" w:cs="Times New Roman"/>
          <w:b/>
          <w:sz w:val="24"/>
          <w:szCs w:val="24"/>
          <w:u w:val="single"/>
          <w:lang w:val="es-ES"/>
        </w:rPr>
      </w:pPr>
      <w:bookmarkStart w:id="0" w:name="_Hlk153781753"/>
      <w:r w:rsidRPr="00FC37AC">
        <w:rPr>
          <w:rFonts w:ascii="Times New Roman" w:hAnsi="Times New Roman" w:cs="Times New Roman"/>
          <w:b/>
          <w:sz w:val="24"/>
          <w:szCs w:val="24"/>
          <w:u w:val="single"/>
          <w:lang w:val="es-ES"/>
        </w:rPr>
        <w:t>Introduc</w:t>
      </w:r>
      <w:r w:rsidR="00101686" w:rsidRPr="00FC37AC">
        <w:rPr>
          <w:rFonts w:ascii="Times New Roman" w:hAnsi="Times New Roman" w:cs="Times New Roman"/>
          <w:b/>
          <w:sz w:val="24"/>
          <w:szCs w:val="24"/>
          <w:u w:val="single"/>
          <w:lang w:val="es-ES"/>
        </w:rPr>
        <w:t>ción</w:t>
      </w:r>
    </w:p>
    <w:p w14:paraId="412CCE64" w14:textId="77777777" w:rsidR="00ED392D" w:rsidRPr="00ED392D" w:rsidRDefault="00ED392D" w:rsidP="005831EA">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ED392D">
        <w:rPr>
          <w:rFonts w:ascii="Times New Roman" w:eastAsia="Times New Roman" w:hAnsi="Times New Roman" w:cs="Times New Roman"/>
          <w:kern w:val="0"/>
          <w:sz w:val="24"/>
          <w:szCs w:val="24"/>
          <w:lang w:val="es-ES"/>
          <w14:ligatures w14:val="none"/>
        </w:rPr>
        <w:t xml:space="preserve">Al celebrarse el centenario de la </w:t>
      </w:r>
      <w:r w:rsidRPr="00ED392D">
        <w:rPr>
          <w:rFonts w:ascii="Times New Roman" w:eastAsia="Times New Roman" w:hAnsi="Times New Roman" w:cs="Times New Roman"/>
          <w:i/>
          <w:iCs/>
          <w:kern w:val="0"/>
          <w:sz w:val="24"/>
          <w:szCs w:val="24"/>
          <w:lang w:val="es-ES"/>
          <w14:ligatures w14:val="none"/>
        </w:rPr>
        <w:t>Denver University Law Review</w:t>
      </w:r>
      <w:r w:rsidRPr="00ED392D">
        <w:rPr>
          <w:rFonts w:ascii="Times New Roman" w:eastAsia="Times New Roman" w:hAnsi="Times New Roman" w:cs="Times New Roman"/>
          <w:kern w:val="0"/>
          <w:sz w:val="24"/>
          <w:szCs w:val="24"/>
          <w:lang w:val="es-ES"/>
          <w14:ligatures w14:val="none"/>
        </w:rPr>
        <w:t>, la continuidad de los fundamentos estadounidenses resulta verdaderamente sobrecogedora. En la década de 2020, igual que en la de 1920, las personas en los Estados Unidos enfrentan élites económicas voraces, definidas por la raza, el género y la religión. Hoy, como hace un siglo, el “Estado de derecho” significa el dominio del poder colectivo de esas élites, tanto económico como político.</w:t>
      </w:r>
    </w:p>
    <w:p w14:paraId="0D8D71A5" w14:textId="6D1D4516" w:rsidR="005270EF" w:rsidRPr="005270EF" w:rsidRDefault="005270EF" w:rsidP="005270EF">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5270EF">
        <w:rPr>
          <w:rFonts w:ascii="Times New Roman" w:eastAsia="Times New Roman" w:hAnsi="Times New Roman" w:cs="Times New Roman"/>
          <w:kern w:val="0"/>
          <w:sz w:val="24"/>
          <w:szCs w:val="24"/>
          <w:lang w:val="es-ES"/>
          <w14:ligatures w14:val="none"/>
        </w:rPr>
        <w:t xml:space="preserve">Sin embargo, existe una diferencia clave—tanto para el Derecho como para la sociedad—: la persistencia y </w:t>
      </w:r>
      <w:r w:rsidRPr="00FC37AC">
        <w:rPr>
          <w:rFonts w:ascii="Times New Roman" w:eastAsia="Times New Roman" w:hAnsi="Times New Roman" w:cs="Times New Roman"/>
          <w:kern w:val="0"/>
          <w:sz w:val="24"/>
          <w:szCs w:val="24"/>
          <w:lang w:val="es-ES"/>
          <w14:ligatures w14:val="none"/>
        </w:rPr>
        <w:t xml:space="preserve">la </w:t>
      </w:r>
      <w:r w:rsidRPr="005270EF">
        <w:rPr>
          <w:rFonts w:ascii="Times New Roman" w:eastAsia="Times New Roman" w:hAnsi="Times New Roman" w:cs="Times New Roman"/>
          <w:kern w:val="0"/>
          <w:sz w:val="24"/>
          <w:szCs w:val="24"/>
          <w:lang w:val="es-ES"/>
          <w14:ligatures w14:val="none"/>
        </w:rPr>
        <w:t>expansión de las “guerras culturales”</w:t>
      </w:r>
      <w:r w:rsidR="00A101F9" w:rsidRPr="00FC37AC">
        <w:rPr>
          <w:rFonts w:ascii="Times New Roman" w:eastAsia="Times New Roman" w:hAnsi="Times New Roman" w:cs="Times New Roman"/>
          <w:kern w:val="0"/>
          <w:sz w:val="24"/>
          <w:szCs w:val="24"/>
          <w:lang w:val="es-ES"/>
          <w14:ligatures w14:val="none"/>
        </w:rPr>
        <w:t xml:space="preserve">; </w:t>
      </w:r>
      <w:r w:rsidRPr="005270EF">
        <w:rPr>
          <w:rFonts w:ascii="Times New Roman" w:eastAsia="Times New Roman" w:hAnsi="Times New Roman" w:cs="Times New Roman"/>
          <w:kern w:val="0"/>
          <w:sz w:val="24"/>
          <w:szCs w:val="24"/>
          <w:lang w:val="es-ES"/>
          <w14:ligatures w14:val="none"/>
        </w:rPr>
        <w:t>analizadas en el artículo</w:t>
      </w:r>
      <w:r w:rsidR="00A101F9" w:rsidRPr="00FC37AC">
        <w:rPr>
          <w:rFonts w:ascii="Times New Roman" w:eastAsia="Times New Roman" w:hAnsi="Times New Roman" w:cs="Times New Roman"/>
          <w:kern w:val="0"/>
          <w:sz w:val="24"/>
          <w:szCs w:val="24"/>
          <w:lang w:val="es-ES"/>
          <w14:ligatures w14:val="none"/>
        </w:rPr>
        <w:t xml:space="preserve"> de </w:t>
      </w:r>
      <w:r w:rsidR="001D451B" w:rsidRPr="00FC37AC">
        <w:rPr>
          <w:rFonts w:ascii="Times New Roman" w:eastAsia="Times New Roman" w:hAnsi="Times New Roman" w:cs="Times New Roman"/>
          <w:kern w:val="0"/>
          <w:sz w:val="24"/>
          <w:szCs w:val="24"/>
          <w:lang w:val="es-ES"/>
          <w14:ligatures w14:val="none"/>
        </w:rPr>
        <w:t>1998, precursor</w:t>
      </w:r>
      <w:r w:rsidRPr="005270EF">
        <w:rPr>
          <w:rFonts w:ascii="Times New Roman" w:eastAsia="Times New Roman" w:hAnsi="Times New Roman" w:cs="Times New Roman"/>
          <w:kern w:val="0"/>
          <w:sz w:val="24"/>
          <w:szCs w:val="24"/>
          <w:lang w:val="es-ES"/>
          <w14:ligatures w14:val="none"/>
        </w:rPr>
        <w:t xml:space="preserve"> de </w:t>
      </w:r>
      <w:r w:rsidR="00A101F9" w:rsidRPr="00FC37AC">
        <w:rPr>
          <w:rFonts w:ascii="Times New Roman" w:eastAsia="Times New Roman" w:hAnsi="Times New Roman" w:cs="Times New Roman"/>
          <w:kern w:val="0"/>
          <w:sz w:val="24"/>
          <w:szCs w:val="24"/>
          <w:lang w:val="es-ES"/>
          <w14:ligatures w14:val="none"/>
        </w:rPr>
        <w:t>este ensayo</w:t>
      </w:r>
      <w:r w:rsidR="001D451B" w:rsidRPr="00FC37AC">
        <w:rPr>
          <w:rStyle w:val="FootnoteReference"/>
          <w:rFonts w:ascii="Times New Roman" w:eastAsia="Times New Roman" w:hAnsi="Times New Roman" w:cs="Times New Roman"/>
          <w:kern w:val="0"/>
          <w:sz w:val="24"/>
          <w:szCs w:val="24"/>
          <w:lang w:val="es-ES"/>
          <w14:ligatures w14:val="none"/>
        </w:rPr>
        <w:footnoteReference w:id="1"/>
      </w:r>
      <w:r w:rsidRPr="005270EF">
        <w:rPr>
          <w:rFonts w:ascii="Times New Roman" w:eastAsia="Times New Roman" w:hAnsi="Times New Roman" w:cs="Times New Roman"/>
          <w:kern w:val="0"/>
          <w:sz w:val="24"/>
          <w:szCs w:val="24"/>
          <w:lang w:val="es-ES"/>
          <w14:ligatures w14:val="none"/>
        </w:rPr>
        <w:t>. Declaradas</w:t>
      </w:r>
      <w:r w:rsidR="00D0355F" w:rsidRPr="00FC37AC">
        <w:rPr>
          <w:rFonts w:ascii="Times New Roman" w:eastAsia="Times New Roman" w:hAnsi="Times New Roman" w:cs="Times New Roman"/>
          <w:kern w:val="0"/>
          <w:sz w:val="24"/>
          <w:szCs w:val="24"/>
          <w:lang w:val="es-ES"/>
          <w14:ligatures w14:val="none"/>
        </w:rPr>
        <w:t>,</w:t>
      </w:r>
      <w:r w:rsidRPr="005270EF">
        <w:rPr>
          <w:rFonts w:ascii="Times New Roman" w:eastAsia="Times New Roman" w:hAnsi="Times New Roman" w:cs="Times New Roman"/>
          <w:kern w:val="0"/>
          <w:sz w:val="24"/>
          <w:szCs w:val="24"/>
          <w:lang w:val="es-ES"/>
          <w14:ligatures w14:val="none"/>
        </w:rPr>
        <w:t xml:space="preserve"> formalmente</w:t>
      </w:r>
      <w:r w:rsidR="00D0355F" w:rsidRPr="00FC37AC">
        <w:rPr>
          <w:rFonts w:ascii="Times New Roman" w:eastAsia="Times New Roman" w:hAnsi="Times New Roman" w:cs="Times New Roman"/>
          <w:kern w:val="0"/>
          <w:sz w:val="24"/>
          <w:szCs w:val="24"/>
          <w:lang w:val="es-ES"/>
          <w14:ligatures w14:val="none"/>
        </w:rPr>
        <w:t>,</w:t>
      </w:r>
      <w:r w:rsidRPr="005270EF">
        <w:rPr>
          <w:rFonts w:ascii="Times New Roman" w:eastAsia="Times New Roman" w:hAnsi="Times New Roman" w:cs="Times New Roman"/>
          <w:kern w:val="0"/>
          <w:sz w:val="24"/>
          <w:szCs w:val="24"/>
          <w:lang w:val="es-ES"/>
          <w14:ligatures w14:val="none"/>
        </w:rPr>
        <w:t xml:space="preserve"> desde el podio de la </w:t>
      </w:r>
      <w:r w:rsidRPr="005270EF">
        <w:rPr>
          <w:rFonts w:ascii="Times New Roman" w:eastAsia="Times New Roman" w:hAnsi="Times New Roman" w:cs="Times New Roman"/>
          <w:i/>
          <w:iCs/>
          <w:kern w:val="0"/>
          <w:sz w:val="24"/>
          <w:szCs w:val="24"/>
          <w:lang w:val="es-ES"/>
          <w14:ligatures w14:val="none"/>
        </w:rPr>
        <w:t>Convención Nacional Republicana</w:t>
      </w:r>
      <w:r w:rsidRPr="005270EF">
        <w:rPr>
          <w:rFonts w:ascii="Times New Roman" w:eastAsia="Times New Roman" w:hAnsi="Times New Roman" w:cs="Times New Roman"/>
          <w:kern w:val="0"/>
          <w:sz w:val="24"/>
          <w:szCs w:val="24"/>
          <w:lang w:val="es-ES"/>
          <w14:ligatures w14:val="none"/>
        </w:rPr>
        <w:t xml:space="preserve"> de 1992, esas guerras comenzaron con una afirmación explícita: reclamar el “alma”</w:t>
      </w:r>
      <w:r w:rsidR="00E31D87" w:rsidRPr="00FC37AC">
        <w:rPr>
          <w:rStyle w:val="FootnoteReference"/>
          <w:rFonts w:ascii="Times New Roman" w:eastAsia="Times New Roman" w:hAnsi="Times New Roman" w:cs="Times New Roman"/>
          <w:kern w:val="0"/>
          <w:sz w:val="24"/>
          <w:szCs w:val="24"/>
          <w:lang w:val="es-ES"/>
          <w14:ligatures w14:val="none"/>
        </w:rPr>
        <w:footnoteReference w:id="2"/>
      </w:r>
      <w:r w:rsidRPr="005270EF">
        <w:rPr>
          <w:rFonts w:ascii="Times New Roman" w:eastAsia="Times New Roman" w:hAnsi="Times New Roman" w:cs="Times New Roman"/>
          <w:kern w:val="0"/>
          <w:sz w:val="24"/>
          <w:szCs w:val="24"/>
          <w:lang w:val="es-ES"/>
          <w14:ligatures w14:val="none"/>
        </w:rPr>
        <w:t xml:space="preserve"> </w:t>
      </w:r>
      <w:r w:rsidR="00D0355F" w:rsidRPr="00FC37AC">
        <w:rPr>
          <w:rFonts w:ascii="Times New Roman" w:eastAsia="Times New Roman" w:hAnsi="Times New Roman" w:cs="Times New Roman"/>
          <w:kern w:val="0"/>
          <w:sz w:val="24"/>
          <w:szCs w:val="24"/>
          <w:lang w:val="es-ES"/>
          <w14:ligatures w14:val="none"/>
        </w:rPr>
        <w:t>propia</w:t>
      </w:r>
      <w:r w:rsidRPr="005270EF">
        <w:rPr>
          <w:rFonts w:ascii="Times New Roman" w:eastAsia="Times New Roman" w:hAnsi="Times New Roman" w:cs="Times New Roman"/>
          <w:kern w:val="0"/>
          <w:sz w:val="24"/>
          <w:szCs w:val="24"/>
          <w:lang w:val="es-ES"/>
          <w14:ligatures w14:val="none"/>
        </w:rPr>
        <w:t xml:space="preserve"> de la nación. Lo hicieron con una agenda centrada en imponer su voluntad mediante el Derecho—o por la fuerza, como lo ha demostrado la experiencia reciente. En el cuarto de siglo transcurrido desde ese artículo de 1998, esas agresiones sociales se intensificaron, se profundizaron y se enfocaron de formas cada vez más venenosas.</w:t>
      </w:r>
    </w:p>
    <w:p w14:paraId="0E3A00D4" w14:textId="10E94B7C" w:rsidR="00ED392D" w:rsidRPr="00FC37AC" w:rsidRDefault="008F60B5" w:rsidP="00C835C3">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8F60B5">
        <w:rPr>
          <w:rFonts w:ascii="Times New Roman" w:eastAsia="Times New Roman" w:hAnsi="Times New Roman" w:cs="Times New Roman"/>
          <w:kern w:val="0"/>
          <w:sz w:val="24"/>
          <w:szCs w:val="24"/>
          <w:lang w:val="es-ES"/>
          <w14:ligatures w14:val="none"/>
        </w:rPr>
        <w:t>Como se describe más adelante, la agenda reaccionaria actual busca nada menos que imponer una forma de gobierno minoritario permanente, aquí y ahora</w:t>
      </w:r>
      <w:r w:rsidR="00E06158" w:rsidRPr="00FC37AC">
        <w:rPr>
          <w:rStyle w:val="FootnoteReference"/>
          <w:rFonts w:ascii="Times New Roman" w:hAnsi="Times New Roman" w:cs="Times New Roman"/>
          <w:sz w:val="24"/>
          <w:szCs w:val="24"/>
          <w:lang w:val="es-ES"/>
        </w:rPr>
        <w:footnoteReference w:customMarkFollows="1" w:id="3"/>
        <w:t>3</w:t>
      </w:r>
      <w:r w:rsidRPr="008F60B5">
        <w:rPr>
          <w:rFonts w:ascii="Times New Roman" w:eastAsia="Times New Roman" w:hAnsi="Times New Roman" w:cs="Times New Roman"/>
          <w:kern w:val="0"/>
          <w:sz w:val="24"/>
          <w:szCs w:val="24"/>
          <w:lang w:val="es-ES"/>
          <w14:ligatures w14:val="none"/>
        </w:rPr>
        <w:t>. Ese proyecto recuerda cada vez más a los Estados Unidos de 1850, antes de la Guerra Civil</w:t>
      </w:r>
      <w:r w:rsidR="00C835C3" w:rsidRPr="00FC37AC">
        <w:rPr>
          <w:rStyle w:val="FootnoteReference"/>
          <w:rFonts w:ascii="Times New Roman" w:hAnsi="Times New Roman" w:cs="Times New Roman"/>
          <w:sz w:val="24"/>
          <w:szCs w:val="24"/>
          <w:lang w:val="es-ES"/>
        </w:rPr>
        <w:footnoteReference w:customMarkFollows="1" w:id="4"/>
        <w:t>4</w:t>
      </w:r>
      <w:r w:rsidRPr="008F60B5">
        <w:rPr>
          <w:rFonts w:ascii="Times New Roman" w:eastAsia="Times New Roman" w:hAnsi="Times New Roman" w:cs="Times New Roman"/>
          <w:kern w:val="0"/>
          <w:sz w:val="24"/>
          <w:szCs w:val="24"/>
          <w:lang w:val="es-ES"/>
          <w14:ligatures w14:val="none"/>
        </w:rPr>
        <w:t xml:space="preserve">, y a la Alemania de los </w:t>
      </w:r>
      <w:r w:rsidRPr="008F60B5">
        <w:rPr>
          <w:rFonts w:ascii="Times New Roman" w:eastAsia="Times New Roman" w:hAnsi="Times New Roman" w:cs="Times New Roman"/>
          <w:kern w:val="0"/>
          <w:sz w:val="24"/>
          <w:szCs w:val="24"/>
          <w:lang w:val="es-ES"/>
          <w14:ligatures w14:val="none"/>
        </w:rPr>
        <w:lastRenderedPageBreak/>
        <w:t>años 30, antes de la Segunda Guerra Mundial</w:t>
      </w:r>
      <w:r w:rsidR="00C835C3" w:rsidRPr="00FC37AC">
        <w:rPr>
          <w:rStyle w:val="FootnoteReference"/>
          <w:rFonts w:ascii="Times New Roman" w:hAnsi="Times New Roman" w:cs="Times New Roman"/>
          <w:sz w:val="24"/>
          <w:szCs w:val="24"/>
          <w:lang w:val="es-ES"/>
        </w:rPr>
        <w:footnoteReference w:customMarkFollows="1" w:id="5"/>
        <w:t>5</w:t>
      </w:r>
      <w:r w:rsidRPr="008F60B5">
        <w:rPr>
          <w:rFonts w:ascii="Times New Roman" w:eastAsia="Times New Roman" w:hAnsi="Times New Roman" w:cs="Times New Roman"/>
          <w:kern w:val="0"/>
          <w:sz w:val="24"/>
          <w:szCs w:val="24"/>
          <w:lang w:val="es-ES"/>
          <w14:ligatures w14:val="none"/>
        </w:rPr>
        <w:t xml:space="preserve">. En ambos casos, como en el presente, la violencia política organizada y la supremacía blanca fanática se fusionaron y se desataron, </w:t>
      </w:r>
      <w:r w:rsidRPr="00FC37AC">
        <w:rPr>
          <w:rFonts w:ascii="Times New Roman" w:eastAsia="Times New Roman" w:hAnsi="Times New Roman" w:cs="Times New Roman"/>
          <w:kern w:val="0"/>
          <w:sz w:val="24"/>
          <w:szCs w:val="24"/>
          <w:lang w:val="es-ES"/>
          <w14:ligatures w14:val="none"/>
        </w:rPr>
        <w:t xml:space="preserve">para </w:t>
      </w:r>
      <w:r w:rsidRPr="008F60B5">
        <w:rPr>
          <w:rFonts w:ascii="Times New Roman" w:eastAsia="Times New Roman" w:hAnsi="Times New Roman" w:cs="Times New Roman"/>
          <w:kern w:val="0"/>
          <w:sz w:val="24"/>
          <w:szCs w:val="24"/>
          <w:lang w:val="es-ES"/>
          <w14:ligatures w14:val="none"/>
        </w:rPr>
        <w:t>desgarra</w:t>
      </w:r>
      <w:r w:rsidRPr="00FC37AC">
        <w:rPr>
          <w:rFonts w:ascii="Times New Roman" w:eastAsia="Times New Roman" w:hAnsi="Times New Roman" w:cs="Times New Roman"/>
          <w:kern w:val="0"/>
          <w:sz w:val="24"/>
          <w:szCs w:val="24"/>
          <w:lang w:val="es-ES"/>
          <w14:ligatures w14:val="none"/>
        </w:rPr>
        <w:t>r</w:t>
      </w:r>
      <w:r w:rsidRPr="008F60B5">
        <w:rPr>
          <w:rFonts w:ascii="Times New Roman" w:eastAsia="Times New Roman" w:hAnsi="Times New Roman" w:cs="Times New Roman"/>
          <w:kern w:val="0"/>
          <w:sz w:val="24"/>
          <w:szCs w:val="24"/>
          <w:lang w:val="es-ES"/>
          <w14:ligatures w14:val="none"/>
        </w:rPr>
        <w:t xml:space="preserve"> a la sociedad</w:t>
      </w:r>
      <w:r w:rsidR="00C835C3" w:rsidRPr="00FC37AC">
        <w:rPr>
          <w:rStyle w:val="FootnoteReference"/>
          <w:rFonts w:ascii="Times New Roman" w:hAnsi="Times New Roman" w:cs="Times New Roman"/>
          <w:sz w:val="24"/>
          <w:szCs w:val="24"/>
          <w:lang w:val="es-ES"/>
        </w:rPr>
        <w:footnoteReference w:customMarkFollows="1" w:id="6"/>
        <w:t>6</w:t>
      </w:r>
      <w:r w:rsidRPr="008F60B5">
        <w:rPr>
          <w:rFonts w:ascii="Times New Roman" w:eastAsia="Times New Roman" w:hAnsi="Times New Roman" w:cs="Times New Roman"/>
          <w:kern w:val="0"/>
          <w:sz w:val="24"/>
          <w:szCs w:val="24"/>
          <w:lang w:val="es-ES"/>
          <w14:ligatures w14:val="none"/>
        </w:rPr>
        <w:t xml:space="preserve">. En aquellos tiempos, como en el nuestro, las amenazas y los actos de violencia física </w:t>
      </w:r>
      <w:r w:rsidR="000C4A1E" w:rsidRPr="00FC37AC">
        <w:rPr>
          <w:rFonts w:ascii="Times New Roman" w:eastAsia="Times New Roman" w:hAnsi="Times New Roman" w:cs="Times New Roman"/>
          <w:kern w:val="0"/>
          <w:sz w:val="24"/>
          <w:szCs w:val="24"/>
          <w:lang w:val="es-ES"/>
          <w14:ligatures w14:val="none"/>
        </w:rPr>
        <w:t>impulsados</w:t>
      </w:r>
      <w:r w:rsidRPr="008F60B5">
        <w:rPr>
          <w:rFonts w:ascii="Times New Roman" w:eastAsia="Times New Roman" w:hAnsi="Times New Roman" w:cs="Times New Roman"/>
          <w:kern w:val="0"/>
          <w:sz w:val="24"/>
          <w:szCs w:val="24"/>
          <w:lang w:val="es-ES"/>
          <w14:ligatures w14:val="none"/>
        </w:rPr>
        <w:t xml:space="preserve"> por la identidad—tanto organizados como aleatorios—se convirtieron en elementos habituales de la política y la vida social estadounidenses</w:t>
      </w:r>
      <w:r w:rsidR="00C835C3" w:rsidRPr="00FC37AC">
        <w:rPr>
          <w:rStyle w:val="FootnoteReference"/>
          <w:rFonts w:ascii="Times New Roman" w:hAnsi="Times New Roman" w:cs="Times New Roman"/>
          <w:sz w:val="24"/>
          <w:szCs w:val="24"/>
          <w:lang w:val="es-ES"/>
        </w:rPr>
        <w:footnoteReference w:customMarkFollows="1" w:id="7"/>
        <w:t>7</w:t>
      </w:r>
      <w:r w:rsidR="00C835C3" w:rsidRPr="00FC37AC">
        <w:rPr>
          <w:rFonts w:ascii="Times New Roman" w:eastAsia="Times New Roman" w:hAnsi="Times New Roman" w:cs="Times New Roman"/>
          <w:kern w:val="0"/>
          <w:sz w:val="24"/>
          <w:szCs w:val="24"/>
          <w:lang w:val="es-ES"/>
          <w14:ligatures w14:val="none"/>
        </w:rPr>
        <w:t>.</w:t>
      </w:r>
    </w:p>
    <w:p w14:paraId="46C62E62" w14:textId="0C59BF0B" w:rsidR="00B51A21" w:rsidRPr="00FC37AC" w:rsidRDefault="00B51A21" w:rsidP="00C835C3">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FC37AC">
        <w:rPr>
          <w:rFonts w:ascii="Times New Roman" w:hAnsi="Times New Roman" w:cs="Times New Roman"/>
          <w:sz w:val="24"/>
          <w:szCs w:val="24"/>
          <w:lang w:val="es-ES"/>
        </w:rPr>
        <w:t>La respuesta de entonces ofrece una lección útil para hoy. Frente a peligros domésticos similares en enero de 1944, incluso mientras la Alemania nazi ya tambaleaba rumbo a la rendición incondicional, Franklin D. Roosevelt advirtió al pueblo estadounidense sobre “los peligros graves de la reacción derechista en esta nación”</w:t>
      </w:r>
      <w:r w:rsidR="009E7679" w:rsidRPr="00FC37AC">
        <w:rPr>
          <w:rStyle w:val="FootnoteReference"/>
          <w:rFonts w:ascii="Times New Roman" w:hAnsi="Times New Roman" w:cs="Times New Roman"/>
          <w:sz w:val="24"/>
          <w:szCs w:val="24"/>
          <w:lang w:val="es-ES"/>
        </w:rPr>
        <w:t xml:space="preserve"> </w:t>
      </w:r>
      <w:r w:rsidR="009E7679" w:rsidRPr="00FC37AC">
        <w:rPr>
          <w:rStyle w:val="FootnoteReference"/>
          <w:rFonts w:ascii="Times New Roman" w:hAnsi="Times New Roman" w:cs="Times New Roman"/>
          <w:sz w:val="24"/>
          <w:szCs w:val="24"/>
          <w:lang w:val="es-ES"/>
        </w:rPr>
        <w:footnoteReference w:customMarkFollows="1" w:id="8"/>
        <w:t>8</w:t>
      </w:r>
      <w:r w:rsidRPr="00FC37AC">
        <w:rPr>
          <w:rFonts w:ascii="Times New Roman" w:hAnsi="Times New Roman" w:cs="Times New Roman"/>
          <w:sz w:val="24"/>
          <w:szCs w:val="24"/>
          <w:lang w:val="es-ES"/>
        </w:rPr>
        <w:t xml:space="preserve">. Con su estilo directo y conocido, en una de sus famosas </w:t>
      </w:r>
      <w:r w:rsidRPr="00FC37AC">
        <w:rPr>
          <w:rStyle w:val="Emphasis"/>
          <w:rFonts w:ascii="Times New Roman" w:hAnsi="Times New Roman" w:cs="Times New Roman"/>
          <w:sz w:val="24"/>
          <w:szCs w:val="24"/>
          <w:lang w:val="es-ES"/>
        </w:rPr>
        <w:t>charlas junto a la chimenea</w:t>
      </w:r>
      <w:r w:rsidRPr="00FC37AC">
        <w:rPr>
          <w:rFonts w:ascii="Times New Roman" w:hAnsi="Times New Roman" w:cs="Times New Roman"/>
          <w:sz w:val="24"/>
          <w:szCs w:val="24"/>
          <w:lang w:val="es-ES"/>
        </w:rPr>
        <w:t>, Roosevelt fue claro: “Si tal reacción llegara a desarrollarse”, dijo, “entonces es seguro que, aunque venzamos a nuestros enemigos en los campos de batalla en el extranjero, habremos cedido al espíritu del fascismo aquí, en casa”</w:t>
      </w:r>
      <w:r w:rsidR="009E7679" w:rsidRPr="00FC37AC">
        <w:rPr>
          <w:rStyle w:val="FootnoteReference"/>
          <w:rFonts w:ascii="Times New Roman" w:hAnsi="Times New Roman" w:cs="Times New Roman"/>
          <w:sz w:val="24"/>
          <w:szCs w:val="24"/>
          <w:lang w:val="es-ES"/>
        </w:rPr>
        <w:t xml:space="preserve"> </w:t>
      </w:r>
      <w:r w:rsidR="009E7679" w:rsidRPr="00FC37AC">
        <w:rPr>
          <w:rStyle w:val="FootnoteReference"/>
          <w:rFonts w:ascii="Times New Roman" w:hAnsi="Times New Roman" w:cs="Times New Roman"/>
          <w:sz w:val="24"/>
          <w:szCs w:val="24"/>
          <w:lang w:val="es-ES"/>
        </w:rPr>
        <w:footnoteReference w:customMarkFollows="1" w:id="9"/>
        <w:t>9</w:t>
      </w:r>
      <w:r w:rsidRPr="00FC37AC">
        <w:rPr>
          <w:rFonts w:ascii="Times New Roman" w:hAnsi="Times New Roman" w:cs="Times New Roman"/>
          <w:sz w:val="24"/>
          <w:szCs w:val="24"/>
          <w:lang w:val="es-ES"/>
        </w:rPr>
        <w:t>.</w:t>
      </w:r>
      <w:r w:rsidR="00A40D3A" w:rsidRPr="00FC37AC">
        <w:rPr>
          <w:rFonts w:ascii="Times New Roman" w:hAnsi="Times New Roman" w:cs="Times New Roman"/>
          <w:sz w:val="24"/>
          <w:szCs w:val="24"/>
          <w:lang w:val="es-ES"/>
        </w:rPr>
        <w:t xml:space="preserve"> Después de décadas de guerras culturales impulsadas por la derecha, esa advertencia pesa sobre los Estados Unidos más que en ningún otro momento desde 1944.</w:t>
      </w:r>
    </w:p>
    <w:bookmarkEnd w:id="0"/>
    <w:p w14:paraId="1AAD8499" w14:textId="2EE644A9" w:rsidR="00307023" w:rsidRPr="00FC37AC" w:rsidRDefault="00A40D3A" w:rsidP="001F67B4">
      <w:pPr>
        <w:spacing w:after="0" w:line="240" w:lineRule="auto"/>
        <w:ind w:firstLine="720"/>
        <w:rPr>
          <w:rFonts w:ascii="Times New Roman" w:hAnsi="Times New Roman" w:cs="Times New Roman"/>
          <w:sz w:val="24"/>
          <w:szCs w:val="24"/>
          <w:lang w:val="es-ES"/>
        </w:rPr>
      </w:pPr>
      <w:r w:rsidRPr="00FC37AC">
        <w:rPr>
          <w:rFonts w:ascii="Times New Roman" w:hAnsi="Times New Roman" w:cs="Times New Roman"/>
          <w:sz w:val="24"/>
          <w:szCs w:val="24"/>
          <w:lang w:val="es-ES"/>
        </w:rPr>
        <w:t>Con ese espíritu, y en este contexto aún tenso y en evolución, el artículo precursor de 1998 afirmaba que</w:t>
      </w:r>
      <w:r w:rsidR="00842398" w:rsidRPr="00FC37AC">
        <w:rPr>
          <w:rFonts w:ascii="Times New Roman" w:hAnsi="Times New Roman" w:cs="Times New Roman"/>
          <w:sz w:val="24"/>
          <w:szCs w:val="24"/>
          <w:lang w:val="es-ES"/>
        </w:rPr>
        <w:t>:</w:t>
      </w:r>
      <w:r w:rsidRPr="00FC37AC">
        <w:rPr>
          <w:rFonts w:ascii="Times New Roman" w:hAnsi="Times New Roman" w:cs="Times New Roman"/>
          <w:sz w:val="24"/>
          <w:szCs w:val="24"/>
          <w:lang w:val="es-ES"/>
        </w:rPr>
        <w:t xml:space="preserve"> “como personas académicas en una sociedad legalista”, debemos “usar nuestras capacidades y recursos para imaginar y ayudar a construir colectividades” que puedan marcar una diferencia en ese mismo contexto: </w:t>
      </w:r>
    </w:p>
    <w:p w14:paraId="0DC49656" w14:textId="77777777" w:rsidR="00307023" w:rsidRPr="00FC37AC" w:rsidRDefault="00307023" w:rsidP="00307023">
      <w:pPr>
        <w:spacing w:after="0" w:line="240" w:lineRule="auto"/>
        <w:ind w:firstLine="720"/>
        <w:rPr>
          <w:rFonts w:ascii="Times New Roman" w:hAnsi="Times New Roman" w:cs="Times New Roman"/>
          <w:sz w:val="24"/>
          <w:szCs w:val="24"/>
          <w:lang w:val="es-ES"/>
        </w:rPr>
      </w:pPr>
    </w:p>
    <w:p w14:paraId="7F833A85" w14:textId="1B148362" w:rsidR="00D4539F" w:rsidRPr="00FC37AC" w:rsidRDefault="00D84115" w:rsidP="00D84115">
      <w:pPr>
        <w:spacing w:after="0" w:line="240" w:lineRule="auto"/>
        <w:ind w:left="720"/>
        <w:rPr>
          <w:rFonts w:ascii="Times New Roman" w:hAnsi="Times New Roman" w:cs="Times New Roman"/>
          <w:sz w:val="24"/>
          <w:szCs w:val="24"/>
          <w:lang w:val="es-ES"/>
        </w:rPr>
      </w:pPr>
      <w:r w:rsidRPr="00FC37AC">
        <w:rPr>
          <w:rFonts w:ascii="Times New Roman" w:hAnsi="Times New Roman" w:cs="Times New Roman"/>
          <w:sz w:val="24"/>
          <w:szCs w:val="24"/>
          <w:lang w:val="es-ES"/>
        </w:rPr>
        <w:t>[C]</w:t>
      </w:r>
      <w:proofErr w:type="spellStart"/>
      <w:r w:rsidRPr="00FC37AC">
        <w:rPr>
          <w:rFonts w:ascii="Times New Roman" w:hAnsi="Times New Roman" w:cs="Times New Roman"/>
          <w:sz w:val="24"/>
          <w:szCs w:val="24"/>
          <w:lang w:val="es-ES"/>
        </w:rPr>
        <w:t>omo</w:t>
      </w:r>
      <w:proofErr w:type="spellEnd"/>
      <w:r w:rsidRPr="00FC37AC">
        <w:rPr>
          <w:rFonts w:ascii="Times New Roman" w:hAnsi="Times New Roman" w:cs="Times New Roman"/>
          <w:sz w:val="24"/>
          <w:szCs w:val="24"/>
          <w:lang w:val="es-ES"/>
        </w:rPr>
        <w:t xml:space="preserve"> personas estudiosas del Derecho, poseemos una capacidad estructural única para teorizar la realidad social y la relación del Derecho con ella; como estudiosas críticas comprometidas con la justicia social, tenemos la responsabilidad de ejercer esa capacidad para articular marcos de resistencia efectiva contra la subordinación […] una </w:t>
      </w:r>
      <w:r w:rsidRPr="00FC37AC">
        <w:rPr>
          <w:rFonts w:ascii="Times New Roman" w:hAnsi="Times New Roman" w:cs="Times New Roman"/>
          <w:sz w:val="24"/>
          <w:szCs w:val="24"/>
          <w:lang w:val="es-ES"/>
        </w:rPr>
        <w:lastRenderedPageBreak/>
        <w:t>responsabilidad de practicar y promover las lecciones y los conocimientos que genera nuestro trabajo académico</w:t>
      </w:r>
      <w:r w:rsidRPr="00FC37AC">
        <w:rPr>
          <w:rStyle w:val="FootnoteReference"/>
          <w:rFonts w:ascii="Times New Roman" w:hAnsi="Times New Roman" w:cs="Times New Roman"/>
          <w:sz w:val="24"/>
          <w:szCs w:val="24"/>
          <w:lang w:val="es-ES"/>
        </w:rPr>
        <w:footnoteReference w:customMarkFollows="1" w:id="10"/>
        <w:t>10</w:t>
      </w:r>
      <w:r w:rsidRPr="00FC37AC">
        <w:rPr>
          <w:rFonts w:ascii="Times New Roman" w:hAnsi="Times New Roman" w:cs="Times New Roman"/>
          <w:sz w:val="24"/>
          <w:szCs w:val="24"/>
          <w:lang w:val="es-ES"/>
        </w:rPr>
        <w:t xml:space="preserve">. </w:t>
      </w:r>
    </w:p>
    <w:p w14:paraId="402A935E" w14:textId="77777777" w:rsidR="00D84115" w:rsidRPr="00FC37AC" w:rsidRDefault="00D84115" w:rsidP="00D84115">
      <w:pPr>
        <w:spacing w:after="0" w:line="240" w:lineRule="auto"/>
        <w:ind w:left="720"/>
        <w:rPr>
          <w:rFonts w:ascii="Times New Roman" w:hAnsi="Times New Roman" w:cs="Times New Roman"/>
          <w:sz w:val="24"/>
          <w:szCs w:val="24"/>
          <w:lang w:val="es-ES"/>
        </w:rPr>
      </w:pPr>
    </w:p>
    <w:p w14:paraId="15C5F63D" w14:textId="77777777" w:rsidR="00D84115" w:rsidRPr="00FC37AC" w:rsidRDefault="00D84115" w:rsidP="001F67B4">
      <w:pPr>
        <w:spacing w:after="0" w:line="240" w:lineRule="auto"/>
        <w:rPr>
          <w:rFonts w:ascii="Times New Roman" w:hAnsi="Times New Roman" w:cs="Times New Roman"/>
          <w:sz w:val="24"/>
          <w:szCs w:val="24"/>
          <w:lang w:val="es-ES"/>
        </w:rPr>
      </w:pPr>
      <w:r w:rsidRPr="00FC37AC">
        <w:rPr>
          <w:rFonts w:ascii="Times New Roman" w:hAnsi="Times New Roman" w:cs="Times New Roman"/>
          <w:sz w:val="24"/>
          <w:szCs w:val="24"/>
          <w:lang w:val="es-ES"/>
        </w:rPr>
        <w:t>Esa afirmación sigue vigente hoy, un cuarto de siglo más tarde, con aún mayor urgencia y peso.</w:t>
      </w:r>
    </w:p>
    <w:p w14:paraId="2745C2CD" w14:textId="77777777" w:rsidR="00325DEA" w:rsidRPr="00FC37AC" w:rsidRDefault="00325DEA" w:rsidP="00472750">
      <w:pPr>
        <w:spacing w:after="0" w:line="240" w:lineRule="auto"/>
        <w:ind w:firstLine="720"/>
        <w:rPr>
          <w:rFonts w:ascii="Times New Roman" w:hAnsi="Times New Roman" w:cs="Times New Roman"/>
          <w:sz w:val="24"/>
          <w:szCs w:val="24"/>
          <w:lang w:val="es-ES"/>
        </w:rPr>
      </w:pPr>
    </w:p>
    <w:p w14:paraId="323BE0F1" w14:textId="3AB2308E" w:rsidR="00EB5530" w:rsidRPr="00FC37AC" w:rsidRDefault="00381636" w:rsidP="00381636">
      <w:pPr>
        <w:pStyle w:val="NormalWeb"/>
        <w:ind w:firstLine="720"/>
        <w:rPr>
          <w:lang w:val="es-ES"/>
        </w:rPr>
      </w:pPr>
      <w:r w:rsidRPr="00FC37AC">
        <w:rPr>
          <w:lang w:val="es-ES"/>
        </w:rPr>
        <w:t xml:space="preserve">Por lo tanto, también resulta fundamental el surgimiento notable y la expansión sostenida, desde la década de 1990, de </w:t>
      </w:r>
      <w:r w:rsidR="00AA77B7" w:rsidRPr="00FC37AC">
        <w:rPr>
          <w:lang w:val="es-ES"/>
        </w:rPr>
        <w:t>“</w:t>
      </w:r>
      <w:r w:rsidRPr="00FC37AC">
        <w:rPr>
          <w:lang w:val="es-ES"/>
        </w:rPr>
        <w:t>redes críticas</w:t>
      </w:r>
      <w:r w:rsidR="00AA77B7" w:rsidRPr="00FC37AC">
        <w:rPr>
          <w:lang w:val="es-ES"/>
        </w:rPr>
        <w:t>”</w:t>
      </w:r>
      <w:r w:rsidRPr="00FC37AC">
        <w:rPr>
          <w:lang w:val="es-ES"/>
        </w:rPr>
        <w:t xml:space="preserve"> superpuestas entre personas juristas. Estas redes han desarrollado conjuntamente los cuerpos actuales de jurisprudencia crítica desde los márgenes. Una base crítica de conocimiento jurídico como esta—tanto sobre el Derecho como desde el Derecho—nunca antes había existido en estos términos. Construida por generaciones de redes académicas y activistas, esta base ofrece hoy una visión del mundo coherente y un marco práctico para exponer y enfrentar los enigmas y los entramados del sistema que perpetúan la injusticia, a pesar de las leyes y las declaraciones en sentido contrario</w:t>
      </w:r>
      <w:r w:rsidRPr="00FC37AC">
        <w:rPr>
          <w:rStyle w:val="FootnoteReference"/>
          <w:lang w:val="es-ES"/>
        </w:rPr>
        <w:footnoteReference w:customMarkFollows="1" w:id="11"/>
        <w:t>11</w:t>
      </w:r>
      <w:r w:rsidRPr="00FC37AC">
        <w:rPr>
          <w:lang w:val="es-ES"/>
        </w:rPr>
        <w:t xml:space="preserve">. Este conocimiento jurídico crítico, relativamente reciente y de carácter </w:t>
      </w:r>
      <w:proofErr w:type="spellStart"/>
      <w:r w:rsidRPr="00FC37AC">
        <w:rPr>
          <w:lang w:val="es-ES"/>
        </w:rPr>
        <w:t>diaspórico</w:t>
      </w:r>
      <w:proofErr w:type="spellEnd"/>
      <w:r w:rsidRPr="00FC37AC">
        <w:rPr>
          <w:lang w:val="es-ES"/>
        </w:rPr>
        <w:t>, y las posibilidades de acción colectiva que ahora hace posibles, tampoco son fruto del azar.</w:t>
      </w:r>
    </w:p>
    <w:p w14:paraId="041C565D" w14:textId="355E28D2" w:rsidR="00EB5530" w:rsidRPr="00FC37AC" w:rsidRDefault="00334334" w:rsidP="00472750">
      <w:pPr>
        <w:spacing w:after="0" w:line="240" w:lineRule="auto"/>
        <w:ind w:firstLine="720"/>
        <w:rPr>
          <w:rFonts w:ascii="Times New Roman" w:hAnsi="Times New Roman" w:cs="Times New Roman"/>
          <w:sz w:val="24"/>
          <w:szCs w:val="24"/>
          <w:lang w:val="es-ES"/>
        </w:rPr>
      </w:pPr>
      <w:r w:rsidRPr="00FC37AC">
        <w:rPr>
          <w:rFonts w:ascii="Times New Roman" w:hAnsi="Times New Roman" w:cs="Times New Roman"/>
          <w:sz w:val="24"/>
          <w:szCs w:val="24"/>
          <w:lang w:val="es-ES"/>
        </w:rPr>
        <w:t>En reacción al poder social acumulado por este conocimiento jurídico, Donald Trump anunció en septiembre de 2020 una nueva orden ejecutiva que atacó directamente esa producción intelectual. Intentó anular, por decreto, esa postura crítica, esa perspectiva basada en hechos, esa visión construida desde abajo</w:t>
      </w:r>
      <w:r w:rsidRPr="00FC37AC">
        <w:rPr>
          <w:rStyle w:val="FootnoteReference"/>
          <w:rFonts w:ascii="Times New Roman" w:hAnsi="Times New Roman" w:cs="Times New Roman"/>
          <w:sz w:val="24"/>
          <w:szCs w:val="24"/>
          <w:lang w:val="es-ES"/>
        </w:rPr>
        <w:footnoteReference w:customMarkFollows="1" w:id="12"/>
        <w:t>12</w:t>
      </w:r>
      <w:r w:rsidRPr="00FC37AC">
        <w:rPr>
          <w:rFonts w:ascii="Times New Roman" w:hAnsi="Times New Roman" w:cs="Times New Roman"/>
          <w:sz w:val="24"/>
          <w:szCs w:val="24"/>
          <w:lang w:val="es-ES"/>
        </w:rPr>
        <w:t>. Esa orden, de corte orwelliano, ordenó al Estado a suprimir el conocimiento crítico sobre el Derecho, la historia y la sociedad. Esa orden de 2020—y muchas otras similares que prohíben o censuran el conocimiento incómodo para la ideología supremacista blanca—confirman una vez más que el Derecho sigue siendo la punta de lanza de una violencia racista que es deliberada, histórica, estructural y epistémica.</w:t>
      </w:r>
    </w:p>
    <w:p w14:paraId="6A48DF00" w14:textId="77777777" w:rsidR="00AA77B7" w:rsidRPr="00FC37AC" w:rsidRDefault="00AA77B7" w:rsidP="00472750">
      <w:pPr>
        <w:spacing w:after="0" w:line="240" w:lineRule="auto"/>
        <w:ind w:firstLine="720"/>
        <w:rPr>
          <w:rFonts w:ascii="Times New Roman" w:hAnsi="Times New Roman" w:cs="Times New Roman"/>
          <w:sz w:val="24"/>
          <w:szCs w:val="24"/>
          <w:lang w:val="es-ES"/>
        </w:rPr>
      </w:pPr>
    </w:p>
    <w:p w14:paraId="787D6F0D" w14:textId="2BADC279" w:rsidR="00AA77B7" w:rsidRPr="00FC37AC" w:rsidRDefault="00AA77B7" w:rsidP="00472750">
      <w:pPr>
        <w:spacing w:after="0" w:line="240" w:lineRule="auto"/>
        <w:ind w:firstLine="720"/>
        <w:rPr>
          <w:rFonts w:ascii="Times New Roman" w:hAnsi="Times New Roman" w:cs="Times New Roman"/>
          <w:sz w:val="24"/>
          <w:szCs w:val="24"/>
          <w:lang w:val="es-ES"/>
        </w:rPr>
      </w:pPr>
      <w:r w:rsidRPr="00FC37AC">
        <w:rPr>
          <w:rFonts w:ascii="Times New Roman" w:hAnsi="Times New Roman" w:cs="Times New Roman"/>
          <w:sz w:val="24"/>
          <w:szCs w:val="24"/>
          <w:lang w:val="es-ES"/>
        </w:rPr>
        <w:t>Una figura singular y un fenómeno particular se convirtieron en el acelerador principal de esta degradación nacional en curso: Donald Trump y su “</w:t>
      </w:r>
      <w:proofErr w:type="spellStart"/>
      <w:r w:rsidRPr="00FC37AC">
        <w:rPr>
          <w:rFonts w:ascii="Times New Roman" w:hAnsi="Times New Roman" w:cs="Times New Roman"/>
          <w:sz w:val="24"/>
          <w:szCs w:val="24"/>
          <w:lang w:val="es-ES"/>
        </w:rPr>
        <w:t>trumpismo</w:t>
      </w:r>
      <w:proofErr w:type="spellEnd"/>
      <w:r w:rsidRPr="00FC37AC">
        <w:rPr>
          <w:rFonts w:ascii="Times New Roman" w:hAnsi="Times New Roman" w:cs="Times New Roman"/>
          <w:sz w:val="24"/>
          <w:szCs w:val="24"/>
          <w:lang w:val="es-ES"/>
        </w:rPr>
        <w:t>”, que encarnan y proyectan como nadie la “política identitaria” reaccionaria de las guerras culturales</w:t>
      </w:r>
      <w:r w:rsidRPr="00FC37AC">
        <w:rPr>
          <w:rStyle w:val="FootnoteReference"/>
          <w:rFonts w:ascii="Times New Roman" w:hAnsi="Times New Roman" w:cs="Times New Roman"/>
          <w:sz w:val="24"/>
          <w:szCs w:val="24"/>
          <w:lang w:val="es-ES"/>
        </w:rPr>
        <w:footnoteReference w:customMarkFollows="1" w:id="13"/>
        <w:t>13</w:t>
      </w:r>
      <w:r w:rsidRPr="00FC37AC">
        <w:rPr>
          <w:rFonts w:ascii="Times New Roman" w:hAnsi="Times New Roman" w:cs="Times New Roman"/>
          <w:sz w:val="24"/>
          <w:szCs w:val="24"/>
          <w:lang w:val="es-ES"/>
        </w:rPr>
        <w:t xml:space="preserve">. Bajo su influencia, estos elementos reaccionarios se fusionaron como </w:t>
      </w:r>
      <w:r w:rsidR="00397808" w:rsidRPr="00FC37AC">
        <w:rPr>
          <w:rFonts w:ascii="Times New Roman" w:hAnsi="Times New Roman" w:cs="Times New Roman"/>
          <w:sz w:val="24"/>
          <w:szCs w:val="24"/>
          <w:lang w:val="es-ES"/>
        </w:rPr>
        <w:t>nunca</w:t>
      </w:r>
      <w:r w:rsidRPr="00FC37AC">
        <w:rPr>
          <w:rFonts w:ascii="Times New Roman" w:hAnsi="Times New Roman" w:cs="Times New Roman"/>
          <w:sz w:val="24"/>
          <w:szCs w:val="24"/>
          <w:lang w:val="es-ES"/>
        </w:rPr>
        <w:t xml:space="preserve"> en una ideología derechista común, reunida bajo el viejo, pero reformulado, estandarte de la llamada teoría del “Gran Reemplazo”. En esa visión, las personas judías y no blancas aparecen como amenazas para la supremacía de los blancos anglosajones, debido a su número. Según esa lógica, hay que detener ese “reemplazo” demográfico, incluso si eso exige recurrir al terrorismo, a la violencia política o al </w:t>
      </w:r>
      <w:r w:rsidRPr="00FC37AC">
        <w:rPr>
          <w:rFonts w:ascii="Times New Roman" w:hAnsi="Times New Roman" w:cs="Times New Roman"/>
          <w:sz w:val="24"/>
          <w:szCs w:val="24"/>
          <w:lang w:val="es-ES"/>
        </w:rPr>
        <w:lastRenderedPageBreak/>
        <w:t xml:space="preserve">asesinato masivo, </w:t>
      </w:r>
      <w:r w:rsidR="00673604" w:rsidRPr="00FC37AC">
        <w:rPr>
          <w:rFonts w:ascii="Times New Roman" w:hAnsi="Times New Roman" w:cs="Times New Roman"/>
          <w:sz w:val="24"/>
          <w:szCs w:val="24"/>
          <w:lang w:val="es-ES"/>
        </w:rPr>
        <w:t>para</w:t>
      </w:r>
      <w:r w:rsidRPr="00FC37AC">
        <w:rPr>
          <w:rFonts w:ascii="Times New Roman" w:hAnsi="Times New Roman" w:cs="Times New Roman"/>
          <w:sz w:val="24"/>
          <w:szCs w:val="24"/>
          <w:lang w:val="es-ES"/>
        </w:rPr>
        <w:t xml:space="preserve"> imponer o </w:t>
      </w:r>
      <w:r w:rsidR="008507EC" w:rsidRPr="00FC37AC">
        <w:rPr>
          <w:rFonts w:ascii="Times New Roman" w:hAnsi="Times New Roman" w:cs="Times New Roman"/>
          <w:sz w:val="24"/>
          <w:szCs w:val="24"/>
          <w:lang w:val="es-ES"/>
        </w:rPr>
        <w:t>resucitar</w:t>
      </w:r>
      <w:r w:rsidR="00083992" w:rsidRPr="00FC37AC">
        <w:rPr>
          <w:rStyle w:val="FootnoteReference"/>
          <w:rFonts w:ascii="Times New Roman" w:hAnsi="Times New Roman" w:cs="Times New Roman"/>
          <w:sz w:val="24"/>
          <w:szCs w:val="24"/>
          <w:lang w:val="es-ES"/>
        </w:rPr>
        <w:footnoteReference w:customMarkFollows="1" w:id="14"/>
        <w:t>14</w:t>
      </w:r>
      <w:r w:rsidRPr="00FC37AC">
        <w:rPr>
          <w:rFonts w:ascii="Times New Roman" w:hAnsi="Times New Roman" w:cs="Times New Roman"/>
          <w:sz w:val="24"/>
          <w:szCs w:val="24"/>
          <w:lang w:val="es-ES"/>
        </w:rPr>
        <w:t xml:space="preserve"> un nacionalismo cristiano blanco dentro del Derecho y de la sociedad estadounidenses</w:t>
      </w:r>
      <w:r w:rsidR="00083992" w:rsidRPr="00FC37AC">
        <w:rPr>
          <w:rStyle w:val="FootnoteReference"/>
          <w:rFonts w:ascii="Times New Roman" w:hAnsi="Times New Roman" w:cs="Times New Roman"/>
          <w:sz w:val="24"/>
          <w:szCs w:val="24"/>
          <w:lang w:val="es-ES"/>
        </w:rPr>
        <w:footnoteReference w:customMarkFollows="1" w:id="15"/>
        <w:t>15</w:t>
      </w:r>
      <w:r w:rsidRPr="00FC37AC">
        <w:rPr>
          <w:rFonts w:ascii="Times New Roman" w:hAnsi="Times New Roman" w:cs="Times New Roman"/>
          <w:sz w:val="24"/>
          <w:szCs w:val="24"/>
          <w:lang w:val="es-ES"/>
        </w:rPr>
        <w:t>.</w:t>
      </w:r>
    </w:p>
    <w:p w14:paraId="07AC8707" w14:textId="46CD8D5F" w:rsidR="00F524E8" w:rsidRPr="00F524E8" w:rsidRDefault="00F524E8" w:rsidP="00F524E8">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F524E8">
        <w:rPr>
          <w:rFonts w:ascii="Times New Roman" w:eastAsia="Times New Roman" w:hAnsi="Times New Roman" w:cs="Times New Roman"/>
          <w:kern w:val="0"/>
          <w:sz w:val="24"/>
          <w:szCs w:val="24"/>
          <w:lang w:val="es-ES"/>
          <w14:ligatures w14:val="none"/>
        </w:rPr>
        <w:t>Para ayudar a entender esta descomposición sistémica y persistente, y para movilizar respuestas efectivas desde el pensamiento jurídico crítico, este ensayo breve centenario actualiza el artículo de 1998 de dos maneras. Primero, al destacar algunos desarrollos clave del último cuarto de siglo</w:t>
      </w:r>
      <w:r w:rsidRPr="00FC37AC">
        <w:rPr>
          <w:rFonts w:ascii="Times New Roman" w:eastAsia="Times New Roman" w:hAnsi="Times New Roman" w:cs="Times New Roman"/>
          <w:kern w:val="0"/>
          <w:sz w:val="24"/>
          <w:szCs w:val="24"/>
          <w:lang w:val="es-ES"/>
          <w14:ligatures w14:val="none"/>
        </w:rPr>
        <w:t>,</w:t>
      </w:r>
      <w:r w:rsidRPr="00F524E8">
        <w:rPr>
          <w:rFonts w:ascii="Times New Roman" w:eastAsia="Times New Roman" w:hAnsi="Times New Roman" w:cs="Times New Roman"/>
          <w:kern w:val="0"/>
          <w:sz w:val="24"/>
          <w:szCs w:val="24"/>
          <w:lang w:val="es-ES"/>
          <w14:ligatures w14:val="none"/>
        </w:rPr>
        <w:t xml:space="preserve"> que muestran cómo la guerra cultural se </w:t>
      </w:r>
      <w:r w:rsidR="00B55475" w:rsidRPr="00FC37AC">
        <w:rPr>
          <w:rFonts w:ascii="Times New Roman" w:eastAsia="Times New Roman" w:hAnsi="Times New Roman" w:cs="Times New Roman"/>
          <w:kern w:val="0"/>
          <w:sz w:val="24"/>
          <w:szCs w:val="24"/>
          <w:lang w:val="es-ES"/>
          <w14:ligatures w14:val="none"/>
        </w:rPr>
        <w:t>expande</w:t>
      </w:r>
      <w:r w:rsidRPr="00F524E8">
        <w:rPr>
          <w:rFonts w:ascii="Times New Roman" w:eastAsia="Times New Roman" w:hAnsi="Times New Roman" w:cs="Times New Roman"/>
          <w:kern w:val="0"/>
          <w:sz w:val="24"/>
          <w:szCs w:val="24"/>
          <w:lang w:val="es-ES"/>
          <w14:ligatures w14:val="none"/>
        </w:rPr>
        <w:t xml:space="preserve"> de forma cada vez más peligrosa. Segundo, al presentar un esquema que traza el mapa de la diáspora crítica</w:t>
      </w:r>
      <w:r w:rsidR="00645CE0" w:rsidRPr="00FC37AC">
        <w:rPr>
          <w:rFonts w:ascii="Times New Roman" w:eastAsia="Times New Roman" w:hAnsi="Times New Roman" w:cs="Times New Roman"/>
          <w:kern w:val="0"/>
          <w:sz w:val="24"/>
          <w:szCs w:val="24"/>
          <w:lang w:val="es-ES"/>
          <w14:ligatures w14:val="none"/>
        </w:rPr>
        <w:t>,</w:t>
      </w:r>
      <w:r w:rsidRPr="00F524E8">
        <w:rPr>
          <w:rFonts w:ascii="Times New Roman" w:eastAsia="Times New Roman" w:hAnsi="Times New Roman" w:cs="Times New Roman"/>
          <w:kern w:val="0"/>
          <w:sz w:val="24"/>
          <w:szCs w:val="24"/>
          <w:lang w:val="es-ES"/>
          <w14:ligatures w14:val="none"/>
        </w:rPr>
        <w:t xml:space="preserve"> surgida en la academia jurídica de los Estados Unidos</w:t>
      </w:r>
      <w:r w:rsidR="00645CE0" w:rsidRPr="00FC37AC">
        <w:rPr>
          <w:rFonts w:ascii="Times New Roman" w:eastAsia="Times New Roman" w:hAnsi="Times New Roman" w:cs="Times New Roman"/>
          <w:kern w:val="0"/>
          <w:sz w:val="24"/>
          <w:szCs w:val="24"/>
          <w:lang w:val="es-ES"/>
          <w14:ligatures w14:val="none"/>
        </w:rPr>
        <w:t>,</w:t>
      </w:r>
      <w:r w:rsidRPr="00F524E8">
        <w:rPr>
          <w:rFonts w:ascii="Times New Roman" w:eastAsia="Times New Roman" w:hAnsi="Times New Roman" w:cs="Times New Roman"/>
          <w:kern w:val="0"/>
          <w:sz w:val="24"/>
          <w:szCs w:val="24"/>
          <w:lang w:val="es-ES"/>
          <w14:ligatures w14:val="none"/>
        </w:rPr>
        <w:t xml:space="preserve"> durante esas mismas décadas.</w:t>
      </w:r>
    </w:p>
    <w:p w14:paraId="504F4DD5" w14:textId="2E935097" w:rsidR="00F21053" w:rsidRPr="00FC37AC" w:rsidRDefault="00F524E8" w:rsidP="00FC7748">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F524E8">
        <w:rPr>
          <w:rFonts w:ascii="Times New Roman" w:eastAsia="Times New Roman" w:hAnsi="Times New Roman" w:cs="Times New Roman"/>
          <w:kern w:val="0"/>
          <w:sz w:val="24"/>
          <w:szCs w:val="24"/>
          <w:lang w:val="es-ES"/>
          <w14:ligatures w14:val="none"/>
        </w:rPr>
        <w:t>Ese esquema, a la vez prudente y esperanzador, muestra cómo el conocimiento construido desde abajo y las redes críticas responden</w:t>
      </w:r>
      <w:r w:rsidR="00FC7748" w:rsidRPr="00FC37AC">
        <w:rPr>
          <w:rFonts w:ascii="Times New Roman" w:eastAsia="Times New Roman" w:hAnsi="Times New Roman" w:cs="Times New Roman"/>
          <w:kern w:val="0"/>
          <w:sz w:val="24"/>
          <w:szCs w:val="24"/>
          <w:lang w:val="es-ES"/>
          <w14:ligatures w14:val="none"/>
        </w:rPr>
        <w:t>,</w:t>
      </w:r>
      <w:r w:rsidRPr="00F524E8">
        <w:rPr>
          <w:rFonts w:ascii="Times New Roman" w:eastAsia="Times New Roman" w:hAnsi="Times New Roman" w:cs="Times New Roman"/>
          <w:kern w:val="0"/>
          <w:sz w:val="24"/>
          <w:szCs w:val="24"/>
          <w:lang w:val="es-ES"/>
          <w14:ligatures w14:val="none"/>
        </w:rPr>
        <w:t xml:space="preserve"> de forma activa y colectiva</w:t>
      </w:r>
      <w:r w:rsidR="00FC7748" w:rsidRPr="00FC37AC">
        <w:rPr>
          <w:rFonts w:ascii="Times New Roman" w:eastAsia="Times New Roman" w:hAnsi="Times New Roman" w:cs="Times New Roman"/>
          <w:kern w:val="0"/>
          <w:sz w:val="24"/>
          <w:szCs w:val="24"/>
          <w:lang w:val="es-ES"/>
          <w14:ligatures w14:val="none"/>
        </w:rPr>
        <w:t>,</w:t>
      </w:r>
      <w:r w:rsidRPr="00F524E8">
        <w:rPr>
          <w:rFonts w:ascii="Times New Roman" w:eastAsia="Times New Roman" w:hAnsi="Times New Roman" w:cs="Times New Roman"/>
          <w:kern w:val="0"/>
          <w:sz w:val="24"/>
          <w:szCs w:val="24"/>
          <w:lang w:val="es-ES"/>
          <w14:ligatures w14:val="none"/>
        </w:rPr>
        <w:t xml:space="preserve"> al daño social y al odio racista que generan estas guerras culturales permanentes. Esto ocurre incluso cuando la reacción derechista y su “espíritu de fascismo aquí, en casa” </w:t>
      </w:r>
      <w:r w:rsidR="00FC7748" w:rsidRPr="00FC37AC">
        <w:rPr>
          <w:rFonts w:ascii="Times New Roman" w:eastAsia="Times New Roman" w:hAnsi="Times New Roman" w:cs="Times New Roman"/>
          <w:kern w:val="0"/>
          <w:sz w:val="24"/>
          <w:szCs w:val="24"/>
          <w:lang w:val="es-ES"/>
          <w14:ligatures w14:val="none"/>
        </w:rPr>
        <w:t>intensifica</w:t>
      </w:r>
      <w:r w:rsidRPr="00F524E8">
        <w:rPr>
          <w:rFonts w:ascii="Times New Roman" w:eastAsia="Times New Roman" w:hAnsi="Times New Roman" w:cs="Times New Roman"/>
          <w:kern w:val="0"/>
          <w:sz w:val="24"/>
          <w:szCs w:val="24"/>
          <w:lang w:val="es-ES"/>
          <w14:ligatures w14:val="none"/>
        </w:rPr>
        <w:t xml:space="preserve"> las guerras culturales y tratan de borrar, suprimir o castigar lo que nosotras y nosotros—como personas académicas críticas comprometidas con la responsabilidad social—sabemos, hacemos y representamos.</w:t>
      </w:r>
    </w:p>
    <w:p w14:paraId="55AF5B3D" w14:textId="77777777" w:rsidR="005D06AB" w:rsidRPr="00FC37AC" w:rsidRDefault="005D06AB" w:rsidP="005D06AB">
      <w:pPr>
        <w:spacing w:after="0" w:line="240" w:lineRule="auto"/>
        <w:rPr>
          <w:rFonts w:ascii="Times New Roman" w:hAnsi="Times New Roman" w:cs="Times New Roman"/>
          <w:b/>
          <w:sz w:val="24"/>
          <w:szCs w:val="24"/>
          <w:u w:val="single"/>
          <w:lang w:val="es-ES"/>
        </w:rPr>
      </w:pPr>
      <w:r w:rsidRPr="005D06AB">
        <w:rPr>
          <w:rFonts w:ascii="Times New Roman" w:hAnsi="Times New Roman" w:cs="Times New Roman"/>
          <w:b/>
          <w:sz w:val="24"/>
          <w:szCs w:val="24"/>
          <w:u w:val="single"/>
          <w:lang w:val="es-ES"/>
        </w:rPr>
        <w:t>Identidad, ideología, desigualdad: La guerra cultural por la fuerza de la ley y por la fuerza ilegítima</w:t>
      </w:r>
    </w:p>
    <w:p w14:paraId="6B671841" w14:textId="6D6CE241" w:rsidR="0063440C" w:rsidRPr="00FC37AC" w:rsidRDefault="0063440C" w:rsidP="00A36BB7">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63440C">
        <w:rPr>
          <w:rFonts w:ascii="Times New Roman" w:eastAsia="Times New Roman" w:hAnsi="Times New Roman" w:cs="Times New Roman"/>
          <w:kern w:val="0"/>
          <w:sz w:val="24"/>
          <w:szCs w:val="24"/>
          <w:lang w:val="es-ES"/>
          <w14:ligatures w14:val="none"/>
        </w:rPr>
        <w:t xml:space="preserve">Como señala el artículo precursor de 1998, desde que el </w:t>
      </w:r>
      <w:r w:rsidRPr="0063440C">
        <w:rPr>
          <w:rFonts w:ascii="Times New Roman" w:eastAsia="Times New Roman" w:hAnsi="Times New Roman" w:cs="Times New Roman"/>
          <w:i/>
          <w:iCs/>
          <w:kern w:val="0"/>
          <w:sz w:val="24"/>
          <w:szCs w:val="24"/>
          <w:lang w:val="es-ES"/>
          <w14:ligatures w14:val="none"/>
        </w:rPr>
        <w:t>New Deal</w:t>
      </w:r>
      <w:r w:rsidRPr="0063440C">
        <w:rPr>
          <w:rFonts w:ascii="Times New Roman" w:eastAsia="Times New Roman" w:hAnsi="Times New Roman" w:cs="Times New Roman"/>
          <w:kern w:val="0"/>
          <w:sz w:val="24"/>
          <w:szCs w:val="24"/>
          <w:lang w:val="es-ES"/>
          <w14:ligatures w14:val="none"/>
        </w:rPr>
        <w:t xml:space="preserve"> rescató al capitalismo estadounidense en las décadas de 1930 y 1940, las élites tradicionalmente dominantes—definidas por la raza, el género y la clase social—han exigido y diseñado un regreso, o una resurrección, de los privilegios que antes tenían garantizados constitucionalmente. </w:t>
      </w:r>
      <w:r w:rsidR="00461AD9" w:rsidRPr="00FC37AC">
        <w:rPr>
          <w:rFonts w:ascii="Times New Roman" w:eastAsia="Times New Roman" w:hAnsi="Times New Roman" w:cs="Times New Roman"/>
          <w:kern w:val="0"/>
          <w:sz w:val="24"/>
          <w:szCs w:val="24"/>
          <w:lang w:val="es-ES"/>
          <w14:ligatures w14:val="none"/>
        </w:rPr>
        <w:t>Esta reacción indignada no hizo sino volverse más radical durante las conquistas de los derechos civiles en las décadas de 1950 y 1960, que de forma deliberada y mensurable habían aflojado los lazos de la población negra de Estados Unidos y de otras minorías étnico-raciales nacionales, especialmente bajo la Gran Sociedad de Lyndon B. Johnson</w:t>
      </w:r>
      <w:r w:rsidR="00A36BB7" w:rsidRPr="00FC37AC">
        <w:rPr>
          <w:rStyle w:val="FootnoteReference"/>
          <w:rFonts w:ascii="Times New Roman" w:hAnsi="Times New Roman" w:cs="Times New Roman"/>
          <w:sz w:val="24"/>
          <w:szCs w:val="24"/>
          <w:lang w:val="es-ES"/>
        </w:rPr>
        <w:footnoteReference w:customMarkFollows="1" w:id="16"/>
        <w:t>16</w:t>
      </w:r>
      <w:r w:rsidR="00461AD9" w:rsidRPr="00FC37AC">
        <w:rPr>
          <w:rFonts w:ascii="Times New Roman" w:eastAsia="Times New Roman" w:hAnsi="Times New Roman" w:cs="Times New Roman"/>
          <w:kern w:val="0"/>
          <w:sz w:val="24"/>
          <w:szCs w:val="24"/>
          <w:lang w:val="es-ES"/>
          <w14:ligatures w14:val="none"/>
        </w:rPr>
        <w:t>.</w:t>
      </w:r>
    </w:p>
    <w:p w14:paraId="035EE2E8" w14:textId="1F47E157" w:rsidR="00EE5456" w:rsidRPr="00FC37AC" w:rsidRDefault="00EE5456" w:rsidP="00EE5456">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EE5456">
        <w:rPr>
          <w:rFonts w:ascii="Times New Roman" w:eastAsia="Times New Roman" w:hAnsi="Times New Roman" w:cs="Times New Roman"/>
          <w:kern w:val="0"/>
          <w:sz w:val="24"/>
          <w:szCs w:val="24"/>
          <w:lang w:val="es-ES"/>
          <w14:ligatures w14:val="none"/>
        </w:rPr>
        <w:t>Para 1968, ese sentimiento reaccionario de derecho, agravio y contraataque</w:t>
      </w:r>
      <w:r w:rsidRPr="00FC37AC">
        <w:rPr>
          <w:rFonts w:ascii="Times New Roman" w:eastAsia="Times New Roman" w:hAnsi="Times New Roman" w:cs="Times New Roman"/>
          <w:kern w:val="0"/>
          <w:sz w:val="24"/>
          <w:szCs w:val="24"/>
          <w:lang w:val="es-ES"/>
          <w14:ligatures w14:val="none"/>
        </w:rPr>
        <w:t>,</w:t>
      </w:r>
      <w:r w:rsidRPr="00EE5456">
        <w:rPr>
          <w:rFonts w:ascii="Times New Roman" w:eastAsia="Times New Roman" w:hAnsi="Times New Roman" w:cs="Times New Roman"/>
          <w:kern w:val="0"/>
          <w:sz w:val="24"/>
          <w:szCs w:val="24"/>
          <w:lang w:val="es-ES"/>
          <w14:ligatures w14:val="none"/>
        </w:rPr>
        <w:t xml:space="preserve"> basado en la identidad</w:t>
      </w:r>
      <w:r w:rsidRPr="00FC37AC">
        <w:rPr>
          <w:rFonts w:ascii="Times New Roman" w:eastAsia="Times New Roman" w:hAnsi="Times New Roman" w:cs="Times New Roman"/>
          <w:kern w:val="0"/>
          <w:sz w:val="24"/>
          <w:szCs w:val="24"/>
          <w:lang w:val="es-ES"/>
          <w14:ligatures w14:val="none"/>
        </w:rPr>
        <w:t>,</w:t>
      </w:r>
      <w:r w:rsidRPr="00EE5456">
        <w:rPr>
          <w:rFonts w:ascii="Times New Roman" w:eastAsia="Times New Roman" w:hAnsi="Times New Roman" w:cs="Times New Roman"/>
          <w:kern w:val="0"/>
          <w:sz w:val="24"/>
          <w:szCs w:val="24"/>
          <w:lang w:val="es-ES"/>
          <w14:ligatures w14:val="none"/>
        </w:rPr>
        <w:t xml:space="preserve"> llevó a un político republicano llamado Richard Nixon a formular lo que sus estrategas </w:t>
      </w:r>
      <w:r w:rsidRPr="00EE5456">
        <w:rPr>
          <w:rFonts w:ascii="Times New Roman" w:eastAsia="Times New Roman" w:hAnsi="Times New Roman" w:cs="Times New Roman"/>
          <w:kern w:val="0"/>
          <w:sz w:val="24"/>
          <w:szCs w:val="24"/>
          <w:lang w:val="es-ES"/>
          <w14:ligatures w14:val="none"/>
        </w:rPr>
        <w:lastRenderedPageBreak/>
        <w:t>llamaron una “estrategia sureña”</w:t>
      </w:r>
      <w:r w:rsidRPr="00FC37AC">
        <w:rPr>
          <w:rStyle w:val="FootnoteReference"/>
          <w:rFonts w:ascii="Times New Roman" w:hAnsi="Times New Roman" w:cs="Times New Roman"/>
          <w:sz w:val="24"/>
          <w:szCs w:val="24"/>
          <w:lang w:val="es-ES"/>
        </w:rPr>
        <w:t xml:space="preserve"> </w:t>
      </w:r>
      <w:r w:rsidRPr="00FC37AC">
        <w:rPr>
          <w:rStyle w:val="FootnoteReference"/>
          <w:rFonts w:ascii="Times New Roman" w:hAnsi="Times New Roman" w:cs="Times New Roman"/>
          <w:sz w:val="24"/>
          <w:szCs w:val="24"/>
          <w:lang w:val="es-ES"/>
        </w:rPr>
        <w:footnoteReference w:customMarkFollows="1" w:id="17"/>
        <w:t>17</w:t>
      </w:r>
      <w:r w:rsidRPr="00EE5456">
        <w:rPr>
          <w:rFonts w:ascii="Times New Roman" w:eastAsia="Times New Roman" w:hAnsi="Times New Roman" w:cs="Times New Roman"/>
          <w:kern w:val="0"/>
          <w:sz w:val="24"/>
          <w:szCs w:val="24"/>
          <w:lang w:val="es-ES"/>
          <w14:ligatures w14:val="none"/>
        </w:rPr>
        <w:t>. Esa estrategia priorizó, de forma cínica, la explotación ideológica de los nombramientos judiciales</w:t>
      </w:r>
      <w:r w:rsidRPr="00FC37AC">
        <w:rPr>
          <w:rFonts w:ascii="Times New Roman" w:eastAsia="Times New Roman" w:hAnsi="Times New Roman" w:cs="Times New Roman"/>
          <w:kern w:val="0"/>
          <w:sz w:val="24"/>
          <w:szCs w:val="24"/>
          <w:lang w:val="es-ES"/>
          <w14:ligatures w14:val="none"/>
        </w:rPr>
        <w:t>,</w:t>
      </w:r>
      <w:r w:rsidRPr="00EE5456">
        <w:rPr>
          <w:rFonts w:ascii="Times New Roman" w:eastAsia="Times New Roman" w:hAnsi="Times New Roman" w:cs="Times New Roman"/>
          <w:kern w:val="0"/>
          <w:sz w:val="24"/>
          <w:szCs w:val="24"/>
          <w:lang w:val="es-ES"/>
          <w14:ligatures w14:val="none"/>
        </w:rPr>
        <w:t xml:space="preserve"> para lograr objetivos políticos partidistas moldeados por la raza y otras identidades sociales</w:t>
      </w:r>
      <w:r w:rsidR="0069697C" w:rsidRPr="00FC37AC">
        <w:rPr>
          <w:rStyle w:val="FootnoteReference"/>
          <w:rFonts w:ascii="Times New Roman" w:hAnsi="Times New Roman" w:cs="Times New Roman"/>
          <w:sz w:val="24"/>
          <w:szCs w:val="24"/>
          <w:lang w:val="es-ES"/>
        </w:rPr>
        <w:footnoteReference w:customMarkFollows="1" w:id="18"/>
        <w:t>18</w:t>
      </w:r>
      <w:r w:rsidRPr="00EE5456">
        <w:rPr>
          <w:rFonts w:ascii="Times New Roman" w:eastAsia="Times New Roman" w:hAnsi="Times New Roman" w:cs="Times New Roman"/>
          <w:kern w:val="0"/>
          <w:sz w:val="24"/>
          <w:szCs w:val="24"/>
          <w:lang w:val="es-ES"/>
          <w14:ligatures w14:val="none"/>
        </w:rPr>
        <w:t>.</w:t>
      </w:r>
    </w:p>
    <w:p w14:paraId="0F0C1EDF" w14:textId="30ABA9E9" w:rsidR="0063440C" w:rsidRPr="00FC37AC" w:rsidRDefault="0069697C" w:rsidP="00C45B03">
      <w:pPr>
        <w:pStyle w:val="NormalWeb"/>
        <w:ind w:firstLine="720"/>
        <w:rPr>
          <w:rFonts w:eastAsia="Times New Roman"/>
          <w:kern w:val="0"/>
          <w:lang w:val="es-ES"/>
          <w14:ligatures w14:val="none"/>
        </w:rPr>
      </w:pPr>
      <w:r w:rsidRPr="0069697C">
        <w:rPr>
          <w:rFonts w:eastAsia="Times New Roman"/>
          <w:kern w:val="0"/>
          <w:lang w:val="es-ES"/>
          <w14:ligatures w14:val="none"/>
        </w:rPr>
        <w:t>Desde entonces, esta estrategia ha situado al Derecho y a la identidad en el centro de la política, y viceversa, tanto en el discurso como en la práctica. Tras el éxito de Nixon en 1968 con ese libreto electoral racista, generaciones de candidatos presidenciales republicanos—desde Reagan hasta Trump—han jugado con el mismo fuego supremacista de la reacción derechista interna. Con frecuencia, han avivado “el espíritu del fascismo aquí, en casa”, mediante expresiones crecientes de odio y violencia</w:t>
      </w:r>
      <w:r w:rsidR="00C45B03" w:rsidRPr="00FC37AC">
        <w:rPr>
          <w:rStyle w:val="FootnoteReference"/>
          <w:lang w:val="es-ES"/>
        </w:rPr>
        <w:footnoteReference w:customMarkFollows="1" w:id="19"/>
        <w:t>19</w:t>
      </w:r>
      <w:r w:rsidRPr="0069697C">
        <w:rPr>
          <w:rFonts w:eastAsia="Times New Roman"/>
          <w:kern w:val="0"/>
          <w:lang w:val="es-ES"/>
          <w14:ligatures w14:val="none"/>
        </w:rPr>
        <w:t>.</w:t>
      </w:r>
      <w:r w:rsidR="00C45B03" w:rsidRPr="00FC37AC">
        <w:rPr>
          <w:rFonts w:eastAsia="Times New Roman"/>
          <w:kern w:val="0"/>
          <w:lang w:val="es-ES"/>
          <w14:ligatures w14:val="none"/>
        </w:rPr>
        <w:t xml:space="preserve"> En 2008, con la elección de Barack Obama, y cuatro años después con su reelección, esa mezcla derechista, racista y </w:t>
      </w:r>
      <w:proofErr w:type="spellStart"/>
      <w:r w:rsidR="00C45B03" w:rsidRPr="00FC37AC">
        <w:rPr>
          <w:rFonts w:eastAsia="Times New Roman"/>
          <w:kern w:val="0"/>
          <w:lang w:val="es-ES"/>
          <w14:ligatures w14:val="none"/>
        </w:rPr>
        <w:t>protofascista</w:t>
      </w:r>
      <w:proofErr w:type="spellEnd"/>
      <w:r w:rsidR="00C45B03" w:rsidRPr="00FC37AC">
        <w:rPr>
          <w:rFonts w:eastAsia="Times New Roman"/>
          <w:kern w:val="0"/>
          <w:lang w:val="es-ES"/>
          <w14:ligatures w14:val="none"/>
        </w:rPr>
        <w:t xml:space="preserve"> </w:t>
      </w:r>
      <w:r w:rsidR="00B80D89" w:rsidRPr="00FC37AC">
        <w:rPr>
          <w:rFonts w:eastAsia="Times New Roman"/>
          <w:kern w:val="0"/>
          <w:lang w:val="es-ES"/>
          <w14:ligatures w14:val="none"/>
        </w:rPr>
        <w:t xml:space="preserve">se </w:t>
      </w:r>
      <w:r w:rsidR="00C45B03" w:rsidRPr="00FC37AC">
        <w:rPr>
          <w:rFonts w:eastAsia="Times New Roman"/>
          <w:kern w:val="0"/>
          <w:lang w:val="es-ES"/>
          <w14:ligatures w14:val="none"/>
        </w:rPr>
        <w:t xml:space="preserve">cristalizó dentro del Partido Republicano como el </w:t>
      </w:r>
      <w:r w:rsidR="00C45B03" w:rsidRPr="00FC37AC">
        <w:rPr>
          <w:rFonts w:eastAsia="Times New Roman"/>
          <w:i/>
          <w:iCs/>
          <w:kern w:val="0"/>
          <w:lang w:val="es-ES"/>
          <w14:ligatures w14:val="none"/>
        </w:rPr>
        <w:t xml:space="preserve">Tea </w:t>
      </w:r>
      <w:proofErr w:type="spellStart"/>
      <w:r w:rsidR="00C45B03" w:rsidRPr="00FC37AC">
        <w:rPr>
          <w:rFonts w:eastAsia="Times New Roman"/>
          <w:i/>
          <w:iCs/>
          <w:kern w:val="0"/>
          <w:lang w:val="es-ES"/>
          <w14:ligatures w14:val="none"/>
        </w:rPr>
        <w:t>Party</w:t>
      </w:r>
      <w:proofErr w:type="spellEnd"/>
      <w:r w:rsidR="00C45B03" w:rsidRPr="00FC37AC">
        <w:rPr>
          <w:rFonts w:eastAsia="Times New Roman"/>
          <w:kern w:val="0"/>
          <w:lang w:val="es-ES"/>
          <w14:ligatures w14:val="none"/>
        </w:rPr>
        <w:t>, que—en retrospectiva—funcionó como la placa de Petri envenenada de Donald Trump.</w:t>
      </w:r>
    </w:p>
    <w:p w14:paraId="7D2ACAB5" w14:textId="77777777" w:rsidR="00C22DBC" w:rsidRPr="00FC37AC" w:rsidRDefault="00A4730A" w:rsidP="00C22DBC">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FC37AC">
        <w:rPr>
          <w:rFonts w:ascii="Times New Roman" w:hAnsi="Times New Roman" w:cs="Times New Roman"/>
          <w:sz w:val="24"/>
          <w:szCs w:val="24"/>
          <w:lang w:val="es-ES"/>
        </w:rPr>
        <w:t>Entender estas guerras culturales—rebeldes y persistentes—como un conjunto interconectado de movimientos partidistas coordinados, dinámicos y multifacéticos, impulsados por agendas ideológicas racializadas y diseñados, literalmente, para resucitar castas identitarias originales</w:t>
      </w:r>
      <w:r w:rsidRPr="00FC37AC">
        <w:rPr>
          <w:rStyle w:val="FootnoteReference"/>
          <w:rFonts w:ascii="Times New Roman" w:hAnsi="Times New Roman" w:cs="Times New Roman"/>
          <w:sz w:val="24"/>
          <w:szCs w:val="24"/>
          <w:lang w:val="es-ES"/>
        </w:rPr>
        <w:footnoteReference w:customMarkFollows="1" w:id="20"/>
        <w:t>20</w:t>
      </w:r>
      <w:r w:rsidRPr="00FC37AC">
        <w:rPr>
          <w:rFonts w:ascii="Times New Roman" w:hAnsi="Times New Roman" w:cs="Times New Roman"/>
          <w:sz w:val="24"/>
          <w:szCs w:val="24"/>
          <w:lang w:val="es-ES"/>
        </w:rPr>
        <w:t xml:space="preserve">—y no como fenómenos aleatorios o idiosincrásicos—es fundamental para comprender qué ocurre a tu alrededor, y al de todos nosotros, y </w:t>
      </w:r>
      <w:r w:rsidRPr="00FC37AC">
        <w:rPr>
          <w:rFonts w:ascii="Times New Roman" w:hAnsi="Times New Roman" w:cs="Times New Roman"/>
          <w:i/>
          <w:iCs/>
          <w:sz w:val="24"/>
          <w:szCs w:val="24"/>
          <w:lang w:val="es-ES"/>
        </w:rPr>
        <w:t>por qué</w:t>
      </w:r>
      <w:r w:rsidRPr="00FC37AC">
        <w:rPr>
          <w:rFonts w:ascii="Times New Roman" w:hAnsi="Times New Roman" w:cs="Times New Roman"/>
          <w:sz w:val="24"/>
          <w:szCs w:val="24"/>
          <w:lang w:val="es-ES"/>
        </w:rPr>
        <w:t>.</w:t>
      </w:r>
      <w:r w:rsidRPr="00FC37AC">
        <w:rPr>
          <w:rFonts w:ascii="Times New Roman" w:eastAsia="Times New Roman" w:hAnsi="Times New Roman" w:cs="Times New Roman"/>
          <w:kern w:val="0"/>
          <w:sz w:val="24"/>
          <w:szCs w:val="24"/>
          <w:lang w:val="es-ES"/>
          <w14:ligatures w14:val="none"/>
        </w:rPr>
        <w:t xml:space="preserve"> </w:t>
      </w:r>
      <w:r w:rsidRPr="00BD40BB">
        <w:rPr>
          <w:rFonts w:ascii="Times New Roman" w:eastAsia="Times New Roman" w:hAnsi="Times New Roman" w:cs="Times New Roman"/>
          <w:kern w:val="0"/>
          <w:sz w:val="24"/>
          <w:szCs w:val="24"/>
          <w:lang w:val="es-ES"/>
          <w14:ligatures w14:val="none"/>
        </w:rPr>
        <w:t>Este conocimiento, por inquietante que sea, resulta liberador y necesario para diseñar estrategias frente a estas guerras culturales, que se expresan en tres “frentes” cada vez más reaccionarios y de corte fascista</w:t>
      </w:r>
      <w:r w:rsidR="00AB0BE7" w:rsidRPr="00FC37AC">
        <w:rPr>
          <w:rFonts w:ascii="Times New Roman" w:eastAsia="Times New Roman" w:hAnsi="Times New Roman" w:cs="Times New Roman"/>
          <w:kern w:val="0"/>
          <w:sz w:val="24"/>
          <w:szCs w:val="24"/>
          <w:lang w:val="es-ES"/>
          <w14:ligatures w14:val="none"/>
        </w:rPr>
        <w:t>.</w:t>
      </w:r>
    </w:p>
    <w:p w14:paraId="06CDA58C" w14:textId="60F39F15" w:rsidR="00AB0BE7" w:rsidRPr="00FC37AC" w:rsidRDefault="00AB0BE7" w:rsidP="00C22DBC">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AB0BE7">
        <w:rPr>
          <w:rFonts w:ascii="Times New Roman" w:eastAsia="Times New Roman" w:hAnsi="Times New Roman" w:cs="Times New Roman"/>
          <w:kern w:val="0"/>
          <w:sz w:val="24"/>
          <w:szCs w:val="24"/>
          <w:lang w:val="es-ES"/>
          <w14:ligatures w14:val="none"/>
        </w:rPr>
        <w:t>Estos tres frentes, descritos ya en el artículo de 1998, combinan la democracia formal, el control judicial y el poder económico</w:t>
      </w:r>
      <w:r w:rsidR="00BE39B2" w:rsidRPr="00FC37AC">
        <w:rPr>
          <w:rFonts w:ascii="Times New Roman" w:eastAsia="Times New Roman" w:hAnsi="Times New Roman" w:cs="Times New Roman"/>
          <w:kern w:val="0"/>
          <w:sz w:val="24"/>
          <w:szCs w:val="24"/>
          <w:lang w:val="es-ES"/>
          <w14:ligatures w14:val="none"/>
        </w:rPr>
        <w:t>,</w:t>
      </w:r>
      <w:r w:rsidRPr="00AB0BE7">
        <w:rPr>
          <w:rFonts w:ascii="Times New Roman" w:eastAsia="Times New Roman" w:hAnsi="Times New Roman" w:cs="Times New Roman"/>
          <w:kern w:val="0"/>
          <w:sz w:val="24"/>
          <w:szCs w:val="24"/>
          <w:lang w:val="es-ES"/>
          <w14:ligatures w14:val="none"/>
        </w:rPr>
        <w:t xml:space="preserve"> para afirmar y reafirmar el dominio de las élites sobre el </w:t>
      </w:r>
      <w:r w:rsidRPr="00AB0BE7">
        <w:rPr>
          <w:rFonts w:ascii="Times New Roman" w:eastAsia="Times New Roman" w:hAnsi="Times New Roman" w:cs="Times New Roman"/>
          <w:kern w:val="0"/>
          <w:sz w:val="24"/>
          <w:szCs w:val="24"/>
          <w:lang w:val="es-ES"/>
          <w14:ligatures w14:val="none"/>
        </w:rPr>
        <w:lastRenderedPageBreak/>
        <w:t>Derecho</w:t>
      </w:r>
      <w:r w:rsidR="00BE39B2" w:rsidRPr="00FC37AC">
        <w:rPr>
          <w:rFonts w:ascii="Times New Roman" w:eastAsia="Times New Roman" w:hAnsi="Times New Roman" w:cs="Times New Roman"/>
          <w:kern w:val="0"/>
          <w:sz w:val="24"/>
          <w:szCs w:val="24"/>
          <w:lang w:val="es-ES"/>
          <w14:ligatures w14:val="none"/>
        </w:rPr>
        <w:t>,</w:t>
      </w:r>
      <w:r w:rsidRPr="00AB0BE7">
        <w:rPr>
          <w:rFonts w:ascii="Times New Roman" w:eastAsia="Times New Roman" w:hAnsi="Times New Roman" w:cs="Times New Roman"/>
          <w:kern w:val="0"/>
          <w:sz w:val="24"/>
          <w:szCs w:val="24"/>
          <w:lang w:val="es-ES"/>
          <w14:ligatures w14:val="none"/>
        </w:rPr>
        <w:t xml:space="preserve"> y mediante él, sobre la sociedad. Lo hacen al usar y manipular las identidades sociales</w:t>
      </w:r>
      <w:r w:rsidR="00BE39B2" w:rsidRPr="00FC37AC">
        <w:rPr>
          <w:rStyle w:val="FootnoteReference"/>
          <w:rFonts w:ascii="Times New Roman" w:hAnsi="Times New Roman" w:cs="Times New Roman"/>
          <w:sz w:val="24"/>
          <w:szCs w:val="24"/>
          <w:lang w:val="es-ES"/>
        </w:rPr>
        <w:footnoteReference w:customMarkFollows="1" w:id="21"/>
        <w:t>21</w:t>
      </w:r>
      <w:r w:rsidRPr="00AB0BE7">
        <w:rPr>
          <w:rFonts w:ascii="Times New Roman" w:eastAsia="Times New Roman" w:hAnsi="Times New Roman" w:cs="Times New Roman"/>
          <w:kern w:val="0"/>
          <w:sz w:val="24"/>
          <w:szCs w:val="24"/>
          <w:lang w:val="es-ES"/>
          <w14:ligatures w14:val="none"/>
        </w:rPr>
        <w:t>.</w:t>
      </w:r>
    </w:p>
    <w:p w14:paraId="2FB94211" w14:textId="666666CE" w:rsidR="00A8402A" w:rsidRPr="00FC37AC" w:rsidRDefault="00A8402A" w:rsidP="00A8402A">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A8402A">
        <w:rPr>
          <w:rFonts w:ascii="Times New Roman" w:eastAsia="Times New Roman" w:hAnsi="Times New Roman" w:cs="Times New Roman"/>
          <w:kern w:val="0"/>
          <w:sz w:val="24"/>
          <w:szCs w:val="24"/>
          <w:lang w:val="es-ES"/>
          <w14:ligatures w14:val="none"/>
        </w:rPr>
        <w:t>El primer frente se enfoca en rediseñar continuamente las reglas de juego de la democracia formal</w:t>
      </w:r>
      <w:r w:rsidR="00725FAB" w:rsidRPr="00FC37AC">
        <w:rPr>
          <w:rFonts w:ascii="Times New Roman" w:eastAsia="Times New Roman" w:hAnsi="Times New Roman" w:cs="Times New Roman"/>
          <w:kern w:val="0"/>
          <w:sz w:val="24"/>
          <w:szCs w:val="24"/>
          <w:lang w:val="es-ES"/>
          <w14:ligatures w14:val="none"/>
        </w:rPr>
        <w:t>,</w:t>
      </w:r>
      <w:r w:rsidRPr="00A8402A">
        <w:rPr>
          <w:rFonts w:ascii="Times New Roman" w:eastAsia="Times New Roman" w:hAnsi="Times New Roman" w:cs="Times New Roman"/>
          <w:kern w:val="0"/>
          <w:sz w:val="24"/>
          <w:szCs w:val="24"/>
          <w:lang w:val="es-ES"/>
          <w14:ligatures w14:val="none"/>
        </w:rPr>
        <w:t xml:space="preserve"> para asegurar el control sobre la política electoral y sus resultados. Esta táctica ya había </w:t>
      </w:r>
      <w:r w:rsidR="00725FAB" w:rsidRPr="00FC37AC">
        <w:rPr>
          <w:rFonts w:ascii="Times New Roman" w:eastAsia="Times New Roman" w:hAnsi="Times New Roman" w:cs="Times New Roman"/>
          <w:kern w:val="0"/>
          <w:sz w:val="24"/>
          <w:szCs w:val="24"/>
          <w:lang w:val="es-ES"/>
          <w14:ligatures w14:val="none"/>
        </w:rPr>
        <w:t>colocado</w:t>
      </w:r>
      <w:r w:rsidRPr="00A8402A">
        <w:rPr>
          <w:rFonts w:ascii="Times New Roman" w:eastAsia="Times New Roman" w:hAnsi="Times New Roman" w:cs="Times New Roman"/>
          <w:kern w:val="0"/>
          <w:sz w:val="24"/>
          <w:szCs w:val="24"/>
          <w:lang w:val="es-ES"/>
          <w14:ligatures w14:val="none"/>
        </w:rPr>
        <w:t xml:space="preserve"> a las élites gobernantes en control firme de la política pública</w:t>
      </w:r>
      <w:r w:rsidR="00BD0D91" w:rsidRPr="00FC37AC">
        <w:rPr>
          <w:rFonts w:ascii="Times New Roman" w:eastAsia="Times New Roman" w:hAnsi="Times New Roman" w:cs="Times New Roman"/>
          <w:kern w:val="0"/>
          <w:sz w:val="24"/>
          <w:szCs w:val="24"/>
          <w:lang w:val="es-ES"/>
          <w14:ligatures w14:val="none"/>
        </w:rPr>
        <w:t>. En</w:t>
      </w:r>
      <w:r w:rsidRPr="00A8402A">
        <w:rPr>
          <w:rFonts w:ascii="Times New Roman" w:eastAsia="Times New Roman" w:hAnsi="Times New Roman" w:cs="Times New Roman"/>
          <w:kern w:val="0"/>
          <w:sz w:val="24"/>
          <w:szCs w:val="24"/>
          <w:lang w:val="es-ES"/>
          <w14:ligatures w14:val="none"/>
        </w:rPr>
        <w:t xml:space="preserve"> 2020, esos esfuerzos avanzaron hacia la eliminación directa de la democracia y la adopción abierta de tácticas autoritarias o minoritarias</w:t>
      </w:r>
      <w:r w:rsidR="00FF2620" w:rsidRPr="00FC37AC">
        <w:rPr>
          <w:rStyle w:val="FootnoteReference"/>
          <w:rFonts w:ascii="Times New Roman" w:hAnsi="Times New Roman" w:cs="Times New Roman"/>
          <w:sz w:val="24"/>
          <w:szCs w:val="24"/>
          <w:lang w:val="es-ES"/>
        </w:rPr>
        <w:footnoteReference w:customMarkFollows="1" w:id="22"/>
        <w:t>22</w:t>
      </w:r>
      <w:r w:rsidRPr="00A8402A">
        <w:rPr>
          <w:rFonts w:ascii="Times New Roman" w:eastAsia="Times New Roman" w:hAnsi="Times New Roman" w:cs="Times New Roman"/>
          <w:kern w:val="0"/>
          <w:sz w:val="24"/>
          <w:szCs w:val="24"/>
          <w:lang w:val="es-ES"/>
          <w14:ligatures w14:val="none"/>
        </w:rPr>
        <w:t>.</w:t>
      </w:r>
    </w:p>
    <w:p w14:paraId="38DFAC66" w14:textId="22BBB019" w:rsidR="00AB0BE7" w:rsidRPr="00FC37AC" w:rsidRDefault="00685D36" w:rsidP="00685D36">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685D36">
        <w:rPr>
          <w:rFonts w:ascii="Times New Roman" w:eastAsia="Times New Roman" w:hAnsi="Times New Roman" w:cs="Times New Roman"/>
          <w:kern w:val="0"/>
          <w:sz w:val="24"/>
          <w:szCs w:val="24"/>
          <w:lang w:val="es-ES"/>
          <w14:ligatures w14:val="none"/>
        </w:rPr>
        <w:t>El segundo frente se dirige a llenar todo el poder judicial federal con personas ideológicamente afines</w:t>
      </w:r>
      <w:r w:rsidRPr="00FC37AC">
        <w:rPr>
          <w:rFonts w:ascii="Times New Roman" w:eastAsia="Times New Roman" w:hAnsi="Times New Roman" w:cs="Times New Roman"/>
          <w:kern w:val="0"/>
          <w:sz w:val="24"/>
          <w:szCs w:val="24"/>
          <w:lang w:val="es-ES"/>
          <w14:ligatures w14:val="none"/>
        </w:rPr>
        <w:t>,</w:t>
      </w:r>
      <w:r w:rsidRPr="00685D36">
        <w:rPr>
          <w:rFonts w:ascii="Times New Roman" w:eastAsia="Times New Roman" w:hAnsi="Times New Roman" w:cs="Times New Roman"/>
          <w:kern w:val="0"/>
          <w:sz w:val="24"/>
          <w:szCs w:val="24"/>
          <w:lang w:val="es-ES"/>
          <w14:ligatures w14:val="none"/>
        </w:rPr>
        <w:t xml:space="preserve"> que garanticen control sobre la interpretación constitucional y sus consecuencias. Este frente ha tenido un éxito espectacular, como quedó en evidencia tras el ataque</w:t>
      </w:r>
      <w:r w:rsidRPr="00FC37AC">
        <w:rPr>
          <w:rFonts w:ascii="Times New Roman" w:eastAsia="Times New Roman" w:hAnsi="Times New Roman" w:cs="Times New Roman"/>
          <w:kern w:val="0"/>
          <w:sz w:val="24"/>
          <w:szCs w:val="24"/>
          <w:lang w:val="es-ES"/>
          <w14:ligatures w14:val="none"/>
        </w:rPr>
        <w:t>,</w:t>
      </w:r>
      <w:r w:rsidRPr="00685D36">
        <w:rPr>
          <w:rFonts w:ascii="Times New Roman" w:eastAsia="Times New Roman" w:hAnsi="Times New Roman" w:cs="Times New Roman"/>
          <w:kern w:val="0"/>
          <w:sz w:val="24"/>
          <w:szCs w:val="24"/>
          <w:lang w:val="es-ES"/>
          <w14:ligatures w14:val="none"/>
        </w:rPr>
        <w:t xml:space="preserve"> abiertamente ilegal</w:t>
      </w:r>
      <w:r w:rsidRPr="00FC37AC">
        <w:rPr>
          <w:rFonts w:ascii="Times New Roman" w:eastAsia="Times New Roman" w:hAnsi="Times New Roman" w:cs="Times New Roman"/>
          <w:kern w:val="0"/>
          <w:sz w:val="24"/>
          <w:szCs w:val="24"/>
          <w:lang w:val="es-ES"/>
          <w14:ligatures w14:val="none"/>
        </w:rPr>
        <w:t>,</w:t>
      </w:r>
      <w:r w:rsidRPr="00685D36">
        <w:rPr>
          <w:rFonts w:ascii="Times New Roman" w:eastAsia="Times New Roman" w:hAnsi="Times New Roman" w:cs="Times New Roman"/>
          <w:kern w:val="0"/>
          <w:sz w:val="24"/>
          <w:szCs w:val="24"/>
          <w:lang w:val="es-ES"/>
          <w14:ligatures w14:val="none"/>
        </w:rPr>
        <w:t xml:space="preserve"> contra las libertades constitucionales en la decisión de 2022 del caso </w:t>
      </w:r>
      <w:proofErr w:type="spellStart"/>
      <w:r w:rsidRPr="00685D36">
        <w:rPr>
          <w:rFonts w:ascii="Times New Roman" w:eastAsia="Times New Roman" w:hAnsi="Times New Roman" w:cs="Times New Roman"/>
          <w:i/>
          <w:iCs/>
          <w:kern w:val="0"/>
          <w:sz w:val="24"/>
          <w:szCs w:val="24"/>
          <w:lang w:val="es-ES"/>
          <w14:ligatures w14:val="none"/>
        </w:rPr>
        <w:t>Dobbs</w:t>
      </w:r>
      <w:proofErr w:type="spellEnd"/>
      <w:r w:rsidRPr="00685D36">
        <w:rPr>
          <w:rFonts w:ascii="Times New Roman" w:eastAsia="Times New Roman" w:hAnsi="Times New Roman" w:cs="Times New Roman"/>
          <w:i/>
          <w:iCs/>
          <w:kern w:val="0"/>
          <w:sz w:val="24"/>
          <w:szCs w:val="24"/>
          <w:lang w:val="es-ES"/>
          <w14:ligatures w14:val="none"/>
        </w:rPr>
        <w:t xml:space="preserve"> v. Jackson </w:t>
      </w:r>
      <w:proofErr w:type="spellStart"/>
      <w:r w:rsidRPr="00685D36">
        <w:rPr>
          <w:rFonts w:ascii="Times New Roman" w:eastAsia="Times New Roman" w:hAnsi="Times New Roman" w:cs="Times New Roman"/>
          <w:i/>
          <w:iCs/>
          <w:kern w:val="0"/>
          <w:sz w:val="24"/>
          <w:szCs w:val="24"/>
          <w:lang w:val="es-ES"/>
          <w14:ligatures w14:val="none"/>
        </w:rPr>
        <w:t>Women’s</w:t>
      </w:r>
      <w:proofErr w:type="spellEnd"/>
      <w:r w:rsidRPr="00685D36">
        <w:rPr>
          <w:rFonts w:ascii="Times New Roman" w:eastAsia="Times New Roman" w:hAnsi="Times New Roman" w:cs="Times New Roman"/>
          <w:i/>
          <w:iCs/>
          <w:kern w:val="0"/>
          <w:sz w:val="24"/>
          <w:szCs w:val="24"/>
          <w:lang w:val="es-ES"/>
          <w14:ligatures w14:val="none"/>
        </w:rPr>
        <w:t xml:space="preserve"> </w:t>
      </w:r>
      <w:proofErr w:type="spellStart"/>
      <w:r w:rsidRPr="00685D36">
        <w:rPr>
          <w:rFonts w:ascii="Times New Roman" w:eastAsia="Times New Roman" w:hAnsi="Times New Roman" w:cs="Times New Roman"/>
          <w:i/>
          <w:iCs/>
          <w:kern w:val="0"/>
          <w:sz w:val="24"/>
          <w:szCs w:val="24"/>
          <w:lang w:val="es-ES"/>
          <w14:ligatures w14:val="none"/>
        </w:rPr>
        <w:t>Health</w:t>
      </w:r>
      <w:proofErr w:type="spellEnd"/>
      <w:r w:rsidRPr="00685D36">
        <w:rPr>
          <w:rFonts w:ascii="Times New Roman" w:eastAsia="Times New Roman" w:hAnsi="Times New Roman" w:cs="Times New Roman"/>
          <w:i/>
          <w:iCs/>
          <w:kern w:val="0"/>
          <w:sz w:val="24"/>
          <w:szCs w:val="24"/>
          <w:lang w:val="es-ES"/>
          <w14:ligatures w14:val="none"/>
        </w:rPr>
        <w:t xml:space="preserve"> </w:t>
      </w:r>
      <w:proofErr w:type="spellStart"/>
      <w:r w:rsidRPr="00685D36">
        <w:rPr>
          <w:rFonts w:ascii="Times New Roman" w:eastAsia="Times New Roman" w:hAnsi="Times New Roman" w:cs="Times New Roman"/>
          <w:i/>
          <w:iCs/>
          <w:kern w:val="0"/>
          <w:sz w:val="24"/>
          <w:szCs w:val="24"/>
          <w:lang w:val="es-ES"/>
          <w14:ligatures w14:val="none"/>
        </w:rPr>
        <w:t>Organization</w:t>
      </w:r>
      <w:proofErr w:type="spellEnd"/>
      <w:r w:rsidRPr="00685D36">
        <w:rPr>
          <w:rFonts w:ascii="Times New Roman" w:eastAsia="Times New Roman" w:hAnsi="Times New Roman" w:cs="Times New Roman"/>
          <w:kern w:val="0"/>
          <w:sz w:val="24"/>
          <w:szCs w:val="24"/>
          <w:lang w:val="es-ES"/>
          <w14:ligatures w14:val="none"/>
        </w:rPr>
        <w:t>, firmada por seis jueces designados con ese propósito</w:t>
      </w:r>
      <w:r w:rsidRPr="00FC37AC">
        <w:rPr>
          <w:rStyle w:val="FootnoteReference"/>
          <w:rFonts w:ascii="Times New Roman" w:hAnsi="Times New Roman" w:cs="Times New Roman"/>
          <w:iCs/>
          <w:sz w:val="24"/>
          <w:szCs w:val="24"/>
          <w:lang w:val="es-ES"/>
        </w:rPr>
        <w:footnoteReference w:customMarkFollows="1" w:id="23"/>
        <w:t>24</w:t>
      </w:r>
      <w:r w:rsidRPr="00FC37AC">
        <w:rPr>
          <w:rFonts w:ascii="Times New Roman" w:eastAsia="Times New Roman" w:hAnsi="Times New Roman" w:cs="Times New Roman"/>
          <w:kern w:val="0"/>
          <w:sz w:val="24"/>
          <w:szCs w:val="24"/>
          <w:lang w:val="es-ES"/>
          <w14:ligatures w14:val="none"/>
        </w:rPr>
        <w:t xml:space="preserve">. </w:t>
      </w:r>
    </w:p>
    <w:p w14:paraId="129920F5" w14:textId="4FAF340A" w:rsidR="00C22DBC" w:rsidRPr="00FC37AC" w:rsidRDefault="00C22DBC" w:rsidP="00C22DBC">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C22DBC">
        <w:rPr>
          <w:rFonts w:ascii="Times New Roman" w:eastAsia="Times New Roman" w:hAnsi="Times New Roman" w:cs="Times New Roman"/>
          <w:kern w:val="0"/>
          <w:sz w:val="24"/>
          <w:szCs w:val="24"/>
          <w:lang w:val="es-ES"/>
          <w14:ligatures w14:val="none"/>
        </w:rPr>
        <w:t>El tercer frente se enfoca en el control del mundo material: controlar el poder de</w:t>
      </w:r>
      <w:r w:rsidR="00BA70DF" w:rsidRPr="00FC37AC">
        <w:rPr>
          <w:rFonts w:ascii="Times New Roman" w:eastAsia="Times New Roman" w:hAnsi="Times New Roman" w:cs="Times New Roman"/>
          <w:kern w:val="0"/>
          <w:sz w:val="24"/>
          <w:szCs w:val="24"/>
          <w:lang w:val="es-ES"/>
          <w14:ligatures w14:val="none"/>
        </w:rPr>
        <w:t>l</w:t>
      </w:r>
      <w:r w:rsidRPr="00C22DBC">
        <w:rPr>
          <w:rFonts w:ascii="Times New Roman" w:eastAsia="Times New Roman" w:hAnsi="Times New Roman" w:cs="Times New Roman"/>
          <w:kern w:val="0"/>
          <w:sz w:val="24"/>
          <w:szCs w:val="24"/>
          <w:lang w:val="es-ES"/>
          <w14:ligatures w14:val="none"/>
        </w:rPr>
        <w:t xml:space="preserve"> gasto y la recaudación fiscal para debilitar programas públicos (como la educación) y concentrar privilegios y beneficios en manos de los superricos, de manera permanente. Entre estos se incluyen recortes fiscales republicanos descomunales y otros mecanismos estructurales que han permitido a las élites acumular más riqueza y privilegios que cualquier otra generación humana en la historia. Estas élites han usado esa riqueza de forma deliberada</w:t>
      </w:r>
      <w:r w:rsidR="000C3C4E" w:rsidRPr="00FC37AC">
        <w:rPr>
          <w:rFonts w:ascii="Times New Roman" w:eastAsia="Times New Roman" w:hAnsi="Times New Roman" w:cs="Times New Roman"/>
          <w:kern w:val="0"/>
          <w:sz w:val="24"/>
          <w:szCs w:val="24"/>
          <w:lang w:val="es-ES"/>
          <w14:ligatures w14:val="none"/>
        </w:rPr>
        <w:t>,</w:t>
      </w:r>
      <w:r w:rsidRPr="00C22DBC">
        <w:rPr>
          <w:rFonts w:ascii="Times New Roman" w:eastAsia="Times New Roman" w:hAnsi="Times New Roman" w:cs="Times New Roman"/>
          <w:kern w:val="0"/>
          <w:sz w:val="24"/>
          <w:szCs w:val="24"/>
          <w:lang w:val="es-ES"/>
          <w14:ligatures w14:val="none"/>
        </w:rPr>
        <w:t xml:space="preserve"> para asegurar su dominación perpetua del Derecho, la política y la sociedad.</w:t>
      </w:r>
    </w:p>
    <w:p w14:paraId="6F5192E5" w14:textId="1BF90BCE" w:rsidR="00307023" w:rsidRPr="00FC37AC" w:rsidRDefault="000C3C4E" w:rsidP="00F61FCA">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0C3C4E">
        <w:rPr>
          <w:rFonts w:ascii="Times New Roman" w:eastAsia="Times New Roman" w:hAnsi="Times New Roman" w:cs="Times New Roman"/>
          <w:kern w:val="0"/>
          <w:sz w:val="24"/>
          <w:szCs w:val="24"/>
          <w:lang w:val="es-ES"/>
          <w14:ligatures w14:val="none"/>
        </w:rPr>
        <w:t>Bajo este esquema interconectado y multifacético, el éxito en el primer frente conduce al éxito en el segundo; y ambos, a su vez, se consolidan materialmente a través del tercer frente, mediante políticas fiscales que redistribuyen la riqueza hacia quienes ya son ricos.</w:t>
      </w:r>
      <w:r w:rsidRPr="00FC37AC">
        <w:rPr>
          <w:rFonts w:ascii="Times New Roman" w:eastAsia="Times New Roman" w:hAnsi="Times New Roman" w:cs="Times New Roman"/>
          <w:kern w:val="0"/>
          <w:sz w:val="24"/>
          <w:szCs w:val="24"/>
          <w:lang w:val="es-ES"/>
          <w14:ligatures w14:val="none"/>
        </w:rPr>
        <w:t xml:space="preserve"> </w:t>
      </w:r>
      <w:r w:rsidRPr="000C3C4E">
        <w:rPr>
          <w:rFonts w:ascii="Times New Roman" w:eastAsia="Times New Roman" w:hAnsi="Times New Roman" w:cs="Times New Roman"/>
          <w:kern w:val="0"/>
          <w:sz w:val="24"/>
          <w:szCs w:val="24"/>
          <w:lang w:val="es-ES"/>
          <w14:ligatures w14:val="none"/>
        </w:rPr>
        <w:t>Estos tres ataques, y sus frentes combinados, consolidan un control cada vez más extremo, partidista e incluso minoritario sobre la democracia, sobre la economía material y sobre la conciencia misma.</w:t>
      </w:r>
    </w:p>
    <w:p w14:paraId="18FC1965" w14:textId="77777777" w:rsidR="000C3AA4" w:rsidRPr="000C3AA4" w:rsidRDefault="000C3AA4" w:rsidP="000C3AA4">
      <w:pPr>
        <w:spacing w:after="0" w:line="240" w:lineRule="auto"/>
        <w:rPr>
          <w:rFonts w:ascii="Times New Roman" w:hAnsi="Times New Roman" w:cs="Times New Roman"/>
          <w:b/>
          <w:iCs/>
          <w:sz w:val="24"/>
          <w:szCs w:val="24"/>
          <w:u w:val="single"/>
          <w:lang w:val="es-ES"/>
        </w:rPr>
      </w:pPr>
      <w:r w:rsidRPr="000C3AA4">
        <w:rPr>
          <w:rFonts w:ascii="Times New Roman" w:hAnsi="Times New Roman" w:cs="Times New Roman"/>
          <w:b/>
          <w:iCs/>
          <w:sz w:val="24"/>
          <w:szCs w:val="24"/>
          <w:u w:val="single"/>
          <w:lang w:val="es-ES"/>
        </w:rPr>
        <w:t>Infligir el espíritu del fascismo: Educación errónea, desinformación y control mental</w:t>
      </w:r>
    </w:p>
    <w:p w14:paraId="0489AA06" w14:textId="77777777" w:rsidR="008A5839" w:rsidRPr="00FC37AC" w:rsidRDefault="008A5839" w:rsidP="0079171F">
      <w:pPr>
        <w:spacing w:after="0" w:line="240" w:lineRule="auto"/>
        <w:rPr>
          <w:rFonts w:ascii="Times New Roman" w:hAnsi="Times New Roman" w:cs="Times New Roman"/>
          <w:iCs/>
          <w:sz w:val="24"/>
          <w:szCs w:val="24"/>
          <w:lang w:val="es-ES"/>
        </w:rPr>
      </w:pPr>
    </w:p>
    <w:p w14:paraId="07E9DD7B" w14:textId="5B3AB5BD" w:rsidR="00D02558" w:rsidRPr="00FC37AC" w:rsidRDefault="008A5839" w:rsidP="00D02558">
      <w:pPr>
        <w:pStyle w:val="NormalWeb"/>
        <w:ind w:firstLine="720"/>
        <w:rPr>
          <w:rFonts w:eastAsia="Times New Roman"/>
          <w:kern w:val="0"/>
          <w:lang w:val="es-ES"/>
          <w14:ligatures w14:val="none"/>
        </w:rPr>
      </w:pPr>
      <w:r w:rsidRPr="008A5839">
        <w:rPr>
          <w:rFonts w:eastAsia="Times New Roman"/>
          <w:kern w:val="0"/>
          <w:lang w:val="es-ES"/>
          <w14:ligatures w14:val="none"/>
        </w:rPr>
        <w:lastRenderedPageBreak/>
        <w:t>Incluso mientras se expandían, las guerras culturales unilaterales de principios de la década de 2020 también se volvieron más dirigidas. Apuntaron no solo al control político, legal y material del “alma”</w:t>
      </w:r>
      <w:r w:rsidR="00D658B5" w:rsidRPr="00FC37AC">
        <w:rPr>
          <w:rStyle w:val="FootnoteReference"/>
          <w:iCs/>
          <w:lang w:val="es-ES"/>
        </w:rPr>
        <w:t xml:space="preserve"> </w:t>
      </w:r>
      <w:r w:rsidR="00D658B5" w:rsidRPr="00FC37AC">
        <w:rPr>
          <w:rStyle w:val="FootnoteReference"/>
          <w:iCs/>
          <w:lang w:val="es-ES"/>
        </w:rPr>
        <w:footnoteReference w:customMarkFollows="1" w:id="24"/>
        <w:t>25</w:t>
      </w:r>
      <w:r w:rsidRPr="008A5839">
        <w:rPr>
          <w:rFonts w:eastAsia="Times New Roman"/>
          <w:kern w:val="0"/>
          <w:lang w:val="es-ES"/>
          <w14:ligatures w14:val="none"/>
        </w:rPr>
        <w:t xml:space="preserve"> de la socieda</w:t>
      </w:r>
      <w:r w:rsidR="00D658B5" w:rsidRPr="00FC37AC">
        <w:rPr>
          <w:rFonts w:eastAsia="Times New Roman"/>
          <w:kern w:val="0"/>
          <w:lang w:val="es-ES"/>
          <w14:ligatures w14:val="none"/>
        </w:rPr>
        <w:t>d</w:t>
      </w:r>
      <w:r w:rsidRPr="008A5839">
        <w:rPr>
          <w:rFonts w:eastAsia="Times New Roman"/>
          <w:kern w:val="0"/>
          <w:lang w:val="es-ES"/>
          <w14:ligatures w14:val="none"/>
        </w:rPr>
        <w:t xml:space="preserve">, sino también al control de la mente—al control mental de </w:t>
      </w:r>
      <w:r w:rsidR="00D658B5" w:rsidRPr="00FC37AC">
        <w:rPr>
          <w:rFonts w:eastAsia="Times New Roman"/>
          <w:kern w:val="0"/>
          <w:lang w:val="es-ES"/>
          <w14:ligatures w14:val="none"/>
        </w:rPr>
        <w:t xml:space="preserve">las </w:t>
      </w:r>
      <w:r w:rsidRPr="008A5839">
        <w:rPr>
          <w:rFonts w:eastAsia="Times New Roman"/>
          <w:kern w:val="0"/>
          <w:lang w:val="es-ES"/>
          <w14:ligatures w14:val="none"/>
        </w:rPr>
        <w:t>masas. Esta expansión específica se concentró, de manera sistémica y política, en aumentar el control derechista sobre la información, la percepción y la educación, para envalentonar a algunas personas y atemorizar a otras, dentro del esfuerzo continuo y coordinado por reafirmar la dominación política y económica a gran escala</w:t>
      </w:r>
      <w:r w:rsidR="00831A65" w:rsidRPr="00FC37AC">
        <w:rPr>
          <w:rStyle w:val="FootnoteReference"/>
          <w:iCs/>
          <w:lang w:val="es-ES"/>
        </w:rPr>
        <w:footnoteReference w:customMarkFollows="1" w:id="25"/>
        <w:t>26</w:t>
      </w:r>
      <w:r w:rsidRPr="008A5839">
        <w:rPr>
          <w:rFonts w:eastAsia="Times New Roman"/>
          <w:kern w:val="0"/>
          <w:lang w:val="es-ES"/>
          <w14:ligatures w14:val="none"/>
        </w:rPr>
        <w:t>.</w:t>
      </w:r>
      <w:r w:rsidR="00D02558" w:rsidRPr="00FC37AC">
        <w:rPr>
          <w:rFonts w:eastAsia="Times New Roman"/>
          <w:kern w:val="0"/>
          <w:lang w:val="es-ES"/>
          <w14:ligatures w14:val="none"/>
        </w:rPr>
        <w:t xml:space="preserve"> Gran parte de esta guerra epistemológica se enfocó en manipular el relato y la enseñanza de la historia, desde los primeros niveles del sistema educativo</w:t>
      </w:r>
      <w:r w:rsidR="00D02558" w:rsidRPr="00FC37AC">
        <w:rPr>
          <w:rStyle w:val="FootnoteReference"/>
          <w:iCs/>
          <w:lang w:val="es-ES"/>
        </w:rPr>
        <w:footnoteReference w:customMarkFollows="1" w:id="26"/>
        <w:t>27</w:t>
      </w:r>
      <w:r w:rsidR="00D02558" w:rsidRPr="00FC37AC">
        <w:rPr>
          <w:rFonts w:eastAsia="Times New Roman"/>
          <w:kern w:val="0"/>
          <w:lang w:val="es-ES"/>
          <w14:ligatures w14:val="none"/>
        </w:rPr>
        <w:t>. Sin embargo, estos esfuerzos también se extendieron mucho más allá de ese sistema, espacio o disciplina, incluyendo al Derecho</w:t>
      </w:r>
      <w:r w:rsidR="00D02558" w:rsidRPr="00FC37AC">
        <w:rPr>
          <w:rStyle w:val="FootnoteReference"/>
          <w:iCs/>
          <w:lang w:val="es-ES"/>
        </w:rPr>
        <w:footnoteReference w:customMarkFollows="1" w:id="27"/>
        <w:t>28</w:t>
      </w:r>
      <w:r w:rsidR="00D02558" w:rsidRPr="00FC37AC">
        <w:rPr>
          <w:rFonts w:eastAsia="Times New Roman"/>
          <w:kern w:val="0"/>
          <w:lang w:val="es-ES"/>
          <w14:ligatures w14:val="none"/>
        </w:rPr>
        <w:t>.</w:t>
      </w:r>
    </w:p>
    <w:p w14:paraId="4970B1C3" w14:textId="5245A76C" w:rsidR="00774A80" w:rsidRPr="00FC37AC" w:rsidRDefault="00774A80" w:rsidP="00774A80">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774A80">
        <w:rPr>
          <w:rFonts w:ascii="Times New Roman" w:eastAsia="Times New Roman" w:hAnsi="Times New Roman" w:cs="Times New Roman"/>
          <w:kern w:val="0"/>
          <w:sz w:val="24"/>
          <w:szCs w:val="24"/>
          <w:lang w:val="es-ES"/>
          <w14:ligatures w14:val="none"/>
        </w:rPr>
        <w:t>Esta expansión dirigida de las guerras culturales y sus agendas superpuestas tiene varios objetivos: adoctrinar a la juventud y moldear la conciencia desde antes de la madurez; controlar de forma constante los medios de comunicación para moldear la sociedad y la política; orientar ideológicamente las creencias y comportamientos sociales; y propagar o suprimir información</w:t>
      </w:r>
      <w:r w:rsidRPr="00FC37AC">
        <w:rPr>
          <w:rFonts w:ascii="Times New Roman" w:eastAsia="Times New Roman" w:hAnsi="Times New Roman" w:cs="Times New Roman"/>
          <w:kern w:val="0"/>
          <w:sz w:val="24"/>
          <w:szCs w:val="24"/>
          <w:lang w:val="es-ES"/>
          <w14:ligatures w14:val="none"/>
        </w:rPr>
        <w:t>,</w:t>
      </w:r>
      <w:r w:rsidRPr="00774A80">
        <w:rPr>
          <w:rFonts w:ascii="Times New Roman" w:eastAsia="Times New Roman" w:hAnsi="Times New Roman" w:cs="Times New Roman"/>
          <w:kern w:val="0"/>
          <w:sz w:val="24"/>
          <w:szCs w:val="24"/>
          <w:lang w:val="es-ES"/>
          <w14:ligatures w14:val="none"/>
        </w:rPr>
        <w:t xml:space="preserve"> con el fin de imponer una visión del mundo de derecha, incluso si (o precisamente porque) esa visión encarna el “espíritu del fascismo aquí, en casa”, tan elemental para el nacionalismo cristiano blanco</w:t>
      </w:r>
      <w:r w:rsidR="00EE323F" w:rsidRPr="00FC37AC">
        <w:rPr>
          <w:rFonts w:ascii="Times New Roman" w:eastAsia="Times New Roman" w:hAnsi="Times New Roman" w:cs="Times New Roman"/>
          <w:kern w:val="0"/>
          <w:sz w:val="24"/>
          <w:szCs w:val="24"/>
          <w:lang w:val="es-ES"/>
          <w14:ligatures w14:val="none"/>
        </w:rPr>
        <w:t>,</w:t>
      </w:r>
      <w:r w:rsidRPr="00774A80">
        <w:rPr>
          <w:rFonts w:ascii="Times New Roman" w:eastAsia="Times New Roman" w:hAnsi="Times New Roman" w:cs="Times New Roman"/>
          <w:kern w:val="0"/>
          <w:sz w:val="24"/>
          <w:szCs w:val="24"/>
          <w:lang w:val="es-ES"/>
          <w14:ligatures w14:val="none"/>
        </w:rPr>
        <w:t xml:space="preserve"> en unos Estados Unidos de posverdad. Al igual que en el fascismo alemán de los años treinta, esta versión estadounidense contemporánea busca controlar la conciencia e imponer un pensamiento grupal, con el propósito de asegurar su dominio sobre todo lo demás. Para la década de 2020, este enfoque intensificado en el control de la conciencia ya constituía un cuarto frente dentro de esta guerra cultural continua y acelerada.</w:t>
      </w:r>
    </w:p>
    <w:p w14:paraId="018F3577" w14:textId="3BDACD69" w:rsidR="00FE5954" w:rsidRPr="00FC37AC" w:rsidRDefault="00FE5954" w:rsidP="00DD2314">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FE5954">
        <w:rPr>
          <w:rFonts w:ascii="Times New Roman" w:eastAsia="Times New Roman" w:hAnsi="Times New Roman" w:cs="Times New Roman"/>
          <w:kern w:val="0"/>
          <w:sz w:val="24"/>
          <w:szCs w:val="24"/>
          <w:lang w:val="es-ES"/>
          <w14:ligatures w14:val="none"/>
        </w:rPr>
        <w:t>Este cuarto frente ejemplifica la relación persistente y violenta entre el Derecho, la raza, la educación y el conocimiento</w:t>
      </w:r>
      <w:r w:rsidRPr="00FC37AC">
        <w:rPr>
          <w:rFonts w:ascii="Times New Roman" w:eastAsia="Times New Roman" w:hAnsi="Times New Roman" w:cs="Times New Roman"/>
          <w:kern w:val="0"/>
          <w:sz w:val="24"/>
          <w:szCs w:val="24"/>
          <w:lang w:val="es-ES"/>
          <w14:ligatures w14:val="none"/>
        </w:rPr>
        <w:t>,</w:t>
      </w:r>
      <w:r w:rsidRPr="00FE5954">
        <w:rPr>
          <w:rFonts w:ascii="Times New Roman" w:eastAsia="Times New Roman" w:hAnsi="Times New Roman" w:cs="Times New Roman"/>
          <w:kern w:val="0"/>
          <w:sz w:val="24"/>
          <w:szCs w:val="24"/>
          <w:lang w:val="es-ES"/>
          <w14:ligatures w14:val="none"/>
        </w:rPr>
        <w:t xml:space="preserve"> a lo largo de la historia nacional de desigualdades</w:t>
      </w:r>
      <w:r w:rsidRPr="00FC37AC">
        <w:rPr>
          <w:rFonts w:ascii="Times New Roman" w:eastAsia="Times New Roman" w:hAnsi="Times New Roman" w:cs="Times New Roman"/>
          <w:kern w:val="0"/>
          <w:sz w:val="24"/>
          <w:szCs w:val="24"/>
          <w:lang w:val="es-ES"/>
          <w14:ligatures w14:val="none"/>
        </w:rPr>
        <w:t>,</w:t>
      </w:r>
      <w:r w:rsidRPr="00FE5954">
        <w:rPr>
          <w:rFonts w:ascii="Times New Roman" w:eastAsia="Times New Roman" w:hAnsi="Times New Roman" w:cs="Times New Roman"/>
          <w:kern w:val="0"/>
          <w:sz w:val="24"/>
          <w:szCs w:val="24"/>
          <w:lang w:val="es-ES"/>
          <w14:ligatures w14:val="none"/>
        </w:rPr>
        <w:t xml:space="preserve"> basadas en la </w:t>
      </w:r>
      <w:r w:rsidRPr="00FE5954">
        <w:rPr>
          <w:rFonts w:ascii="Times New Roman" w:eastAsia="Times New Roman" w:hAnsi="Times New Roman" w:cs="Times New Roman"/>
          <w:kern w:val="0"/>
          <w:sz w:val="24"/>
          <w:szCs w:val="24"/>
          <w:lang w:val="es-ES"/>
          <w14:ligatures w14:val="none"/>
        </w:rPr>
        <w:lastRenderedPageBreak/>
        <w:t>identidad</w:t>
      </w:r>
      <w:r w:rsidR="00DD2314" w:rsidRPr="00FC37AC">
        <w:rPr>
          <w:rStyle w:val="FootnoteReference"/>
          <w:rFonts w:ascii="Times New Roman" w:hAnsi="Times New Roman" w:cs="Times New Roman"/>
          <w:iCs/>
          <w:sz w:val="24"/>
          <w:szCs w:val="24"/>
          <w:lang w:val="es-ES"/>
        </w:rPr>
        <w:footnoteReference w:customMarkFollows="1" w:id="28"/>
        <w:t>29</w:t>
      </w:r>
      <w:r w:rsidRPr="00FE5954">
        <w:rPr>
          <w:rFonts w:ascii="Times New Roman" w:eastAsia="Times New Roman" w:hAnsi="Times New Roman" w:cs="Times New Roman"/>
          <w:kern w:val="0"/>
          <w:sz w:val="24"/>
          <w:szCs w:val="24"/>
          <w:lang w:val="es-ES"/>
          <w14:ligatures w14:val="none"/>
        </w:rPr>
        <w:t>. Como en otros tiempos y lugares, esta línea de ataque no se libra solo a través del control de la educación formal y del acceso al conocimiento, sino que también se sostiene mediante una inundación constante de información fraudulenta diseñada para desorientar a la población</w:t>
      </w:r>
      <w:r w:rsidR="00DD2314" w:rsidRPr="00FC37AC">
        <w:rPr>
          <w:rStyle w:val="FootnoteReference"/>
          <w:rFonts w:ascii="Times New Roman" w:hAnsi="Times New Roman" w:cs="Times New Roman"/>
          <w:iCs/>
          <w:sz w:val="24"/>
          <w:szCs w:val="24"/>
          <w:lang w:val="es-ES"/>
        </w:rPr>
        <w:footnoteReference w:customMarkFollows="1" w:id="29"/>
        <w:t>30</w:t>
      </w:r>
      <w:r w:rsidRPr="00FE5954">
        <w:rPr>
          <w:rFonts w:ascii="Times New Roman" w:eastAsia="Times New Roman" w:hAnsi="Times New Roman" w:cs="Times New Roman"/>
          <w:kern w:val="0"/>
          <w:sz w:val="24"/>
          <w:szCs w:val="24"/>
          <w:lang w:val="es-ES"/>
          <w14:ligatures w14:val="none"/>
        </w:rPr>
        <w:t>.</w:t>
      </w:r>
      <w:r w:rsidR="00DD2314" w:rsidRPr="00FC37AC">
        <w:rPr>
          <w:rFonts w:ascii="Times New Roman" w:eastAsia="Times New Roman" w:hAnsi="Times New Roman" w:cs="Times New Roman"/>
          <w:kern w:val="0"/>
          <w:sz w:val="24"/>
          <w:szCs w:val="24"/>
          <w:lang w:val="es-ES"/>
          <w14:ligatures w14:val="none"/>
        </w:rPr>
        <w:t xml:space="preserve"> </w:t>
      </w:r>
      <w:r w:rsidRPr="00FE5954">
        <w:rPr>
          <w:rFonts w:ascii="Times New Roman" w:eastAsia="Times New Roman" w:hAnsi="Times New Roman" w:cs="Times New Roman"/>
          <w:kern w:val="0"/>
          <w:sz w:val="24"/>
          <w:szCs w:val="24"/>
          <w:lang w:val="es-ES"/>
          <w14:ligatures w14:val="none"/>
        </w:rPr>
        <w:t xml:space="preserve">Así, las guerras culturales actuales incluyen cada vez más las omnipresentes “guerras de información”, impulsadas por la producción profesionalizada y la difusión de información falsa, financiada con “dinero oscuro” y legalizada por la decisión de 2010 de los jueces republicanos en </w:t>
      </w:r>
      <w:proofErr w:type="spellStart"/>
      <w:r w:rsidRPr="00FE5954">
        <w:rPr>
          <w:rFonts w:ascii="Times New Roman" w:eastAsia="Times New Roman" w:hAnsi="Times New Roman" w:cs="Times New Roman"/>
          <w:i/>
          <w:iCs/>
          <w:kern w:val="0"/>
          <w:sz w:val="24"/>
          <w:szCs w:val="24"/>
          <w:lang w:val="es-ES"/>
          <w14:ligatures w14:val="none"/>
        </w:rPr>
        <w:t>Citizens</w:t>
      </w:r>
      <w:proofErr w:type="spellEnd"/>
      <w:r w:rsidRPr="00FE5954">
        <w:rPr>
          <w:rFonts w:ascii="Times New Roman" w:eastAsia="Times New Roman" w:hAnsi="Times New Roman" w:cs="Times New Roman"/>
          <w:i/>
          <w:iCs/>
          <w:kern w:val="0"/>
          <w:sz w:val="24"/>
          <w:szCs w:val="24"/>
          <w:lang w:val="es-ES"/>
          <w14:ligatures w14:val="none"/>
        </w:rPr>
        <w:t xml:space="preserve"> </w:t>
      </w:r>
      <w:proofErr w:type="spellStart"/>
      <w:r w:rsidRPr="00FE5954">
        <w:rPr>
          <w:rFonts w:ascii="Times New Roman" w:eastAsia="Times New Roman" w:hAnsi="Times New Roman" w:cs="Times New Roman"/>
          <w:i/>
          <w:iCs/>
          <w:kern w:val="0"/>
          <w:sz w:val="24"/>
          <w:szCs w:val="24"/>
          <w:lang w:val="es-ES"/>
          <w14:ligatures w14:val="none"/>
        </w:rPr>
        <w:t>United</w:t>
      </w:r>
      <w:proofErr w:type="spellEnd"/>
      <w:r w:rsidRPr="00FE5954">
        <w:rPr>
          <w:rFonts w:ascii="Times New Roman" w:eastAsia="Times New Roman" w:hAnsi="Times New Roman" w:cs="Times New Roman"/>
          <w:i/>
          <w:iCs/>
          <w:kern w:val="0"/>
          <w:sz w:val="24"/>
          <w:szCs w:val="24"/>
          <w:lang w:val="es-ES"/>
          <w14:ligatures w14:val="none"/>
        </w:rPr>
        <w:t xml:space="preserve"> v. Federal </w:t>
      </w:r>
      <w:proofErr w:type="spellStart"/>
      <w:r w:rsidRPr="00FE5954">
        <w:rPr>
          <w:rFonts w:ascii="Times New Roman" w:eastAsia="Times New Roman" w:hAnsi="Times New Roman" w:cs="Times New Roman"/>
          <w:i/>
          <w:iCs/>
          <w:kern w:val="0"/>
          <w:sz w:val="24"/>
          <w:szCs w:val="24"/>
          <w:lang w:val="es-ES"/>
          <w14:ligatures w14:val="none"/>
        </w:rPr>
        <w:t>Election</w:t>
      </w:r>
      <w:proofErr w:type="spellEnd"/>
      <w:r w:rsidRPr="00FE5954">
        <w:rPr>
          <w:rFonts w:ascii="Times New Roman" w:eastAsia="Times New Roman" w:hAnsi="Times New Roman" w:cs="Times New Roman"/>
          <w:i/>
          <w:iCs/>
          <w:kern w:val="0"/>
          <w:sz w:val="24"/>
          <w:szCs w:val="24"/>
          <w:lang w:val="es-ES"/>
          <w14:ligatures w14:val="none"/>
        </w:rPr>
        <w:t xml:space="preserve"> Commission</w:t>
      </w:r>
      <w:r w:rsidR="00F62300" w:rsidRPr="00FC37AC">
        <w:rPr>
          <w:rStyle w:val="FootnoteReference"/>
          <w:rFonts w:ascii="Times New Roman" w:hAnsi="Times New Roman" w:cs="Times New Roman"/>
          <w:iCs/>
          <w:sz w:val="24"/>
          <w:szCs w:val="24"/>
          <w:lang w:val="es-ES"/>
        </w:rPr>
        <w:footnoteReference w:customMarkFollows="1" w:id="30"/>
        <w:t>31</w:t>
      </w:r>
      <w:r w:rsidRPr="00FE5954">
        <w:rPr>
          <w:rFonts w:ascii="Times New Roman" w:eastAsia="Times New Roman" w:hAnsi="Times New Roman" w:cs="Times New Roman"/>
          <w:kern w:val="0"/>
          <w:sz w:val="24"/>
          <w:szCs w:val="24"/>
          <w:lang w:val="es-ES"/>
          <w14:ligatures w14:val="none"/>
        </w:rPr>
        <w:t>.</w:t>
      </w:r>
    </w:p>
    <w:p w14:paraId="63A1C56E" w14:textId="40D0B0A7" w:rsidR="00F62300" w:rsidRPr="00FC37AC" w:rsidRDefault="00F62300" w:rsidP="00F62300">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F62300">
        <w:rPr>
          <w:rFonts w:ascii="Times New Roman" w:eastAsia="Times New Roman" w:hAnsi="Times New Roman" w:cs="Times New Roman"/>
          <w:kern w:val="0"/>
          <w:sz w:val="24"/>
          <w:szCs w:val="24"/>
          <w:lang w:val="es-ES"/>
          <w14:ligatures w14:val="none"/>
        </w:rPr>
        <w:t xml:space="preserve">En </w:t>
      </w:r>
      <w:proofErr w:type="spellStart"/>
      <w:r w:rsidRPr="00F62300">
        <w:rPr>
          <w:rFonts w:ascii="Times New Roman" w:eastAsia="Times New Roman" w:hAnsi="Times New Roman" w:cs="Times New Roman"/>
          <w:i/>
          <w:iCs/>
          <w:kern w:val="0"/>
          <w:sz w:val="24"/>
          <w:szCs w:val="24"/>
          <w:lang w:val="es-ES"/>
          <w14:ligatures w14:val="none"/>
        </w:rPr>
        <w:t>Citizens</w:t>
      </w:r>
      <w:proofErr w:type="spellEnd"/>
      <w:r w:rsidRPr="00F62300">
        <w:rPr>
          <w:rFonts w:ascii="Times New Roman" w:eastAsia="Times New Roman" w:hAnsi="Times New Roman" w:cs="Times New Roman"/>
          <w:i/>
          <w:iCs/>
          <w:kern w:val="0"/>
          <w:sz w:val="24"/>
          <w:szCs w:val="24"/>
          <w:lang w:val="es-ES"/>
          <w14:ligatures w14:val="none"/>
        </w:rPr>
        <w:t xml:space="preserve"> </w:t>
      </w:r>
      <w:proofErr w:type="spellStart"/>
      <w:r w:rsidRPr="00F62300">
        <w:rPr>
          <w:rFonts w:ascii="Times New Roman" w:eastAsia="Times New Roman" w:hAnsi="Times New Roman" w:cs="Times New Roman"/>
          <w:i/>
          <w:iCs/>
          <w:kern w:val="0"/>
          <w:sz w:val="24"/>
          <w:szCs w:val="24"/>
          <w:lang w:val="es-ES"/>
          <w14:ligatures w14:val="none"/>
        </w:rPr>
        <w:t>United</w:t>
      </w:r>
      <w:proofErr w:type="spellEnd"/>
      <w:r w:rsidRPr="00F62300">
        <w:rPr>
          <w:rFonts w:ascii="Times New Roman" w:eastAsia="Times New Roman" w:hAnsi="Times New Roman" w:cs="Times New Roman"/>
          <w:kern w:val="0"/>
          <w:sz w:val="24"/>
          <w:szCs w:val="24"/>
          <w:lang w:val="es-ES"/>
          <w14:ligatures w14:val="none"/>
        </w:rPr>
        <w:t>, una estrecha mayoría de jueces sostuvo que el dinero es “discurso” protegido por la Primera Enmienda. Desde entonces, las personas jurídicas corporativas han gastado miles de millones de dólares en utilidades</w:t>
      </w:r>
      <w:r w:rsidRPr="00FC37AC">
        <w:rPr>
          <w:rFonts w:ascii="Times New Roman" w:eastAsia="Times New Roman" w:hAnsi="Times New Roman" w:cs="Times New Roman"/>
          <w:kern w:val="0"/>
          <w:sz w:val="24"/>
          <w:szCs w:val="24"/>
          <w:lang w:val="es-ES"/>
          <w14:ligatures w14:val="none"/>
        </w:rPr>
        <w:t>,</w:t>
      </w:r>
      <w:r w:rsidRPr="00F62300">
        <w:rPr>
          <w:rFonts w:ascii="Times New Roman" w:eastAsia="Times New Roman" w:hAnsi="Times New Roman" w:cs="Times New Roman"/>
          <w:kern w:val="0"/>
          <w:sz w:val="24"/>
          <w:szCs w:val="24"/>
          <w:lang w:val="es-ES"/>
          <w14:ligatures w14:val="none"/>
        </w:rPr>
        <w:t xml:space="preserve"> para influir en los resultados electorales y controlar la formulación de políticas públicas</w:t>
      </w:r>
      <w:r w:rsidRPr="00FC37AC">
        <w:rPr>
          <w:rStyle w:val="FootnoteReference"/>
          <w:rFonts w:ascii="Times New Roman" w:hAnsi="Times New Roman" w:cs="Times New Roman"/>
          <w:iCs/>
          <w:sz w:val="24"/>
          <w:szCs w:val="24"/>
          <w:lang w:val="es-ES"/>
        </w:rPr>
        <w:footnoteReference w:customMarkFollows="1" w:id="31"/>
        <w:t>32</w:t>
      </w:r>
      <w:r w:rsidRPr="00F62300">
        <w:rPr>
          <w:rFonts w:ascii="Times New Roman" w:eastAsia="Times New Roman" w:hAnsi="Times New Roman" w:cs="Times New Roman"/>
          <w:kern w:val="0"/>
          <w:sz w:val="24"/>
          <w:szCs w:val="24"/>
          <w:lang w:val="es-ES"/>
          <w14:ligatures w14:val="none"/>
        </w:rPr>
        <w:t>. Gracias a esa decisión, la actual “clase donante” política ha engordado—y dominado—como nunca antes en el último siglo.</w:t>
      </w:r>
    </w:p>
    <w:p w14:paraId="5E10CC87" w14:textId="313D8B54" w:rsidR="004749C1" w:rsidRPr="00FC37AC" w:rsidRDefault="00FC5566" w:rsidP="004749C1">
      <w:pPr>
        <w:pStyle w:val="NormalWeb"/>
        <w:ind w:firstLine="720"/>
        <w:rPr>
          <w:rFonts w:eastAsia="Times New Roman"/>
          <w:kern w:val="0"/>
          <w:lang w:val="es-ES"/>
          <w14:ligatures w14:val="none"/>
        </w:rPr>
      </w:pPr>
      <w:r w:rsidRPr="00FC5566">
        <w:rPr>
          <w:rFonts w:eastAsia="Times New Roman"/>
          <w:kern w:val="0"/>
          <w:lang w:val="es-ES"/>
          <w14:ligatures w14:val="none"/>
        </w:rPr>
        <w:t xml:space="preserve">Los hechos, </w:t>
      </w:r>
      <w:r w:rsidRPr="00FC37AC">
        <w:rPr>
          <w:rFonts w:eastAsia="Times New Roman"/>
          <w:kern w:val="0"/>
          <w:lang w:val="es-ES"/>
          <w14:ligatures w14:val="none"/>
        </w:rPr>
        <w:t xml:space="preserve">los </w:t>
      </w:r>
      <w:r w:rsidRPr="00FC5566">
        <w:rPr>
          <w:rFonts w:eastAsia="Times New Roman"/>
          <w:kern w:val="0"/>
          <w:lang w:val="es-ES"/>
          <w14:ligatures w14:val="none"/>
        </w:rPr>
        <w:t xml:space="preserve">resultados y </w:t>
      </w:r>
      <w:r w:rsidRPr="00FC37AC">
        <w:rPr>
          <w:rFonts w:eastAsia="Times New Roman"/>
          <w:kern w:val="0"/>
          <w:lang w:val="es-ES"/>
          <w14:ligatures w14:val="none"/>
        </w:rPr>
        <w:t xml:space="preserve">las </w:t>
      </w:r>
      <w:r w:rsidRPr="00FC5566">
        <w:rPr>
          <w:rFonts w:eastAsia="Times New Roman"/>
          <w:kern w:val="0"/>
          <w:lang w:val="es-ES"/>
          <w14:ligatures w14:val="none"/>
        </w:rPr>
        <w:t xml:space="preserve">consecuencias de </w:t>
      </w:r>
      <w:proofErr w:type="spellStart"/>
      <w:r w:rsidRPr="00FC5566">
        <w:rPr>
          <w:rFonts w:eastAsia="Times New Roman"/>
          <w:i/>
          <w:iCs/>
          <w:kern w:val="0"/>
          <w:lang w:val="es-ES"/>
          <w14:ligatures w14:val="none"/>
        </w:rPr>
        <w:t>Citizens</w:t>
      </w:r>
      <w:proofErr w:type="spellEnd"/>
      <w:r w:rsidRPr="00FC5566">
        <w:rPr>
          <w:rFonts w:eastAsia="Times New Roman"/>
          <w:i/>
          <w:iCs/>
          <w:kern w:val="0"/>
          <w:lang w:val="es-ES"/>
          <w14:ligatures w14:val="none"/>
        </w:rPr>
        <w:t xml:space="preserve"> </w:t>
      </w:r>
      <w:proofErr w:type="spellStart"/>
      <w:r w:rsidRPr="00FC5566">
        <w:rPr>
          <w:rFonts w:eastAsia="Times New Roman"/>
          <w:i/>
          <w:iCs/>
          <w:kern w:val="0"/>
          <w:lang w:val="es-ES"/>
          <w14:ligatures w14:val="none"/>
        </w:rPr>
        <w:t>United</w:t>
      </w:r>
      <w:proofErr w:type="spellEnd"/>
      <w:r w:rsidRPr="00FC5566">
        <w:rPr>
          <w:rFonts w:eastAsia="Times New Roman"/>
          <w:kern w:val="0"/>
          <w:lang w:val="es-ES"/>
          <w14:ligatures w14:val="none"/>
        </w:rPr>
        <w:t xml:space="preserve">, al vincularse con casos relacionados como </w:t>
      </w:r>
      <w:proofErr w:type="spellStart"/>
      <w:r w:rsidRPr="00FC5566">
        <w:rPr>
          <w:rFonts w:eastAsia="Times New Roman"/>
          <w:i/>
          <w:iCs/>
          <w:kern w:val="0"/>
          <w:lang w:val="es-ES"/>
          <w14:ligatures w14:val="none"/>
        </w:rPr>
        <w:t>Dobbs</w:t>
      </w:r>
      <w:proofErr w:type="spellEnd"/>
      <w:r w:rsidRPr="00FC5566">
        <w:rPr>
          <w:rFonts w:eastAsia="Times New Roman"/>
          <w:kern w:val="0"/>
          <w:lang w:val="es-ES"/>
          <w14:ligatures w14:val="none"/>
        </w:rPr>
        <w:t>, muestran cómo los frentes de estas guerras culturales del siglo XXI se refuerzan mutuamente de maneras que distorsionan y corrompen la democracia constitucional. En lugar de una estructura de poderes separados que se controlan entre sí—como se enseña a cada generación de estudiantes de Derecho—, este esquema colusorio, antidemocrático y saturado de dinero ha engendrado y consolidado una élite económica depredadora y cleptocrática. Se trata de una oligarquía basada sistémicamente en identidades sociales y castas de origen colonial que las guerras culturales actuales se empeñan en perpetuar.</w:t>
      </w:r>
      <w:r w:rsidR="004749C1" w:rsidRPr="00FC37AC">
        <w:rPr>
          <w:rFonts w:eastAsia="Times New Roman"/>
          <w:kern w:val="0"/>
          <w:lang w:val="es-ES"/>
          <w14:ligatures w14:val="none"/>
        </w:rPr>
        <w:t xml:space="preserve"> En este sistema </w:t>
      </w:r>
      <w:proofErr w:type="spellStart"/>
      <w:r w:rsidR="004749C1" w:rsidRPr="00FC37AC">
        <w:rPr>
          <w:rFonts w:eastAsia="Times New Roman"/>
          <w:kern w:val="0"/>
          <w:lang w:val="es-ES"/>
          <w14:ligatures w14:val="none"/>
        </w:rPr>
        <w:t>autorreplicante</w:t>
      </w:r>
      <w:proofErr w:type="spellEnd"/>
      <w:r w:rsidR="004749C1" w:rsidRPr="00FC37AC">
        <w:rPr>
          <w:rFonts w:eastAsia="Times New Roman"/>
          <w:kern w:val="0"/>
          <w:lang w:val="es-ES"/>
          <w14:ligatures w14:val="none"/>
        </w:rPr>
        <w:t>, el control sobre el conocimiento público, la percepción y la comprensión se ha convertido en el nuevo punto crítico, dentro de esta ofensiva unilateral por resucitar, abiertamente, a los Estados Unidos como un Estado racial al servicio del nacionalismo cristiano blanco</w:t>
      </w:r>
      <w:r w:rsidR="004749C1" w:rsidRPr="00FC37AC">
        <w:rPr>
          <w:rStyle w:val="FootnoteReference"/>
          <w:iCs/>
          <w:lang w:val="es-ES"/>
        </w:rPr>
        <w:footnoteReference w:customMarkFollows="1" w:id="32"/>
        <w:t>33</w:t>
      </w:r>
      <w:r w:rsidR="004749C1" w:rsidRPr="00FC37AC">
        <w:rPr>
          <w:rFonts w:eastAsia="Times New Roman"/>
          <w:kern w:val="0"/>
          <w:lang w:val="es-ES"/>
          <w14:ligatures w14:val="none"/>
        </w:rPr>
        <w:t>.</w:t>
      </w:r>
    </w:p>
    <w:p w14:paraId="5F091A80" w14:textId="0F785223" w:rsidR="00EF4833" w:rsidRPr="00FC37AC" w:rsidRDefault="00EF4833" w:rsidP="00EF4833">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EF4833">
        <w:rPr>
          <w:rFonts w:ascii="Times New Roman" w:eastAsia="Times New Roman" w:hAnsi="Times New Roman" w:cs="Times New Roman"/>
          <w:kern w:val="0"/>
          <w:sz w:val="24"/>
          <w:szCs w:val="24"/>
          <w:lang w:val="es-ES"/>
          <w14:ligatures w14:val="none"/>
        </w:rPr>
        <w:lastRenderedPageBreak/>
        <w:t xml:space="preserve">Sin embargo, y esto es crucial, el conocimiento crítico—y las redes que lo sustentan—en los Estados Unidos no han permanecido inmóviles durante estos tiempos turbulentos. Como resultado, hacia la década de 2020, las personas estudiosas del Derecho en este país se encontraban mejor posicionadas que nunca para marcar una diferencia como guerreras culturales. De hecho, ya en el primer año de esa década, habían comenzado a hacerlo de manera positiva, gracias al trabajo colectivo y los avances constantes de las décadas y </w:t>
      </w:r>
      <w:r w:rsidR="00C859BB" w:rsidRPr="00FC37AC">
        <w:rPr>
          <w:rFonts w:ascii="Times New Roman" w:eastAsia="Times New Roman" w:hAnsi="Times New Roman" w:cs="Times New Roman"/>
          <w:kern w:val="0"/>
          <w:sz w:val="24"/>
          <w:szCs w:val="24"/>
          <w:lang w:val="es-ES"/>
          <w14:ligatures w14:val="none"/>
        </w:rPr>
        <w:t xml:space="preserve">las </w:t>
      </w:r>
      <w:r w:rsidRPr="00EF4833">
        <w:rPr>
          <w:rFonts w:ascii="Times New Roman" w:eastAsia="Times New Roman" w:hAnsi="Times New Roman" w:cs="Times New Roman"/>
          <w:kern w:val="0"/>
          <w:sz w:val="24"/>
          <w:szCs w:val="24"/>
          <w:lang w:val="es-ES"/>
          <w14:ligatures w14:val="none"/>
        </w:rPr>
        <w:t>generaciones anteriores.</w:t>
      </w:r>
    </w:p>
    <w:p w14:paraId="01C4BED7" w14:textId="77777777" w:rsidR="005C527C" w:rsidRPr="00FC37AC" w:rsidRDefault="00564190" w:rsidP="005C527C">
      <w:pPr>
        <w:pStyle w:val="NormalWeb"/>
        <w:ind w:firstLine="720"/>
        <w:rPr>
          <w:lang w:val="es-ES"/>
        </w:rPr>
      </w:pPr>
      <w:r w:rsidRPr="00564190">
        <w:rPr>
          <w:rFonts w:eastAsia="Times New Roman"/>
          <w:kern w:val="0"/>
          <w:lang w:val="es-ES"/>
          <w14:ligatures w14:val="none"/>
        </w:rPr>
        <w:t xml:space="preserve">Al iniciarse esa década, los cuerpos superpuestos de conocimiento jurídico crítico y las redes que habían surgido, evolucionado y </w:t>
      </w:r>
      <w:r w:rsidRPr="00FC37AC">
        <w:rPr>
          <w:rFonts w:eastAsia="Times New Roman"/>
          <w:kern w:val="0"/>
          <w:lang w:val="es-ES"/>
          <w14:ligatures w14:val="none"/>
        </w:rPr>
        <w:t xml:space="preserve">se </w:t>
      </w:r>
      <w:r w:rsidRPr="00564190">
        <w:rPr>
          <w:rFonts w:eastAsia="Times New Roman"/>
          <w:kern w:val="0"/>
          <w:lang w:val="es-ES"/>
          <w14:ligatures w14:val="none"/>
        </w:rPr>
        <w:t>organiza</w:t>
      </w:r>
      <w:r w:rsidRPr="00FC37AC">
        <w:rPr>
          <w:rFonts w:eastAsia="Times New Roman"/>
          <w:kern w:val="0"/>
          <w:lang w:val="es-ES"/>
          <w14:ligatures w14:val="none"/>
        </w:rPr>
        <w:t>ron</w:t>
      </w:r>
      <w:r w:rsidRPr="00564190">
        <w:rPr>
          <w:rFonts w:eastAsia="Times New Roman"/>
          <w:kern w:val="0"/>
          <w:lang w:val="es-ES"/>
          <w14:ligatures w14:val="none"/>
        </w:rPr>
        <w:t xml:space="preserve"> en la academia estadounidense—como la teoría jurídica feminista, la teoría crítica de la raza, la teoría LatCrit, los </w:t>
      </w:r>
      <w:proofErr w:type="spellStart"/>
      <w:r w:rsidRPr="00564190">
        <w:rPr>
          <w:rFonts w:eastAsia="Times New Roman"/>
          <w:i/>
          <w:iCs/>
          <w:kern w:val="0"/>
          <w:lang w:val="es-ES"/>
          <w14:ligatures w14:val="none"/>
        </w:rPr>
        <w:t>ClassCrits</w:t>
      </w:r>
      <w:proofErr w:type="spellEnd"/>
      <w:r w:rsidRPr="00564190">
        <w:rPr>
          <w:rFonts w:eastAsia="Times New Roman"/>
          <w:kern w:val="0"/>
          <w:lang w:val="es-ES"/>
          <w14:ligatures w14:val="none"/>
        </w:rPr>
        <w:t xml:space="preserve">, entre muchas otras—se </w:t>
      </w:r>
      <w:r w:rsidRPr="00FC37AC">
        <w:rPr>
          <w:rFonts w:eastAsia="Times New Roman"/>
          <w:kern w:val="0"/>
          <w:lang w:val="es-ES"/>
          <w14:ligatures w14:val="none"/>
        </w:rPr>
        <w:t>convirtieron</w:t>
      </w:r>
      <w:r w:rsidRPr="00564190">
        <w:rPr>
          <w:rFonts w:eastAsia="Times New Roman"/>
          <w:kern w:val="0"/>
          <w:lang w:val="es-ES"/>
          <w14:ligatures w14:val="none"/>
        </w:rPr>
        <w:t xml:space="preserve"> en una diáspora notable de estudiantes, profesorado, decanatos y centros distribuidos por todo el país y vinculados a comunidades aledañas, las cuales a su vez probablemente ya contaban con personas colaboradoras organizadas fuera de los campus.</w:t>
      </w:r>
      <w:r w:rsidR="005C527C" w:rsidRPr="00FC37AC">
        <w:rPr>
          <w:lang w:val="es-ES"/>
        </w:rPr>
        <w:t xml:space="preserve"> </w:t>
      </w:r>
    </w:p>
    <w:p w14:paraId="678325ED" w14:textId="0FDD1A87" w:rsidR="0038591C" w:rsidRPr="0038591C" w:rsidRDefault="005C527C" w:rsidP="0038591C">
      <w:pPr>
        <w:pStyle w:val="NormalWeb"/>
        <w:ind w:firstLine="720"/>
        <w:rPr>
          <w:rFonts w:eastAsia="Times New Roman"/>
          <w:kern w:val="0"/>
          <w:lang w:val="es-ES"/>
          <w14:ligatures w14:val="none"/>
        </w:rPr>
      </w:pPr>
      <w:r w:rsidRPr="00FC37AC">
        <w:rPr>
          <w:rFonts w:eastAsia="Times New Roman"/>
          <w:kern w:val="0"/>
          <w:lang w:val="es-ES"/>
          <w14:ligatures w14:val="none"/>
        </w:rPr>
        <w:t>De aquí en adelante, esos núcleos y redes de la diáspora pueden convertirse en aliadas de nuevas colaboraciones. Pueden conectar recursos críticos dentro de las universidades con grupos organizados de justicia social en sus comunidades, para generar proyectos, alianzas, redes y estrategias nuevos, diseñados para estos tiempos trascendentales, conflictivos y contingentes.</w:t>
      </w:r>
      <w:r w:rsidR="0038591C" w:rsidRPr="00FC37AC">
        <w:rPr>
          <w:rFonts w:eastAsia="Times New Roman"/>
          <w:kern w:val="0"/>
          <w:lang w:val="es-ES"/>
          <w14:ligatures w14:val="none"/>
        </w:rPr>
        <w:t xml:space="preserve"> </w:t>
      </w:r>
      <w:r w:rsidR="0038591C" w:rsidRPr="0038591C">
        <w:rPr>
          <w:rFonts w:eastAsia="Times New Roman"/>
          <w:kern w:val="0"/>
          <w:lang w:val="es-ES"/>
          <w14:ligatures w14:val="none"/>
        </w:rPr>
        <w:t xml:space="preserve">De este modo, entre otros, las personas estudiosas del Derecho con enfoque crítico pueden ayudar a contrarrestar el espíritu derechista del fascismo y su subversión de la justicia igualitaria en la educación, el Derecho y la sociedad. La creación del </w:t>
      </w:r>
      <w:proofErr w:type="spellStart"/>
      <w:r w:rsidR="0038591C" w:rsidRPr="0038591C">
        <w:rPr>
          <w:rFonts w:eastAsia="Times New Roman"/>
          <w:i/>
          <w:iCs/>
          <w:kern w:val="0"/>
          <w:lang w:val="es-ES"/>
          <w14:ligatures w14:val="none"/>
        </w:rPr>
        <w:t>Critical</w:t>
      </w:r>
      <w:proofErr w:type="spellEnd"/>
      <w:r w:rsidR="0038591C" w:rsidRPr="0038591C">
        <w:rPr>
          <w:rFonts w:eastAsia="Times New Roman"/>
          <w:i/>
          <w:iCs/>
          <w:kern w:val="0"/>
          <w:lang w:val="es-ES"/>
          <w14:ligatures w14:val="none"/>
        </w:rPr>
        <w:t xml:space="preserve"> (Legal) </w:t>
      </w:r>
      <w:proofErr w:type="spellStart"/>
      <w:r w:rsidR="0038591C" w:rsidRPr="0038591C">
        <w:rPr>
          <w:rFonts w:eastAsia="Times New Roman"/>
          <w:i/>
          <w:iCs/>
          <w:kern w:val="0"/>
          <w:lang w:val="es-ES"/>
          <w14:ligatures w14:val="none"/>
        </w:rPr>
        <w:t>Collective</w:t>
      </w:r>
      <w:proofErr w:type="spellEnd"/>
      <w:r w:rsidR="0038591C" w:rsidRPr="0038591C">
        <w:rPr>
          <w:rFonts w:eastAsia="Times New Roman"/>
          <w:kern w:val="0"/>
          <w:lang w:val="es-ES"/>
          <w14:ligatures w14:val="none"/>
        </w:rPr>
        <w:t xml:space="preserve"> ilustra cómo el pensamiento jurídico crítico puede organizarse junto a otras personas</w:t>
      </w:r>
      <w:r w:rsidR="0038591C" w:rsidRPr="00FC37AC">
        <w:rPr>
          <w:rFonts w:eastAsia="Times New Roman"/>
          <w:kern w:val="0"/>
          <w:lang w:val="es-ES"/>
          <w14:ligatures w14:val="none"/>
        </w:rPr>
        <w:t>,</w:t>
      </w:r>
      <w:r w:rsidR="0038591C" w:rsidRPr="0038591C">
        <w:rPr>
          <w:rFonts w:eastAsia="Times New Roman"/>
          <w:kern w:val="0"/>
          <w:lang w:val="es-ES"/>
          <w14:ligatures w14:val="none"/>
        </w:rPr>
        <w:t xml:space="preserve"> para marcar una diferencia como guerreras culturales</w:t>
      </w:r>
      <w:r w:rsidR="00F84969" w:rsidRPr="00FC37AC">
        <w:rPr>
          <w:rFonts w:eastAsia="Times New Roman"/>
          <w:kern w:val="0"/>
          <w:lang w:val="es-ES"/>
          <w14:ligatures w14:val="none"/>
        </w:rPr>
        <w:t>,</w:t>
      </w:r>
      <w:r w:rsidR="0038591C" w:rsidRPr="0038591C">
        <w:rPr>
          <w:rFonts w:eastAsia="Times New Roman"/>
          <w:kern w:val="0"/>
          <w:lang w:val="es-ES"/>
          <w14:ligatures w14:val="none"/>
        </w:rPr>
        <w:t xml:space="preserve"> en favor de las libertades personales y colectivas en todo el país</w:t>
      </w:r>
      <w:r w:rsidR="0067541B" w:rsidRPr="00FC37AC">
        <w:rPr>
          <w:rFonts w:eastAsia="Times New Roman"/>
          <w:kern w:val="0"/>
          <w:lang w:val="es-ES"/>
          <w14:ligatures w14:val="none"/>
        </w:rPr>
        <w:t>; s</w:t>
      </w:r>
      <w:r w:rsidR="00F84969" w:rsidRPr="00FC37AC">
        <w:rPr>
          <w:rFonts w:eastAsia="Times New Roman"/>
          <w:kern w:val="0"/>
          <w:lang w:val="es-ES"/>
          <w14:ligatures w14:val="none"/>
        </w:rPr>
        <w:t>obre todo</w:t>
      </w:r>
      <w:r w:rsidR="0038591C" w:rsidRPr="0038591C">
        <w:rPr>
          <w:rFonts w:eastAsia="Times New Roman"/>
          <w:kern w:val="0"/>
          <w:lang w:val="es-ES"/>
          <w14:ligatures w14:val="none"/>
        </w:rPr>
        <w:t>, en este momento existencial para la sociedad y la democracia estadounidenses.</w:t>
      </w:r>
    </w:p>
    <w:p w14:paraId="69CD4CD5" w14:textId="77777777" w:rsidR="0067541B" w:rsidRPr="0067541B" w:rsidRDefault="0067541B" w:rsidP="0067541B">
      <w:pPr>
        <w:spacing w:after="0" w:line="240" w:lineRule="auto"/>
        <w:rPr>
          <w:rFonts w:ascii="Times New Roman" w:hAnsi="Times New Roman" w:cs="Times New Roman"/>
          <w:b/>
          <w:iCs/>
          <w:sz w:val="24"/>
          <w:szCs w:val="24"/>
          <w:u w:val="single"/>
          <w:lang w:val="es-ES"/>
        </w:rPr>
      </w:pPr>
      <w:r w:rsidRPr="0067541B">
        <w:rPr>
          <w:rFonts w:ascii="Times New Roman" w:hAnsi="Times New Roman" w:cs="Times New Roman"/>
          <w:b/>
          <w:iCs/>
          <w:sz w:val="24"/>
          <w:szCs w:val="24"/>
          <w:u w:val="single"/>
          <w:lang w:val="es-ES"/>
        </w:rPr>
        <w:t>El colectivo crítico (jurídico) se une: Contexto, misión y puntos de partida</w:t>
      </w:r>
    </w:p>
    <w:p w14:paraId="239410E7" w14:textId="07368BDA" w:rsidR="00642A75" w:rsidRPr="00642A75" w:rsidRDefault="00642A75" w:rsidP="00642A75">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642A75">
        <w:rPr>
          <w:rFonts w:ascii="Times New Roman" w:eastAsia="Times New Roman" w:hAnsi="Times New Roman" w:cs="Times New Roman"/>
          <w:kern w:val="0"/>
          <w:sz w:val="24"/>
          <w:szCs w:val="24"/>
          <w:lang w:val="es-ES"/>
          <w14:ligatures w14:val="none"/>
        </w:rPr>
        <w:t xml:space="preserve">En abril y mayo de 2021, un grupo diverso de personas académicas críticas y organizadoras comunitarias inició conversaciones para reflexionar sobre cómo fortalecer, a largo plazo, las redes críticas, los saberes, la enseñanza y el activismo ya existentes—con raíces sustantivas y estructurales en el lugar donde nos encontrábamos colectivamente. Como indicaron en conjunto las conversaciones ampliadas y el ejercicio preliminar de mapeo de ese año, nos apoyábamos con firmeza en las lecciones acumuladas y los métodos ascendentes de la jurisprudencia crítica desde </w:t>
      </w:r>
      <w:r w:rsidRPr="00FC37AC">
        <w:rPr>
          <w:rFonts w:ascii="Times New Roman" w:eastAsia="Times New Roman" w:hAnsi="Times New Roman" w:cs="Times New Roman"/>
          <w:kern w:val="0"/>
          <w:sz w:val="24"/>
          <w:szCs w:val="24"/>
          <w:lang w:val="es-ES"/>
          <w14:ligatures w14:val="none"/>
        </w:rPr>
        <w:t>la periferia</w:t>
      </w:r>
      <w:r w:rsidRPr="00642A75">
        <w:rPr>
          <w:rFonts w:ascii="Times New Roman" w:eastAsia="Times New Roman" w:hAnsi="Times New Roman" w:cs="Times New Roman"/>
          <w:kern w:val="0"/>
          <w:sz w:val="24"/>
          <w:szCs w:val="24"/>
          <w:lang w:val="es-ES"/>
          <w14:ligatures w14:val="none"/>
        </w:rPr>
        <w:t>, y estábamos dispersas (en su mayoría) en los rincones de la academia jurídica estadounidense</w:t>
      </w:r>
      <w:r w:rsidRPr="00FC37AC">
        <w:rPr>
          <w:rStyle w:val="FootnoteReference"/>
          <w:rFonts w:ascii="Times New Roman" w:hAnsi="Times New Roman" w:cs="Times New Roman"/>
          <w:iCs/>
          <w:sz w:val="24"/>
          <w:szCs w:val="24"/>
          <w:lang w:val="es-ES"/>
        </w:rPr>
        <w:footnoteReference w:customMarkFollows="1" w:id="33"/>
        <w:t>34</w:t>
      </w:r>
      <w:r w:rsidRPr="00642A75">
        <w:rPr>
          <w:rFonts w:ascii="Times New Roman" w:eastAsia="Times New Roman" w:hAnsi="Times New Roman" w:cs="Times New Roman"/>
          <w:kern w:val="0"/>
          <w:sz w:val="24"/>
          <w:szCs w:val="24"/>
          <w:lang w:val="es-ES"/>
          <w14:ligatures w14:val="none"/>
        </w:rPr>
        <w:t>.</w:t>
      </w:r>
      <w:r w:rsidRPr="00FC37AC">
        <w:rPr>
          <w:rFonts w:ascii="Times New Roman" w:eastAsia="Times New Roman" w:hAnsi="Times New Roman" w:cs="Times New Roman"/>
          <w:kern w:val="0"/>
          <w:sz w:val="24"/>
          <w:szCs w:val="24"/>
          <w:lang w:val="es-ES"/>
          <w14:ligatures w14:val="none"/>
        </w:rPr>
        <w:t xml:space="preserve"> </w:t>
      </w:r>
    </w:p>
    <w:p w14:paraId="686ED2AF" w14:textId="77777777" w:rsidR="00642A75" w:rsidRPr="00FC37AC" w:rsidRDefault="00642A75" w:rsidP="0023040E">
      <w:pPr>
        <w:spacing w:after="0" w:line="240" w:lineRule="auto"/>
        <w:rPr>
          <w:rFonts w:ascii="Times New Roman" w:hAnsi="Times New Roman" w:cs="Times New Roman"/>
          <w:iCs/>
          <w:sz w:val="24"/>
          <w:szCs w:val="24"/>
          <w:lang w:val="es-ES"/>
        </w:rPr>
      </w:pPr>
    </w:p>
    <w:p w14:paraId="2BAE97E0" w14:textId="2FC36CB2" w:rsidR="00EB0C36" w:rsidRPr="00FC37AC" w:rsidRDefault="00EB0C36" w:rsidP="00EB0C36">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EB0C36">
        <w:rPr>
          <w:rFonts w:ascii="Times New Roman" w:eastAsia="Times New Roman" w:hAnsi="Times New Roman" w:cs="Times New Roman"/>
          <w:kern w:val="0"/>
          <w:sz w:val="24"/>
          <w:szCs w:val="24"/>
          <w:lang w:val="es-ES"/>
          <w14:ligatures w14:val="none"/>
        </w:rPr>
        <w:t xml:space="preserve">Durante esa primavera de 2022, en medio del frenesí creciente de este </w:t>
      </w:r>
      <w:proofErr w:type="spellStart"/>
      <w:r w:rsidRPr="00EB0C36">
        <w:rPr>
          <w:rFonts w:ascii="Times New Roman" w:eastAsia="Times New Roman" w:hAnsi="Times New Roman" w:cs="Times New Roman"/>
          <w:i/>
          <w:iCs/>
          <w:kern w:val="0"/>
          <w:sz w:val="24"/>
          <w:szCs w:val="24"/>
          <w:lang w:val="es-ES"/>
          <w14:ligatures w14:val="none"/>
        </w:rPr>
        <w:t>zeitgeist</w:t>
      </w:r>
      <w:proofErr w:type="spellEnd"/>
      <w:r w:rsidRPr="00EB0C36">
        <w:rPr>
          <w:rFonts w:ascii="Times New Roman" w:eastAsia="Times New Roman" w:hAnsi="Times New Roman" w:cs="Times New Roman"/>
          <w:kern w:val="0"/>
          <w:sz w:val="24"/>
          <w:szCs w:val="24"/>
          <w:lang w:val="es-ES"/>
          <w14:ligatures w14:val="none"/>
        </w:rPr>
        <w:t xml:space="preserve"> derechista y reaccionario, aquellas conversaciones improvisadas entre algunas personas académicas críticas y activistas se convirtieron en sesiones mensuales de Zoom durante el verano. La participación se amplió y se enfocó en plan</w:t>
      </w:r>
      <w:r w:rsidRPr="00FC37AC">
        <w:rPr>
          <w:rFonts w:ascii="Times New Roman" w:eastAsia="Times New Roman" w:hAnsi="Times New Roman" w:cs="Times New Roman"/>
          <w:kern w:val="0"/>
          <w:sz w:val="24"/>
          <w:szCs w:val="24"/>
          <w:lang w:val="es-ES"/>
          <w14:ligatures w14:val="none"/>
        </w:rPr>
        <w:t>ifica</w:t>
      </w:r>
      <w:r w:rsidRPr="00EB0C36">
        <w:rPr>
          <w:rFonts w:ascii="Times New Roman" w:eastAsia="Times New Roman" w:hAnsi="Times New Roman" w:cs="Times New Roman"/>
          <w:kern w:val="0"/>
          <w:sz w:val="24"/>
          <w:szCs w:val="24"/>
          <w:lang w:val="es-ES"/>
          <w14:ligatures w14:val="none"/>
        </w:rPr>
        <w:t xml:space="preserve">r acciones colectivas que reforzaran y complementaran los esfuerzos vigorosos de grupos aliados, como el </w:t>
      </w:r>
      <w:proofErr w:type="spellStart"/>
      <w:r w:rsidRPr="00EB0C36">
        <w:rPr>
          <w:rFonts w:ascii="Times New Roman" w:eastAsia="Times New Roman" w:hAnsi="Times New Roman" w:cs="Times New Roman"/>
          <w:i/>
          <w:iCs/>
          <w:kern w:val="0"/>
          <w:sz w:val="24"/>
          <w:szCs w:val="24"/>
          <w:lang w:val="es-ES"/>
          <w14:ligatures w14:val="none"/>
        </w:rPr>
        <w:t>African</w:t>
      </w:r>
      <w:proofErr w:type="spellEnd"/>
      <w:r w:rsidRPr="00EB0C36">
        <w:rPr>
          <w:rFonts w:ascii="Times New Roman" w:eastAsia="Times New Roman" w:hAnsi="Times New Roman" w:cs="Times New Roman"/>
          <w:i/>
          <w:iCs/>
          <w:kern w:val="0"/>
          <w:sz w:val="24"/>
          <w:szCs w:val="24"/>
          <w:lang w:val="es-ES"/>
          <w14:ligatures w14:val="none"/>
        </w:rPr>
        <w:t xml:space="preserve"> American </w:t>
      </w:r>
      <w:proofErr w:type="spellStart"/>
      <w:r w:rsidRPr="00EB0C36">
        <w:rPr>
          <w:rFonts w:ascii="Times New Roman" w:eastAsia="Times New Roman" w:hAnsi="Times New Roman" w:cs="Times New Roman"/>
          <w:i/>
          <w:iCs/>
          <w:kern w:val="0"/>
          <w:sz w:val="24"/>
          <w:szCs w:val="24"/>
          <w:lang w:val="es-ES"/>
          <w14:ligatures w14:val="none"/>
        </w:rPr>
        <w:t>Policy</w:t>
      </w:r>
      <w:proofErr w:type="spellEnd"/>
      <w:r w:rsidRPr="00EB0C36">
        <w:rPr>
          <w:rFonts w:ascii="Times New Roman" w:eastAsia="Times New Roman" w:hAnsi="Times New Roman" w:cs="Times New Roman"/>
          <w:i/>
          <w:iCs/>
          <w:kern w:val="0"/>
          <w:sz w:val="24"/>
          <w:szCs w:val="24"/>
          <w:lang w:val="es-ES"/>
          <w14:ligatures w14:val="none"/>
        </w:rPr>
        <w:t xml:space="preserve"> </w:t>
      </w:r>
      <w:proofErr w:type="spellStart"/>
      <w:r w:rsidRPr="00EB0C36">
        <w:rPr>
          <w:rFonts w:ascii="Times New Roman" w:eastAsia="Times New Roman" w:hAnsi="Times New Roman" w:cs="Times New Roman"/>
          <w:i/>
          <w:iCs/>
          <w:kern w:val="0"/>
          <w:sz w:val="24"/>
          <w:szCs w:val="24"/>
          <w:lang w:val="es-ES"/>
          <w14:ligatures w14:val="none"/>
        </w:rPr>
        <w:t>Forum</w:t>
      </w:r>
      <w:proofErr w:type="spellEnd"/>
      <w:r w:rsidRPr="00EB0C36">
        <w:rPr>
          <w:rFonts w:ascii="Times New Roman" w:eastAsia="Times New Roman" w:hAnsi="Times New Roman" w:cs="Times New Roman"/>
          <w:kern w:val="0"/>
          <w:sz w:val="24"/>
          <w:szCs w:val="24"/>
          <w:lang w:val="es-ES"/>
          <w14:ligatures w14:val="none"/>
        </w:rPr>
        <w:t xml:space="preserve"> (AAPF)</w:t>
      </w:r>
      <w:r w:rsidRPr="00FC37AC">
        <w:rPr>
          <w:rStyle w:val="FootnoteReference"/>
          <w:rFonts w:ascii="Times New Roman" w:hAnsi="Times New Roman" w:cs="Times New Roman"/>
          <w:iCs/>
          <w:sz w:val="24"/>
          <w:szCs w:val="24"/>
          <w:lang w:val="es-ES"/>
        </w:rPr>
        <w:t xml:space="preserve"> </w:t>
      </w:r>
      <w:r w:rsidRPr="00FC37AC">
        <w:rPr>
          <w:rStyle w:val="FootnoteReference"/>
          <w:rFonts w:ascii="Times New Roman" w:hAnsi="Times New Roman" w:cs="Times New Roman"/>
          <w:iCs/>
          <w:sz w:val="24"/>
          <w:szCs w:val="24"/>
          <w:lang w:val="es-ES"/>
        </w:rPr>
        <w:footnoteReference w:customMarkFollows="1" w:id="34"/>
        <w:t>35</w:t>
      </w:r>
      <w:r w:rsidRPr="00FC37AC">
        <w:rPr>
          <w:rFonts w:ascii="Times New Roman" w:eastAsia="MS Gothic" w:hAnsi="Times New Roman" w:cs="Times New Roman"/>
          <w:kern w:val="0"/>
          <w:sz w:val="24"/>
          <w:szCs w:val="24"/>
          <w:lang w:val="es-ES"/>
          <w14:ligatures w14:val="none"/>
        </w:rPr>
        <w:t xml:space="preserve"> </w:t>
      </w:r>
      <w:r w:rsidRPr="00EB0C36">
        <w:rPr>
          <w:rFonts w:ascii="Times New Roman" w:eastAsia="Times New Roman" w:hAnsi="Times New Roman" w:cs="Times New Roman"/>
          <w:kern w:val="0"/>
          <w:sz w:val="24"/>
          <w:szCs w:val="24"/>
          <w:lang w:val="es-ES"/>
          <w14:ligatures w14:val="none"/>
        </w:rPr>
        <w:t>y docenas de otros colectivos locales o nacionales. A la vez, se planteó como objetivo construir una infraestructura colectiva para defender y promover los estudios críticos en la educación jurídica y, en general, en la educación superior.</w:t>
      </w:r>
    </w:p>
    <w:p w14:paraId="4FADBF4A" w14:textId="591EE820" w:rsidR="007C2755" w:rsidRPr="00FC37AC" w:rsidRDefault="00E86BF0" w:rsidP="007C2755">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FC37AC">
        <w:rPr>
          <w:rFonts w:ascii="Times New Roman" w:eastAsia="Times New Roman" w:hAnsi="Times New Roman" w:cs="Times New Roman"/>
          <w:kern w:val="0"/>
          <w:sz w:val="24"/>
          <w:szCs w:val="24"/>
          <w:lang w:val="es-ES"/>
          <w14:ligatures w14:val="none"/>
        </w:rPr>
        <w:t>También</w:t>
      </w:r>
      <w:r w:rsidR="007C2755" w:rsidRPr="007C2755">
        <w:rPr>
          <w:rFonts w:ascii="Times New Roman" w:eastAsia="Times New Roman" w:hAnsi="Times New Roman" w:cs="Times New Roman"/>
          <w:kern w:val="0"/>
          <w:sz w:val="24"/>
          <w:szCs w:val="24"/>
          <w:lang w:val="es-ES"/>
          <w14:ligatures w14:val="none"/>
        </w:rPr>
        <w:t xml:space="preserve">, discutimos y celebramos las corrientes críticas </w:t>
      </w:r>
      <w:r w:rsidR="00B858C6" w:rsidRPr="007C2755">
        <w:rPr>
          <w:rFonts w:ascii="Times New Roman" w:eastAsia="Times New Roman" w:hAnsi="Times New Roman" w:cs="Times New Roman"/>
          <w:kern w:val="0"/>
          <w:sz w:val="24"/>
          <w:szCs w:val="24"/>
          <w:lang w:val="es-ES"/>
          <w14:ligatures w14:val="none"/>
        </w:rPr>
        <w:t xml:space="preserve">distintas </w:t>
      </w:r>
      <w:r w:rsidR="007C2755" w:rsidRPr="007C2755">
        <w:rPr>
          <w:rFonts w:ascii="Times New Roman" w:eastAsia="Times New Roman" w:hAnsi="Times New Roman" w:cs="Times New Roman"/>
          <w:kern w:val="0"/>
          <w:sz w:val="24"/>
          <w:szCs w:val="24"/>
          <w:lang w:val="es-ES"/>
          <w14:ligatures w14:val="none"/>
        </w:rPr>
        <w:t xml:space="preserve">del pensamiento jurídico—desde los </w:t>
      </w:r>
      <w:proofErr w:type="spellStart"/>
      <w:r w:rsidR="007C2755" w:rsidRPr="007C2755">
        <w:rPr>
          <w:rFonts w:ascii="Times New Roman" w:eastAsia="Times New Roman" w:hAnsi="Times New Roman" w:cs="Times New Roman"/>
          <w:i/>
          <w:iCs/>
          <w:kern w:val="0"/>
          <w:sz w:val="24"/>
          <w:szCs w:val="24"/>
          <w:lang w:val="es-ES"/>
          <w14:ligatures w14:val="none"/>
        </w:rPr>
        <w:t>critical</w:t>
      </w:r>
      <w:proofErr w:type="spellEnd"/>
      <w:r w:rsidR="007C2755" w:rsidRPr="007C2755">
        <w:rPr>
          <w:rFonts w:ascii="Times New Roman" w:eastAsia="Times New Roman" w:hAnsi="Times New Roman" w:cs="Times New Roman"/>
          <w:i/>
          <w:iCs/>
          <w:kern w:val="0"/>
          <w:sz w:val="24"/>
          <w:szCs w:val="24"/>
          <w:lang w:val="es-ES"/>
          <w14:ligatures w14:val="none"/>
        </w:rPr>
        <w:t xml:space="preserve"> legal </w:t>
      </w:r>
      <w:proofErr w:type="spellStart"/>
      <w:r w:rsidR="007C2755" w:rsidRPr="007C2755">
        <w:rPr>
          <w:rFonts w:ascii="Times New Roman" w:eastAsia="Times New Roman" w:hAnsi="Times New Roman" w:cs="Times New Roman"/>
          <w:i/>
          <w:iCs/>
          <w:kern w:val="0"/>
          <w:sz w:val="24"/>
          <w:szCs w:val="24"/>
          <w:lang w:val="es-ES"/>
          <w14:ligatures w14:val="none"/>
        </w:rPr>
        <w:t>studies</w:t>
      </w:r>
      <w:proofErr w:type="spellEnd"/>
      <w:r w:rsidR="007C2755" w:rsidRPr="007C2755">
        <w:rPr>
          <w:rFonts w:ascii="Times New Roman" w:eastAsia="Times New Roman" w:hAnsi="Times New Roman" w:cs="Times New Roman"/>
          <w:kern w:val="0"/>
          <w:sz w:val="24"/>
          <w:szCs w:val="24"/>
          <w:lang w:val="es-ES"/>
          <w14:ligatures w14:val="none"/>
        </w:rPr>
        <w:t xml:space="preserve"> y la teoría crítica de la raza hasta los estudios Queer y la tradición de </w:t>
      </w:r>
      <w:r w:rsidR="007C2755" w:rsidRPr="007C2755">
        <w:rPr>
          <w:rFonts w:ascii="Times New Roman" w:eastAsia="Times New Roman" w:hAnsi="Times New Roman" w:cs="Times New Roman"/>
          <w:i/>
          <w:iCs/>
          <w:kern w:val="0"/>
          <w:sz w:val="24"/>
          <w:szCs w:val="24"/>
          <w:lang w:val="es-ES"/>
          <w14:ligatures w14:val="none"/>
        </w:rPr>
        <w:t xml:space="preserve">Law and </w:t>
      </w:r>
      <w:proofErr w:type="spellStart"/>
      <w:r w:rsidR="007C2755" w:rsidRPr="007C2755">
        <w:rPr>
          <w:rFonts w:ascii="Times New Roman" w:eastAsia="Times New Roman" w:hAnsi="Times New Roman" w:cs="Times New Roman"/>
          <w:i/>
          <w:iCs/>
          <w:kern w:val="0"/>
          <w:sz w:val="24"/>
          <w:szCs w:val="24"/>
          <w:lang w:val="es-ES"/>
          <w14:ligatures w14:val="none"/>
        </w:rPr>
        <w:t>Society</w:t>
      </w:r>
      <w:proofErr w:type="spellEnd"/>
      <w:r w:rsidR="007C2755" w:rsidRPr="007C2755">
        <w:rPr>
          <w:rFonts w:ascii="Times New Roman" w:eastAsia="Times New Roman" w:hAnsi="Times New Roman" w:cs="Times New Roman"/>
          <w:kern w:val="0"/>
          <w:sz w:val="24"/>
          <w:szCs w:val="24"/>
          <w:lang w:val="es-ES"/>
          <w14:ligatures w14:val="none"/>
        </w:rPr>
        <w:t>—así como las “tribus” interconectadas de académicas y activistas que sostienen hoy los nodos y redes de estudios críticos y desde los márgenes. Estos logros del pasado proporcionan una base estructural y sustantiva para cualquier esfuerzo colectivo futuro que busque ampliarlos.</w:t>
      </w:r>
    </w:p>
    <w:p w14:paraId="07C3E89D" w14:textId="32FF3A1E" w:rsidR="00E86BF0" w:rsidRPr="00E86BF0" w:rsidRDefault="00E86BF0" w:rsidP="00E86BF0">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FC37AC">
        <w:rPr>
          <w:rFonts w:ascii="Times New Roman" w:eastAsia="Times New Roman" w:hAnsi="Times New Roman" w:cs="Times New Roman"/>
          <w:kern w:val="0"/>
          <w:sz w:val="24"/>
          <w:szCs w:val="24"/>
          <w:lang w:val="es-ES"/>
          <w14:ligatures w14:val="none"/>
        </w:rPr>
        <w:t>A la vez,</w:t>
      </w:r>
      <w:r w:rsidRPr="00E86BF0">
        <w:rPr>
          <w:rFonts w:ascii="Times New Roman" w:eastAsia="Times New Roman" w:hAnsi="Times New Roman" w:cs="Times New Roman"/>
          <w:kern w:val="0"/>
          <w:sz w:val="24"/>
          <w:szCs w:val="24"/>
          <w:lang w:val="es-ES"/>
          <w14:ligatures w14:val="none"/>
        </w:rPr>
        <w:t xml:space="preserve"> oscilamos—y a veces tropezamos—entre nuestras capacidades concretas y nuestras aspiraciones y convicciones: entre el enfoque inicial en los Estados Unidos y el Derecho como punto de partida por nuestras limitaciones situadas, y nuestros ideales y compromisos para pensar y actuar más allá de esos marcos restringidos, en contextos sociales, materiales, interdisciplinarios y locales–globales. Las limitaciones y aspiraciones de 2022 se reflejan en los hallazgos y seguimientos que se describen más adelante.</w:t>
      </w:r>
    </w:p>
    <w:p w14:paraId="4201B49B" w14:textId="15C8CE9F" w:rsidR="009D171E" w:rsidRPr="009D171E" w:rsidRDefault="009D171E" w:rsidP="009D171E">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9D171E">
        <w:rPr>
          <w:rFonts w:ascii="Times New Roman" w:eastAsia="Times New Roman" w:hAnsi="Times New Roman" w:cs="Times New Roman"/>
          <w:kern w:val="0"/>
          <w:sz w:val="24"/>
          <w:szCs w:val="24"/>
          <w:lang w:val="es-ES"/>
          <w14:ligatures w14:val="none"/>
        </w:rPr>
        <w:t xml:space="preserve">Ese primer año—de mayo de 2021 a mayo de 2022—estuvo dedicado a evaluar el contexto, afinar una misión y consolidarnos como un colectivo diverso, intencional y orientado a la acción, con el objetivo de construir sobre los logros de generaciones y esfuerzos anteriores. Al </w:t>
      </w:r>
      <w:r w:rsidRPr="009D171E">
        <w:rPr>
          <w:rFonts w:ascii="Times New Roman" w:eastAsia="Times New Roman" w:hAnsi="Times New Roman" w:cs="Times New Roman"/>
          <w:kern w:val="0"/>
          <w:sz w:val="24"/>
          <w:szCs w:val="24"/>
          <w:lang w:val="es-ES"/>
          <w14:ligatures w14:val="none"/>
        </w:rPr>
        <w:lastRenderedPageBreak/>
        <w:t xml:space="preserve">final de ese año, nuestros dos objetivos clave, reflejados en la </w:t>
      </w:r>
      <w:r w:rsidR="007F4833" w:rsidRPr="00FC37AC">
        <w:rPr>
          <w:rFonts w:ascii="Times New Roman" w:eastAsia="Times New Roman" w:hAnsi="Times New Roman" w:cs="Times New Roman"/>
          <w:kern w:val="0"/>
          <w:sz w:val="24"/>
          <w:szCs w:val="24"/>
          <w:lang w:val="es-ES"/>
          <w14:ligatures w14:val="none"/>
        </w:rPr>
        <w:t>d</w:t>
      </w:r>
      <w:r w:rsidRPr="009D171E">
        <w:rPr>
          <w:rFonts w:ascii="Times New Roman" w:eastAsia="Times New Roman" w:hAnsi="Times New Roman" w:cs="Times New Roman"/>
          <w:kern w:val="0"/>
          <w:sz w:val="24"/>
          <w:szCs w:val="24"/>
          <w:lang w:val="es-ES"/>
          <w14:ligatures w14:val="none"/>
        </w:rPr>
        <w:t xml:space="preserve">eclaración de </w:t>
      </w:r>
      <w:r w:rsidR="007F4833" w:rsidRPr="00FC37AC">
        <w:rPr>
          <w:rFonts w:ascii="Times New Roman" w:eastAsia="Times New Roman" w:hAnsi="Times New Roman" w:cs="Times New Roman"/>
          <w:kern w:val="0"/>
          <w:sz w:val="24"/>
          <w:szCs w:val="24"/>
          <w:lang w:val="es-ES"/>
          <w14:ligatures w14:val="none"/>
        </w:rPr>
        <w:t>los objetivos</w:t>
      </w:r>
      <w:r w:rsidRPr="009D171E">
        <w:rPr>
          <w:rFonts w:ascii="Times New Roman" w:eastAsia="Times New Roman" w:hAnsi="Times New Roman" w:cs="Times New Roman"/>
          <w:kern w:val="0"/>
          <w:sz w:val="24"/>
          <w:szCs w:val="24"/>
          <w:lang w:val="es-ES"/>
          <w14:ligatures w14:val="none"/>
        </w:rPr>
        <w:t xml:space="preserve"> adoptada por consenso en mayo de 2022</w:t>
      </w:r>
      <w:r w:rsidR="003A1F9F" w:rsidRPr="00FC37AC">
        <w:rPr>
          <w:rStyle w:val="FootnoteReference"/>
          <w:rFonts w:ascii="Times New Roman" w:hAnsi="Times New Roman" w:cs="Times New Roman"/>
          <w:iCs/>
          <w:sz w:val="24"/>
          <w:szCs w:val="24"/>
          <w:lang w:val="es-ES"/>
        </w:rPr>
        <w:footnoteReference w:customMarkFollows="1" w:id="35"/>
        <w:t>36</w:t>
      </w:r>
      <w:r w:rsidRPr="009D171E">
        <w:rPr>
          <w:rFonts w:ascii="Times New Roman" w:eastAsia="Times New Roman" w:hAnsi="Times New Roman" w:cs="Times New Roman"/>
          <w:kern w:val="0"/>
          <w:sz w:val="24"/>
          <w:szCs w:val="24"/>
          <w:lang w:val="es-ES"/>
          <w14:ligatures w14:val="none"/>
        </w:rPr>
        <w:t>, fueron los siguientes:</w:t>
      </w:r>
      <w:r w:rsidRPr="00FC37AC">
        <w:rPr>
          <w:rFonts w:ascii="Times New Roman" w:eastAsia="Times New Roman" w:hAnsi="Times New Roman" w:cs="Times New Roman"/>
          <w:kern w:val="0"/>
          <w:sz w:val="24"/>
          <w:szCs w:val="24"/>
          <w:lang w:val="es-ES"/>
          <w14:ligatures w14:val="none"/>
        </w:rPr>
        <w:t xml:space="preserve"> </w:t>
      </w:r>
    </w:p>
    <w:p w14:paraId="06DC6E68" w14:textId="77777777" w:rsidR="00071C02" w:rsidRPr="00071C02" w:rsidRDefault="00071C02" w:rsidP="00071C02">
      <w:pPr>
        <w:spacing w:before="100" w:beforeAutospacing="1" w:after="100" w:afterAutospacing="1" w:line="240" w:lineRule="auto"/>
        <w:rPr>
          <w:rFonts w:ascii="Times New Roman" w:eastAsia="Times New Roman" w:hAnsi="Times New Roman" w:cs="Times New Roman"/>
          <w:kern w:val="0"/>
          <w:sz w:val="24"/>
          <w:szCs w:val="24"/>
          <w:lang w:val="uz-Cyrl-UZ"/>
          <w14:ligatures w14:val="none"/>
        </w:rPr>
      </w:pPr>
      <w:r w:rsidRPr="00071C02">
        <w:rPr>
          <w:rFonts w:ascii="Times New Roman" w:eastAsia="Times New Roman" w:hAnsi="Times New Roman" w:cs="Times New Roman"/>
          <w:b/>
          <w:bCs/>
          <w:kern w:val="0"/>
          <w:sz w:val="24"/>
          <w:szCs w:val="24"/>
          <w:lang w:val="uz-Cyrl-UZ"/>
          <w14:ligatures w14:val="none"/>
        </w:rPr>
        <w:t>(1)</w:t>
      </w:r>
      <w:r w:rsidRPr="00071C02">
        <w:rPr>
          <w:rFonts w:ascii="Times New Roman" w:eastAsia="Times New Roman" w:hAnsi="Times New Roman" w:cs="Times New Roman"/>
          <w:kern w:val="0"/>
          <w:sz w:val="24"/>
          <w:szCs w:val="24"/>
          <w:lang w:val="uz-Cyrl-UZ"/>
          <w14:ligatures w14:val="none"/>
        </w:rPr>
        <w:t xml:space="preserve"> Ampliar la construcción de comunidad, las redes y la ayuda mutua entre quienes participan en la producción, expresión y aplicación de saberes críticos en la educación superior; así como combatir la censura, la intimidación y las represalias dirigidas contra perspectivas críticas.</w:t>
      </w:r>
    </w:p>
    <w:p w14:paraId="518452BD" w14:textId="77777777" w:rsidR="00071C02" w:rsidRPr="00071C02" w:rsidRDefault="00071C02" w:rsidP="00071C02">
      <w:pPr>
        <w:spacing w:before="100" w:beforeAutospacing="1" w:after="100" w:afterAutospacing="1" w:line="240" w:lineRule="auto"/>
        <w:rPr>
          <w:rFonts w:ascii="Times New Roman" w:eastAsia="Times New Roman" w:hAnsi="Times New Roman" w:cs="Times New Roman"/>
          <w:kern w:val="0"/>
          <w:sz w:val="24"/>
          <w:szCs w:val="24"/>
          <w:lang w:val="uz-Cyrl-UZ"/>
          <w14:ligatures w14:val="none"/>
        </w:rPr>
      </w:pPr>
      <w:r w:rsidRPr="00071C02">
        <w:rPr>
          <w:rFonts w:ascii="Times New Roman" w:eastAsia="Times New Roman" w:hAnsi="Times New Roman" w:cs="Times New Roman"/>
          <w:b/>
          <w:bCs/>
          <w:kern w:val="0"/>
          <w:sz w:val="24"/>
          <w:szCs w:val="24"/>
          <w:lang w:val="uz-Cyrl-UZ"/>
          <w14:ligatures w14:val="none"/>
        </w:rPr>
        <w:t>(2)</w:t>
      </w:r>
      <w:r w:rsidRPr="00071C02">
        <w:rPr>
          <w:rFonts w:ascii="Times New Roman" w:eastAsia="Times New Roman" w:hAnsi="Times New Roman" w:cs="Times New Roman"/>
          <w:kern w:val="0"/>
          <w:sz w:val="24"/>
          <w:szCs w:val="24"/>
          <w:lang w:val="uz-Cyrl-UZ"/>
          <w14:ligatures w14:val="none"/>
        </w:rPr>
        <w:t xml:space="preserve"> Apoyar y ampliar la enseñanza, el aprendizaje, la investigación, la producción académica, la defensa, el activismo y otras formas de expresión creativa basadas en el conocimiento crítico. Esto incluye hacer ese conocimiento más práctico, accesible y aplicable en los esfuerzos por fortalecer a las comunidades y su capacidad de toma de decisiones democrática en campus, lugares de trabajo y otros espacios colectivos.</w:t>
      </w:r>
    </w:p>
    <w:p w14:paraId="05AB6DBF" w14:textId="2EC46681" w:rsidR="007C0510" w:rsidRPr="007C0510" w:rsidRDefault="007C0510" w:rsidP="007C0510">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7C0510">
        <w:rPr>
          <w:rFonts w:ascii="Times New Roman" w:eastAsia="Times New Roman" w:hAnsi="Times New Roman" w:cs="Times New Roman"/>
          <w:kern w:val="0"/>
          <w:sz w:val="24"/>
          <w:szCs w:val="24"/>
          <w:lang w:val="es-ES"/>
          <w14:ligatures w14:val="none"/>
        </w:rPr>
        <w:t xml:space="preserve">A través de las actividades de esta nueva formación—el </w:t>
      </w:r>
      <w:proofErr w:type="spellStart"/>
      <w:r w:rsidRPr="007C0510">
        <w:rPr>
          <w:rFonts w:ascii="Times New Roman" w:eastAsia="Times New Roman" w:hAnsi="Times New Roman" w:cs="Times New Roman"/>
          <w:i/>
          <w:iCs/>
          <w:kern w:val="0"/>
          <w:sz w:val="24"/>
          <w:szCs w:val="24"/>
          <w:lang w:val="es-ES"/>
          <w14:ligatures w14:val="none"/>
        </w:rPr>
        <w:t>Critical</w:t>
      </w:r>
      <w:proofErr w:type="spellEnd"/>
      <w:r w:rsidRPr="007C0510">
        <w:rPr>
          <w:rFonts w:ascii="Times New Roman" w:eastAsia="Times New Roman" w:hAnsi="Times New Roman" w:cs="Times New Roman"/>
          <w:i/>
          <w:iCs/>
          <w:kern w:val="0"/>
          <w:sz w:val="24"/>
          <w:szCs w:val="24"/>
          <w:lang w:val="es-ES"/>
          <w14:ligatures w14:val="none"/>
        </w:rPr>
        <w:t xml:space="preserve"> (Legal) </w:t>
      </w:r>
      <w:proofErr w:type="spellStart"/>
      <w:r w:rsidRPr="007C0510">
        <w:rPr>
          <w:rFonts w:ascii="Times New Roman" w:eastAsia="Times New Roman" w:hAnsi="Times New Roman" w:cs="Times New Roman"/>
          <w:i/>
          <w:iCs/>
          <w:kern w:val="0"/>
          <w:sz w:val="24"/>
          <w:szCs w:val="24"/>
          <w:lang w:val="es-ES"/>
          <w14:ligatures w14:val="none"/>
        </w:rPr>
        <w:t>Collective</w:t>
      </w:r>
      <w:proofErr w:type="spellEnd"/>
      <w:r w:rsidRPr="007C0510">
        <w:rPr>
          <w:rFonts w:ascii="Times New Roman" w:eastAsia="Times New Roman" w:hAnsi="Times New Roman" w:cs="Times New Roman"/>
          <w:kern w:val="0"/>
          <w:sz w:val="24"/>
          <w:szCs w:val="24"/>
          <w:lang w:val="es-ES"/>
          <w14:ligatures w14:val="none"/>
        </w:rPr>
        <w:t xml:space="preserve"> (CLC)—aspiramos a ayudar a conectar a personas dentro o entre instituciones de educación superior, para construir saberes, cohesión y poder</w:t>
      </w:r>
      <w:r w:rsidR="002E00A9">
        <w:rPr>
          <w:rFonts w:ascii="Times New Roman" w:hAnsi="Times New Roman" w:cs="Times New Roman"/>
          <w:iCs/>
          <w:sz w:val="24"/>
          <w:szCs w:val="24"/>
          <w:vertAlign w:val="superscript"/>
          <w:lang w:val="es-ES"/>
        </w:rPr>
        <w:t>.</w:t>
      </w:r>
      <w:bookmarkStart w:id="1" w:name="_GoBack"/>
      <w:bookmarkEnd w:id="1"/>
      <w:r w:rsidRPr="007C0510">
        <w:rPr>
          <w:rFonts w:ascii="Times New Roman" w:eastAsia="Times New Roman" w:hAnsi="Times New Roman" w:cs="Times New Roman"/>
          <w:kern w:val="0"/>
          <w:sz w:val="24"/>
          <w:szCs w:val="24"/>
          <w:lang w:val="es-ES"/>
          <w14:ligatures w14:val="none"/>
        </w:rPr>
        <w:t xml:space="preserve"> Como parte de estos esfuerzos del primer año, emprendimos un proyecto para: (1) </w:t>
      </w:r>
      <w:r w:rsidR="00AE6DA5" w:rsidRPr="00FC37AC">
        <w:rPr>
          <w:rFonts w:ascii="Times New Roman" w:eastAsia="Times New Roman" w:hAnsi="Times New Roman" w:cs="Times New Roman"/>
          <w:kern w:val="0"/>
          <w:sz w:val="24"/>
          <w:szCs w:val="24"/>
          <w:lang w:val="es-ES"/>
          <w14:ligatures w14:val="none"/>
        </w:rPr>
        <w:t>cartografiar</w:t>
      </w:r>
      <w:r w:rsidRPr="007C0510">
        <w:rPr>
          <w:rFonts w:ascii="Times New Roman" w:eastAsia="Times New Roman" w:hAnsi="Times New Roman" w:cs="Times New Roman"/>
          <w:kern w:val="0"/>
          <w:sz w:val="24"/>
          <w:szCs w:val="24"/>
          <w:lang w:val="es-ES"/>
          <w14:ligatures w14:val="none"/>
        </w:rPr>
        <w:t>, (2) contactar y (3) conectar a “</w:t>
      </w:r>
      <w:proofErr w:type="spellStart"/>
      <w:r w:rsidRPr="007C0510">
        <w:rPr>
          <w:rFonts w:ascii="Times New Roman" w:eastAsia="Times New Roman" w:hAnsi="Times New Roman" w:cs="Times New Roman"/>
          <w:kern w:val="0"/>
          <w:sz w:val="24"/>
          <w:szCs w:val="24"/>
          <w:lang w:val="es-ES"/>
          <w14:ligatures w14:val="none"/>
        </w:rPr>
        <w:t>crits</w:t>
      </w:r>
      <w:proofErr w:type="spellEnd"/>
      <w:r w:rsidRPr="007C0510">
        <w:rPr>
          <w:rFonts w:ascii="Times New Roman" w:eastAsia="Times New Roman" w:hAnsi="Times New Roman" w:cs="Times New Roman"/>
          <w:kern w:val="0"/>
          <w:sz w:val="24"/>
          <w:szCs w:val="24"/>
          <w:lang w:val="es-ES"/>
          <w14:ligatures w14:val="none"/>
        </w:rPr>
        <w:t>” y amistades dispersas en todo el país, ubicadas (principalmente) en sus facultades de Derecho de origen. Para realizar este proyecto inicial de investigación durante ese primer año, improvisamos un proceso que combinó información pública de libre acceso con conocimiento comunitario</w:t>
      </w:r>
      <w:r w:rsidR="00715A36" w:rsidRPr="00FC37AC">
        <w:rPr>
          <w:rFonts w:ascii="Times New Roman" w:eastAsia="Times New Roman" w:hAnsi="Times New Roman" w:cs="Times New Roman"/>
          <w:kern w:val="0"/>
          <w:sz w:val="24"/>
          <w:szCs w:val="24"/>
          <w:lang w:val="es-ES"/>
          <w14:ligatures w14:val="none"/>
        </w:rPr>
        <w:t>. Esto</w:t>
      </w:r>
      <w:r w:rsidRPr="007C0510">
        <w:rPr>
          <w:rFonts w:ascii="Times New Roman" w:eastAsia="Times New Roman" w:hAnsi="Times New Roman" w:cs="Times New Roman"/>
          <w:kern w:val="0"/>
          <w:sz w:val="24"/>
          <w:szCs w:val="24"/>
          <w:lang w:val="es-ES"/>
          <w14:ligatures w14:val="none"/>
        </w:rPr>
        <w:t xml:space="preserve"> con el fin de elaborar </w:t>
      </w:r>
      <w:r w:rsidR="00AE6DA5" w:rsidRPr="00FC37AC">
        <w:rPr>
          <w:rFonts w:ascii="Times New Roman" w:eastAsia="Times New Roman" w:hAnsi="Times New Roman" w:cs="Times New Roman"/>
          <w:kern w:val="0"/>
          <w:sz w:val="24"/>
          <w:szCs w:val="24"/>
          <w:lang w:val="es-ES"/>
          <w14:ligatures w14:val="none"/>
        </w:rPr>
        <w:t>la cartografía</w:t>
      </w:r>
      <w:r w:rsidRPr="007C0510">
        <w:rPr>
          <w:rFonts w:ascii="Times New Roman" w:eastAsia="Times New Roman" w:hAnsi="Times New Roman" w:cs="Times New Roman"/>
          <w:kern w:val="0"/>
          <w:sz w:val="24"/>
          <w:szCs w:val="24"/>
          <w:lang w:val="es-ES"/>
          <w14:ligatures w14:val="none"/>
        </w:rPr>
        <w:t xml:space="preserve"> más complet</w:t>
      </w:r>
      <w:r w:rsidR="00AE6DA5" w:rsidRPr="00FC37AC">
        <w:rPr>
          <w:rFonts w:ascii="Times New Roman" w:eastAsia="Times New Roman" w:hAnsi="Times New Roman" w:cs="Times New Roman"/>
          <w:kern w:val="0"/>
          <w:sz w:val="24"/>
          <w:szCs w:val="24"/>
          <w:lang w:val="es-ES"/>
          <w14:ligatures w14:val="none"/>
        </w:rPr>
        <w:t>a</w:t>
      </w:r>
      <w:r w:rsidRPr="007C0510">
        <w:rPr>
          <w:rFonts w:ascii="Times New Roman" w:eastAsia="Times New Roman" w:hAnsi="Times New Roman" w:cs="Times New Roman"/>
          <w:kern w:val="0"/>
          <w:sz w:val="24"/>
          <w:szCs w:val="24"/>
          <w:lang w:val="es-ES"/>
          <w14:ligatures w14:val="none"/>
        </w:rPr>
        <w:t xml:space="preserve"> posible de personas docentes y académicas críticas en las escuelas de Derecho de los Estados Unidos. Este esfuerzo de </w:t>
      </w:r>
      <w:r w:rsidR="00AE6DA5" w:rsidRPr="00FC37AC">
        <w:rPr>
          <w:rFonts w:ascii="Times New Roman" w:eastAsia="Times New Roman" w:hAnsi="Times New Roman" w:cs="Times New Roman"/>
          <w:kern w:val="0"/>
          <w:sz w:val="24"/>
          <w:szCs w:val="24"/>
          <w:lang w:val="es-ES"/>
          <w14:ligatures w14:val="none"/>
        </w:rPr>
        <w:t>cartografiar</w:t>
      </w:r>
      <w:r w:rsidRPr="007C0510">
        <w:rPr>
          <w:rFonts w:ascii="Times New Roman" w:eastAsia="Times New Roman" w:hAnsi="Times New Roman" w:cs="Times New Roman"/>
          <w:kern w:val="0"/>
          <w:sz w:val="24"/>
          <w:szCs w:val="24"/>
          <w:lang w:val="es-ES"/>
          <w14:ligatures w14:val="none"/>
        </w:rPr>
        <w:t>—de identificar e incluir para contactar y colaborar—permanece incompleto y en desarrollo, siempre sujeto a revisiones, a medida que las personas y las circunstancias cambian de año en año.</w:t>
      </w:r>
    </w:p>
    <w:p w14:paraId="1AC58261" w14:textId="77777777" w:rsidR="008C2E4D" w:rsidRPr="008C2E4D" w:rsidRDefault="008C2E4D" w:rsidP="008C2E4D">
      <w:pPr>
        <w:spacing w:before="100" w:beforeAutospacing="1" w:after="100" w:afterAutospacing="1" w:line="240" w:lineRule="auto"/>
        <w:rPr>
          <w:rFonts w:ascii="Times New Roman" w:eastAsia="Times New Roman" w:hAnsi="Times New Roman" w:cs="Times New Roman"/>
          <w:kern w:val="0"/>
          <w:sz w:val="24"/>
          <w:szCs w:val="24"/>
          <w:lang w:val="es-ES"/>
          <w14:ligatures w14:val="none"/>
        </w:rPr>
      </w:pPr>
      <w:r w:rsidRPr="008C2E4D">
        <w:rPr>
          <w:rFonts w:ascii="Times New Roman" w:eastAsia="Times New Roman" w:hAnsi="Times New Roman" w:cs="Times New Roman"/>
          <w:kern w:val="0"/>
          <w:sz w:val="24"/>
          <w:szCs w:val="24"/>
          <w:lang w:val="es-ES"/>
          <w14:ligatures w14:val="none"/>
        </w:rPr>
        <w:t xml:space="preserve">Los hallazgos que se resumen a continuación describen una diáspora jurídica crítica compuesta por profesorado, estudiantes, decanatos y centros que, al entrelazarse, podrían convertirse en una fuerza potente a favor de la verdad, la justicia y la equidad en el Derecho y en la sociedad. Ayudar a transitar, de forma intencional, de esa diáspora hacia una colectividad activa constituye uno de los objetivos principales del </w:t>
      </w:r>
      <w:proofErr w:type="spellStart"/>
      <w:r w:rsidRPr="008C2E4D">
        <w:rPr>
          <w:rFonts w:ascii="Times New Roman" w:eastAsia="Times New Roman" w:hAnsi="Times New Roman" w:cs="Times New Roman"/>
          <w:i/>
          <w:iCs/>
          <w:kern w:val="0"/>
          <w:sz w:val="24"/>
          <w:szCs w:val="24"/>
          <w:lang w:val="es-ES"/>
          <w14:ligatures w14:val="none"/>
        </w:rPr>
        <w:t>Critical</w:t>
      </w:r>
      <w:proofErr w:type="spellEnd"/>
      <w:r w:rsidRPr="008C2E4D">
        <w:rPr>
          <w:rFonts w:ascii="Times New Roman" w:eastAsia="Times New Roman" w:hAnsi="Times New Roman" w:cs="Times New Roman"/>
          <w:i/>
          <w:iCs/>
          <w:kern w:val="0"/>
          <w:sz w:val="24"/>
          <w:szCs w:val="24"/>
          <w:lang w:val="es-ES"/>
          <w14:ligatures w14:val="none"/>
        </w:rPr>
        <w:t xml:space="preserve"> (Legal) </w:t>
      </w:r>
      <w:proofErr w:type="spellStart"/>
      <w:r w:rsidRPr="008C2E4D">
        <w:rPr>
          <w:rFonts w:ascii="Times New Roman" w:eastAsia="Times New Roman" w:hAnsi="Times New Roman" w:cs="Times New Roman"/>
          <w:i/>
          <w:iCs/>
          <w:kern w:val="0"/>
          <w:sz w:val="24"/>
          <w:szCs w:val="24"/>
          <w:lang w:val="es-ES"/>
          <w14:ligatures w14:val="none"/>
        </w:rPr>
        <w:t>Collective</w:t>
      </w:r>
      <w:proofErr w:type="spellEnd"/>
      <w:r w:rsidRPr="008C2E4D">
        <w:rPr>
          <w:rFonts w:ascii="Times New Roman" w:eastAsia="Times New Roman" w:hAnsi="Times New Roman" w:cs="Times New Roman"/>
          <w:kern w:val="0"/>
          <w:sz w:val="24"/>
          <w:szCs w:val="24"/>
          <w:lang w:val="es-ES"/>
          <w14:ligatures w14:val="none"/>
        </w:rPr>
        <w:t>. Este ejercicio inicial de mapeo es solo una de las formas posibles para impulsar esa convergencia crítica, especialmente en el contexto de las guerras culturales. Al identificar quiénes somos y dónde estamos, los hallazgos que se presentan a continuación buscan ayudar a organizar y movilizar las potencialidades jurídicas críticas en favor de una justicia igualitaria para todas las personas.</w:t>
      </w:r>
    </w:p>
    <w:p w14:paraId="1F18DA31" w14:textId="61620996" w:rsidR="009A7361" w:rsidRPr="00FC37AC" w:rsidRDefault="008230D4" w:rsidP="008D35D0">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8230D4">
        <w:rPr>
          <w:rFonts w:ascii="Times New Roman" w:eastAsia="Times New Roman" w:hAnsi="Times New Roman" w:cs="Times New Roman"/>
          <w:kern w:val="0"/>
          <w:sz w:val="24"/>
          <w:szCs w:val="24"/>
          <w:lang w:val="es-ES"/>
          <w14:ligatures w14:val="none"/>
        </w:rPr>
        <w:t>Los hallazgos que se resumen a continuación describen una diáspora jurídica crítica compuesta por profesorado, estudiantes, decanatos y centros que, al entrelazarse, podrían convertirse en una fuerza potente a favor de la verdad, la justicia y la equidad</w:t>
      </w:r>
      <w:r w:rsidR="000B1F6A" w:rsidRPr="00FC37AC">
        <w:rPr>
          <w:rFonts w:ascii="Times New Roman" w:eastAsia="Times New Roman" w:hAnsi="Times New Roman" w:cs="Times New Roman"/>
          <w:kern w:val="0"/>
          <w:sz w:val="24"/>
          <w:szCs w:val="24"/>
          <w:lang w:val="es-ES"/>
          <w14:ligatures w14:val="none"/>
        </w:rPr>
        <w:t>,</w:t>
      </w:r>
      <w:r w:rsidRPr="008230D4">
        <w:rPr>
          <w:rFonts w:ascii="Times New Roman" w:eastAsia="Times New Roman" w:hAnsi="Times New Roman" w:cs="Times New Roman"/>
          <w:kern w:val="0"/>
          <w:sz w:val="24"/>
          <w:szCs w:val="24"/>
          <w:lang w:val="es-ES"/>
          <w14:ligatures w14:val="none"/>
        </w:rPr>
        <w:t xml:space="preserve"> en el Derecho y en la sociedad. Ayudar a transitar, de forma intencional, de esa diáspora hacia una colectividad activa constituye uno de los objetivos principales del </w:t>
      </w:r>
      <w:proofErr w:type="spellStart"/>
      <w:r w:rsidRPr="008230D4">
        <w:rPr>
          <w:rFonts w:ascii="Times New Roman" w:eastAsia="Times New Roman" w:hAnsi="Times New Roman" w:cs="Times New Roman"/>
          <w:i/>
          <w:iCs/>
          <w:kern w:val="0"/>
          <w:sz w:val="24"/>
          <w:szCs w:val="24"/>
          <w:lang w:val="es-ES"/>
          <w14:ligatures w14:val="none"/>
        </w:rPr>
        <w:t>Critical</w:t>
      </w:r>
      <w:proofErr w:type="spellEnd"/>
      <w:r w:rsidRPr="008230D4">
        <w:rPr>
          <w:rFonts w:ascii="Times New Roman" w:eastAsia="Times New Roman" w:hAnsi="Times New Roman" w:cs="Times New Roman"/>
          <w:i/>
          <w:iCs/>
          <w:kern w:val="0"/>
          <w:sz w:val="24"/>
          <w:szCs w:val="24"/>
          <w:lang w:val="es-ES"/>
          <w14:ligatures w14:val="none"/>
        </w:rPr>
        <w:t xml:space="preserve"> (Legal) </w:t>
      </w:r>
      <w:proofErr w:type="spellStart"/>
      <w:r w:rsidRPr="008230D4">
        <w:rPr>
          <w:rFonts w:ascii="Times New Roman" w:eastAsia="Times New Roman" w:hAnsi="Times New Roman" w:cs="Times New Roman"/>
          <w:i/>
          <w:iCs/>
          <w:kern w:val="0"/>
          <w:sz w:val="24"/>
          <w:szCs w:val="24"/>
          <w:lang w:val="es-ES"/>
          <w14:ligatures w14:val="none"/>
        </w:rPr>
        <w:t>Collective</w:t>
      </w:r>
      <w:proofErr w:type="spellEnd"/>
      <w:r w:rsidRPr="008230D4">
        <w:rPr>
          <w:rFonts w:ascii="Times New Roman" w:eastAsia="Times New Roman" w:hAnsi="Times New Roman" w:cs="Times New Roman"/>
          <w:kern w:val="0"/>
          <w:sz w:val="24"/>
          <w:szCs w:val="24"/>
          <w:lang w:val="es-ES"/>
          <w14:ligatures w14:val="none"/>
        </w:rPr>
        <w:t xml:space="preserve">. Este ejercicio inicial de </w:t>
      </w:r>
      <w:r w:rsidR="00B21ADD" w:rsidRPr="00FC37AC">
        <w:rPr>
          <w:rFonts w:ascii="Times New Roman" w:eastAsia="Times New Roman" w:hAnsi="Times New Roman" w:cs="Times New Roman"/>
          <w:kern w:val="0"/>
          <w:sz w:val="24"/>
          <w:szCs w:val="24"/>
          <w:lang w:val="es-ES"/>
          <w14:ligatures w14:val="none"/>
        </w:rPr>
        <w:t>cartografía</w:t>
      </w:r>
      <w:r w:rsidRPr="008230D4">
        <w:rPr>
          <w:rFonts w:ascii="Times New Roman" w:eastAsia="Times New Roman" w:hAnsi="Times New Roman" w:cs="Times New Roman"/>
          <w:kern w:val="0"/>
          <w:sz w:val="24"/>
          <w:szCs w:val="24"/>
          <w:lang w:val="es-ES"/>
          <w14:ligatures w14:val="none"/>
        </w:rPr>
        <w:t xml:space="preserve"> es solo una de las formas posibles para impulsar esa convergencia crítica, especialmente en el contexto de las guerras culturales. Al identificar quiénes somos y dónde estamos, los hallazgos que se presentan a continuación buscan ayudar a organizar y movilizar las potencialidades jurídicas críticas</w:t>
      </w:r>
      <w:r w:rsidR="008D35D0" w:rsidRPr="00FC37AC">
        <w:rPr>
          <w:rFonts w:ascii="Times New Roman" w:eastAsia="Times New Roman" w:hAnsi="Times New Roman" w:cs="Times New Roman"/>
          <w:kern w:val="0"/>
          <w:sz w:val="24"/>
          <w:szCs w:val="24"/>
          <w:lang w:val="es-ES"/>
          <w14:ligatures w14:val="none"/>
        </w:rPr>
        <w:t>,</w:t>
      </w:r>
      <w:r w:rsidRPr="008230D4">
        <w:rPr>
          <w:rFonts w:ascii="Times New Roman" w:eastAsia="Times New Roman" w:hAnsi="Times New Roman" w:cs="Times New Roman"/>
          <w:kern w:val="0"/>
          <w:sz w:val="24"/>
          <w:szCs w:val="24"/>
          <w:lang w:val="es-ES"/>
          <w14:ligatures w14:val="none"/>
        </w:rPr>
        <w:t xml:space="preserve"> en favor de una justicia igualitaria para todas las personas.</w:t>
      </w:r>
      <w:r w:rsidR="000B2755" w:rsidRPr="00FC37AC">
        <w:rPr>
          <w:rFonts w:ascii="Times New Roman" w:hAnsi="Times New Roman" w:cs="Times New Roman"/>
          <w:iCs/>
          <w:sz w:val="24"/>
          <w:szCs w:val="24"/>
          <w:vertAlign w:val="superscript"/>
          <w:lang w:val="es-ES"/>
        </w:rPr>
        <w:br w:type="page"/>
      </w:r>
    </w:p>
    <w:p w14:paraId="788F948A" w14:textId="236FFDB3" w:rsidR="00952680" w:rsidRPr="00FC37AC" w:rsidRDefault="00301BFC" w:rsidP="00301BFC">
      <w:pPr>
        <w:spacing w:after="0" w:line="240" w:lineRule="auto"/>
        <w:rPr>
          <w:rFonts w:ascii="Times New Roman" w:hAnsi="Times New Roman" w:cs="Times New Roman"/>
          <w:i/>
          <w:smallCaps/>
          <w:sz w:val="24"/>
          <w:szCs w:val="24"/>
          <w:lang w:val="es-ES"/>
        </w:rPr>
      </w:pPr>
      <w:proofErr w:type="spellStart"/>
      <w:r w:rsidRPr="00FC37AC">
        <w:rPr>
          <w:rFonts w:ascii="Times New Roman" w:hAnsi="Times New Roman" w:cs="Times New Roman"/>
          <w:b/>
          <w:i/>
          <w:smallCaps/>
          <w:sz w:val="24"/>
          <w:szCs w:val="24"/>
          <w:lang w:val="es-ES"/>
        </w:rPr>
        <w:lastRenderedPageBreak/>
        <w:t>Critical</w:t>
      </w:r>
      <w:proofErr w:type="spellEnd"/>
      <w:r w:rsidRPr="00FC37AC">
        <w:rPr>
          <w:rFonts w:ascii="Times New Roman" w:hAnsi="Times New Roman" w:cs="Times New Roman"/>
          <w:b/>
          <w:i/>
          <w:smallCaps/>
          <w:sz w:val="24"/>
          <w:szCs w:val="24"/>
          <w:lang w:val="es-ES"/>
        </w:rPr>
        <w:t xml:space="preserve"> Legal </w:t>
      </w:r>
      <w:proofErr w:type="spellStart"/>
      <w:r w:rsidRPr="00FC37AC">
        <w:rPr>
          <w:rFonts w:ascii="Times New Roman" w:hAnsi="Times New Roman" w:cs="Times New Roman"/>
          <w:b/>
          <w:i/>
          <w:smallCaps/>
          <w:sz w:val="24"/>
          <w:szCs w:val="24"/>
          <w:lang w:val="es-ES"/>
        </w:rPr>
        <w:t>America</w:t>
      </w:r>
      <w:proofErr w:type="spellEnd"/>
      <w:r w:rsidRPr="00FC37AC">
        <w:rPr>
          <w:rFonts w:ascii="Times New Roman" w:hAnsi="Times New Roman" w:cs="Times New Roman"/>
          <w:b/>
          <w:i/>
          <w:smallCaps/>
          <w:sz w:val="24"/>
          <w:szCs w:val="24"/>
          <w:lang w:val="es-ES"/>
        </w:rPr>
        <w:t>, 2022-23</w:t>
      </w:r>
      <w:r w:rsidRPr="00FC37AC">
        <w:rPr>
          <w:rFonts w:ascii="Times New Roman" w:hAnsi="Times New Roman" w:cs="Times New Roman"/>
          <w:i/>
          <w:smallCaps/>
          <w:sz w:val="24"/>
          <w:szCs w:val="24"/>
          <w:lang w:val="es-ES"/>
        </w:rPr>
        <w:t>.</w:t>
      </w:r>
      <w:r w:rsidR="00AB73E3" w:rsidRPr="00FC37AC">
        <w:rPr>
          <w:rStyle w:val="FootnoteReference"/>
          <w:rFonts w:ascii="Times New Roman" w:hAnsi="Times New Roman" w:cs="Times New Roman"/>
          <w:i/>
          <w:smallCaps/>
          <w:sz w:val="24"/>
          <w:szCs w:val="24"/>
          <w:lang w:val="es-ES"/>
        </w:rPr>
        <w:footnoteReference w:customMarkFollows="1" w:id="36"/>
        <w:t>37</w:t>
      </w:r>
      <w:r w:rsidRPr="00FC37AC">
        <w:rPr>
          <w:rFonts w:ascii="Times New Roman" w:hAnsi="Times New Roman" w:cs="Times New Roman"/>
          <w:i/>
          <w:smallCaps/>
          <w:sz w:val="24"/>
          <w:szCs w:val="24"/>
          <w:lang w:val="es-ES"/>
        </w:rPr>
        <w:tab/>
      </w:r>
      <w:r w:rsidRPr="00FC37AC">
        <w:rPr>
          <w:rFonts w:ascii="Times New Roman" w:hAnsi="Times New Roman" w:cs="Times New Roman"/>
          <w:i/>
          <w:smallCaps/>
          <w:sz w:val="24"/>
          <w:szCs w:val="24"/>
          <w:lang w:val="es-ES"/>
        </w:rPr>
        <w:tab/>
      </w:r>
      <w:r w:rsidRPr="00FC37AC">
        <w:rPr>
          <w:rFonts w:ascii="Times New Roman" w:hAnsi="Times New Roman" w:cs="Times New Roman"/>
          <w:i/>
          <w:smallCaps/>
          <w:sz w:val="24"/>
          <w:szCs w:val="24"/>
          <w:lang w:val="es-ES"/>
        </w:rPr>
        <w:tab/>
      </w:r>
      <w:r w:rsidRPr="00FC37AC">
        <w:rPr>
          <w:rFonts w:ascii="Times New Roman" w:hAnsi="Times New Roman" w:cs="Times New Roman"/>
          <w:i/>
          <w:smallCaps/>
          <w:sz w:val="24"/>
          <w:szCs w:val="24"/>
          <w:lang w:val="es-ES"/>
        </w:rPr>
        <w:tab/>
      </w:r>
      <w:r w:rsidR="00A62801" w:rsidRPr="00FC37AC">
        <w:rPr>
          <w:rFonts w:ascii="Times New Roman" w:hAnsi="Times New Roman" w:cs="Times New Roman"/>
          <w:i/>
          <w:smallCaps/>
          <w:sz w:val="24"/>
          <w:szCs w:val="24"/>
          <w:lang w:val="es-ES"/>
        </w:rPr>
        <w:t xml:space="preserve">          </w:t>
      </w:r>
      <w:r w:rsidR="00A62801" w:rsidRPr="00FC37AC">
        <w:rPr>
          <w:rFonts w:ascii="Times New Roman" w:hAnsi="Times New Roman" w:cs="Times New Roman"/>
          <w:b/>
          <w:i/>
          <w:iCs/>
          <w:sz w:val="24"/>
          <w:szCs w:val="24"/>
          <w:lang w:val="es-ES"/>
        </w:rPr>
        <w:t>Tabulación</w:t>
      </w:r>
      <w:r w:rsidRPr="00FC37AC">
        <w:rPr>
          <w:rFonts w:ascii="Times New Roman" w:hAnsi="Times New Roman" w:cs="Times New Roman"/>
          <w:b/>
          <w:i/>
          <w:iCs/>
          <w:sz w:val="24"/>
          <w:szCs w:val="24"/>
          <w:lang w:val="es-ES"/>
        </w:rPr>
        <w:t xml:space="preserve"> </w:t>
      </w:r>
      <w:r w:rsidR="00A62801" w:rsidRPr="00FC37AC">
        <w:rPr>
          <w:rFonts w:ascii="Times New Roman" w:hAnsi="Times New Roman" w:cs="Times New Roman"/>
          <w:b/>
          <w:i/>
          <w:iCs/>
          <w:sz w:val="24"/>
          <w:szCs w:val="24"/>
          <w:lang w:val="es-ES"/>
        </w:rPr>
        <w:t xml:space="preserve">  Porcentaje</w:t>
      </w:r>
    </w:p>
    <w:p w14:paraId="4CEB9377" w14:textId="77777777" w:rsidR="00021B3A" w:rsidRPr="00FC37AC" w:rsidRDefault="00021B3A" w:rsidP="00B06E12">
      <w:pPr>
        <w:tabs>
          <w:tab w:val="left" w:pos="8100"/>
        </w:tabs>
        <w:spacing w:after="0" w:line="240" w:lineRule="auto"/>
        <w:rPr>
          <w:rFonts w:ascii="Times New Roman" w:hAnsi="Times New Roman" w:cs="Times New Roman"/>
          <w:b/>
          <w:i/>
          <w:iCs/>
          <w:sz w:val="24"/>
          <w:szCs w:val="24"/>
          <w:lang w:val="es-ES"/>
        </w:rPr>
      </w:pPr>
      <w:r w:rsidRPr="00FC37AC">
        <w:rPr>
          <w:rFonts w:ascii="Times New Roman" w:hAnsi="Times New Roman" w:cs="Times New Roman"/>
          <w:b/>
          <w:i/>
          <w:iCs/>
          <w:sz w:val="24"/>
          <w:szCs w:val="24"/>
          <w:lang w:val="es-ES"/>
        </w:rPr>
        <w:t>Totales generales organizados por escuelas, estudiantes, profesorado y organizaciones</w:t>
      </w:r>
    </w:p>
    <w:p w14:paraId="07634A72" w14:textId="5EC3EE5F" w:rsidR="00952680" w:rsidRPr="00FC37AC" w:rsidRDefault="007A15A4" w:rsidP="007A15A4">
      <w:pPr>
        <w:tabs>
          <w:tab w:val="left" w:pos="8100"/>
        </w:tabs>
        <w:spacing w:after="0" w:line="240" w:lineRule="auto"/>
        <w:ind w:firstLine="360"/>
        <w:rPr>
          <w:rFonts w:ascii="Times New Roman" w:hAnsi="Times New Roman" w:cs="Times New Roman"/>
          <w:iCs/>
          <w:sz w:val="24"/>
          <w:szCs w:val="24"/>
          <w:lang w:val="es-ES"/>
        </w:rPr>
      </w:pPr>
      <w:r w:rsidRPr="007A15A4">
        <w:rPr>
          <w:rFonts w:ascii="Times New Roman" w:hAnsi="Times New Roman" w:cs="Times New Roman"/>
          <w:iCs/>
          <w:sz w:val="24"/>
          <w:szCs w:val="24"/>
          <w:lang w:val="es-ES"/>
        </w:rPr>
        <w:t>Total de escuelas</w:t>
      </w:r>
      <w:r w:rsidR="00952680" w:rsidRPr="00FC37AC">
        <w:rPr>
          <w:rFonts w:ascii="Times New Roman" w:hAnsi="Times New Roman" w:cs="Times New Roman"/>
          <w:iCs/>
          <w:sz w:val="24"/>
          <w:szCs w:val="24"/>
          <w:lang w:val="es-ES"/>
        </w:rPr>
        <w:tab/>
        <w:t>200</w:t>
      </w:r>
    </w:p>
    <w:p w14:paraId="072BB502" w14:textId="0546AC6F" w:rsidR="00952680" w:rsidRPr="00FC37AC" w:rsidRDefault="00952680" w:rsidP="0092789E">
      <w:pPr>
        <w:tabs>
          <w:tab w:val="left" w:pos="7920"/>
        </w:tabs>
        <w:spacing w:after="0" w:line="240" w:lineRule="auto"/>
        <w:ind w:firstLine="360"/>
        <w:rPr>
          <w:rFonts w:ascii="Times New Roman" w:hAnsi="Times New Roman" w:cs="Times New Roman"/>
          <w:iCs/>
          <w:sz w:val="24"/>
          <w:szCs w:val="24"/>
          <w:lang w:val="es-ES"/>
        </w:rPr>
      </w:pPr>
      <w:r w:rsidRPr="00FC37AC">
        <w:rPr>
          <w:rFonts w:ascii="Times New Roman" w:hAnsi="Times New Roman" w:cs="Times New Roman"/>
          <w:iCs/>
          <w:sz w:val="24"/>
          <w:szCs w:val="24"/>
          <w:lang w:val="es-ES"/>
        </w:rPr>
        <w:t xml:space="preserve">Total </w:t>
      </w:r>
      <w:r w:rsidR="007A15A4" w:rsidRPr="00FC37AC">
        <w:rPr>
          <w:rFonts w:ascii="Times New Roman" w:hAnsi="Times New Roman" w:cs="Times New Roman"/>
          <w:iCs/>
          <w:sz w:val="24"/>
          <w:szCs w:val="24"/>
          <w:lang w:val="es-ES"/>
        </w:rPr>
        <w:t>de estudiantes</w:t>
      </w:r>
      <w:r w:rsidRPr="00FC37AC">
        <w:rPr>
          <w:rFonts w:ascii="Times New Roman" w:hAnsi="Times New Roman" w:cs="Times New Roman"/>
          <w:iCs/>
          <w:sz w:val="24"/>
          <w:szCs w:val="24"/>
          <w:lang w:val="es-ES"/>
        </w:rPr>
        <w:tab/>
        <w:t>100,295</w:t>
      </w:r>
    </w:p>
    <w:p w14:paraId="32CBCD0B" w14:textId="38C1E51E" w:rsidR="00952680" w:rsidRPr="00FC37AC" w:rsidRDefault="00952680" w:rsidP="0092789E">
      <w:pPr>
        <w:tabs>
          <w:tab w:val="left" w:pos="8100"/>
        </w:tabs>
        <w:spacing w:after="0" w:line="240" w:lineRule="auto"/>
        <w:ind w:firstLine="360"/>
        <w:rPr>
          <w:rFonts w:ascii="Times New Roman" w:hAnsi="Times New Roman" w:cs="Times New Roman"/>
          <w:iCs/>
          <w:sz w:val="24"/>
          <w:szCs w:val="24"/>
          <w:lang w:val="es-ES"/>
        </w:rPr>
      </w:pPr>
      <w:r w:rsidRPr="00FC37AC">
        <w:rPr>
          <w:rFonts w:ascii="Times New Roman" w:hAnsi="Times New Roman" w:cs="Times New Roman"/>
          <w:iCs/>
          <w:sz w:val="24"/>
          <w:szCs w:val="24"/>
          <w:lang w:val="es-ES"/>
        </w:rPr>
        <w:t xml:space="preserve">Total </w:t>
      </w:r>
      <w:r w:rsidR="007A15A4" w:rsidRPr="00FC37AC">
        <w:rPr>
          <w:rFonts w:ascii="Times New Roman" w:hAnsi="Times New Roman" w:cs="Times New Roman"/>
          <w:iCs/>
          <w:sz w:val="24"/>
          <w:szCs w:val="24"/>
          <w:lang w:val="es-ES"/>
        </w:rPr>
        <w:t>de facultad</w:t>
      </w:r>
      <w:r w:rsidRPr="00FC37AC">
        <w:rPr>
          <w:rFonts w:ascii="Times New Roman" w:hAnsi="Times New Roman" w:cs="Times New Roman"/>
          <w:iCs/>
          <w:sz w:val="24"/>
          <w:szCs w:val="24"/>
          <w:lang w:val="es-ES"/>
        </w:rPr>
        <w:tab/>
        <w:t>798*</w:t>
      </w:r>
    </w:p>
    <w:p w14:paraId="4F85E521" w14:textId="3B46CD4F" w:rsidR="00952680" w:rsidRPr="00FC37AC" w:rsidRDefault="00952680" w:rsidP="0092789E">
      <w:pPr>
        <w:tabs>
          <w:tab w:val="left" w:pos="8190"/>
        </w:tabs>
        <w:spacing w:after="0" w:line="240" w:lineRule="auto"/>
        <w:ind w:firstLine="360"/>
        <w:rPr>
          <w:rFonts w:ascii="Times New Roman" w:hAnsi="Times New Roman" w:cs="Times New Roman"/>
          <w:iCs/>
          <w:sz w:val="24"/>
          <w:szCs w:val="24"/>
          <w:lang w:val="es-ES"/>
        </w:rPr>
      </w:pPr>
      <w:r w:rsidRPr="00FC37AC">
        <w:rPr>
          <w:rFonts w:ascii="Times New Roman" w:hAnsi="Times New Roman" w:cs="Times New Roman"/>
          <w:iCs/>
          <w:sz w:val="24"/>
          <w:szCs w:val="24"/>
          <w:lang w:val="es-ES"/>
        </w:rPr>
        <w:t>Total</w:t>
      </w:r>
      <w:r w:rsidR="007A15A4" w:rsidRPr="00FC37AC">
        <w:rPr>
          <w:rFonts w:ascii="Times New Roman" w:hAnsi="Times New Roman" w:cs="Times New Roman"/>
          <w:iCs/>
          <w:sz w:val="24"/>
          <w:szCs w:val="24"/>
          <w:lang w:val="es-ES"/>
        </w:rPr>
        <w:t xml:space="preserve"> de organizaciones aliadas</w:t>
      </w:r>
      <w:r w:rsidRPr="00FC37AC">
        <w:rPr>
          <w:rFonts w:ascii="Times New Roman" w:hAnsi="Times New Roman" w:cs="Times New Roman"/>
          <w:iCs/>
          <w:sz w:val="24"/>
          <w:szCs w:val="24"/>
          <w:lang w:val="es-ES"/>
        </w:rPr>
        <w:tab/>
        <w:t>17</w:t>
      </w:r>
    </w:p>
    <w:p w14:paraId="381C0E91" w14:textId="77777777" w:rsidR="0092789E" w:rsidRPr="00FC37AC" w:rsidRDefault="0092789E" w:rsidP="0055022A">
      <w:pPr>
        <w:spacing w:after="0" w:line="240" w:lineRule="auto"/>
        <w:rPr>
          <w:rFonts w:ascii="Times New Roman" w:hAnsi="Times New Roman" w:cs="Times New Roman"/>
          <w:iCs/>
          <w:sz w:val="24"/>
          <w:szCs w:val="24"/>
          <w:lang w:val="es-ES"/>
        </w:rPr>
      </w:pPr>
    </w:p>
    <w:p w14:paraId="5E4D012F" w14:textId="77777777" w:rsidR="00B06E12" w:rsidRPr="00FC37AC" w:rsidRDefault="00B06E12" w:rsidP="00B06E12">
      <w:pPr>
        <w:tabs>
          <w:tab w:val="left" w:pos="8100"/>
          <w:tab w:val="left" w:pos="8820"/>
        </w:tabs>
        <w:spacing w:after="0" w:line="240" w:lineRule="auto"/>
        <w:rPr>
          <w:rFonts w:ascii="Times New Roman" w:hAnsi="Times New Roman" w:cs="Times New Roman"/>
          <w:b/>
          <w:i/>
          <w:iCs/>
          <w:sz w:val="24"/>
          <w:szCs w:val="24"/>
          <w:lang w:val="es-ES"/>
        </w:rPr>
      </w:pPr>
      <w:r w:rsidRPr="00FC37AC">
        <w:rPr>
          <w:rFonts w:ascii="Times New Roman" w:hAnsi="Times New Roman" w:cs="Times New Roman"/>
          <w:b/>
          <w:i/>
          <w:iCs/>
          <w:sz w:val="24"/>
          <w:szCs w:val="24"/>
          <w:lang w:val="es-ES"/>
        </w:rPr>
        <w:t>Categorías de escuelas según número de contactos del profesorado</w:t>
      </w:r>
    </w:p>
    <w:p w14:paraId="375E8E00" w14:textId="792FDCDC" w:rsidR="0092789E" w:rsidRPr="00FC37AC" w:rsidRDefault="00B06E12" w:rsidP="00B06E12">
      <w:pPr>
        <w:tabs>
          <w:tab w:val="left" w:pos="8100"/>
          <w:tab w:val="left" w:pos="8820"/>
        </w:tabs>
        <w:spacing w:after="0" w:line="240" w:lineRule="auto"/>
        <w:rPr>
          <w:rFonts w:ascii="Times New Roman" w:hAnsi="Times New Roman" w:cs="Times New Roman"/>
          <w:iCs/>
          <w:sz w:val="24"/>
          <w:szCs w:val="24"/>
          <w:lang w:val="es-ES"/>
        </w:rPr>
      </w:pPr>
      <w:r w:rsidRPr="00FC37AC">
        <w:rPr>
          <w:rFonts w:ascii="Times New Roman" w:hAnsi="Times New Roman" w:cs="Times New Roman"/>
          <w:b/>
          <w:i/>
          <w:iCs/>
          <w:sz w:val="24"/>
          <w:szCs w:val="24"/>
          <w:lang w:val="es-ES"/>
        </w:rPr>
        <w:t xml:space="preserve">      </w:t>
      </w:r>
      <w:r w:rsidR="00A51EE3" w:rsidRPr="00FC37AC">
        <w:rPr>
          <w:rFonts w:ascii="Times New Roman" w:hAnsi="Times New Roman" w:cs="Times New Roman"/>
          <w:iCs/>
          <w:sz w:val="24"/>
          <w:szCs w:val="24"/>
          <w:lang w:val="es-ES"/>
        </w:rPr>
        <w:t>Escuelas con 0 contactos (de 200)</w:t>
      </w:r>
      <w:r w:rsidR="0092789E" w:rsidRPr="00FC37AC">
        <w:rPr>
          <w:rFonts w:ascii="Times New Roman" w:hAnsi="Times New Roman" w:cs="Times New Roman"/>
          <w:iCs/>
          <w:sz w:val="24"/>
          <w:szCs w:val="24"/>
          <w:lang w:val="es-ES"/>
        </w:rPr>
        <w:tab/>
        <w:t>34</w:t>
      </w:r>
      <w:r w:rsidR="00DB206A" w:rsidRPr="00FC37AC">
        <w:rPr>
          <w:rFonts w:ascii="Times New Roman" w:hAnsi="Times New Roman" w:cs="Times New Roman"/>
          <w:iCs/>
          <w:sz w:val="24"/>
          <w:szCs w:val="24"/>
          <w:lang w:val="es-ES"/>
        </w:rPr>
        <w:t xml:space="preserve"> </w:t>
      </w:r>
      <w:r w:rsidR="00DB206A" w:rsidRPr="00FC37AC">
        <w:rPr>
          <w:rFonts w:ascii="Times New Roman" w:hAnsi="Times New Roman" w:cs="Times New Roman"/>
          <w:iCs/>
          <w:sz w:val="24"/>
          <w:szCs w:val="24"/>
          <w:lang w:val="es-ES"/>
        </w:rPr>
        <w:tab/>
        <w:t>17.0</w:t>
      </w:r>
    </w:p>
    <w:p w14:paraId="500BE8AA" w14:textId="55476666" w:rsidR="0092789E" w:rsidRPr="00FC37AC" w:rsidRDefault="00A51EE3" w:rsidP="005749E2">
      <w:pPr>
        <w:tabs>
          <w:tab w:val="left" w:pos="8100"/>
          <w:tab w:val="left" w:pos="8820"/>
        </w:tabs>
        <w:spacing w:after="0" w:line="240" w:lineRule="auto"/>
        <w:ind w:firstLine="360"/>
        <w:rPr>
          <w:rFonts w:ascii="Times New Roman" w:hAnsi="Times New Roman" w:cs="Times New Roman"/>
          <w:iCs/>
          <w:sz w:val="24"/>
          <w:szCs w:val="24"/>
          <w:lang w:val="es-ES"/>
        </w:rPr>
      </w:pPr>
      <w:r w:rsidRPr="00FC37AC">
        <w:rPr>
          <w:rFonts w:ascii="Times New Roman" w:hAnsi="Times New Roman" w:cs="Times New Roman"/>
          <w:iCs/>
          <w:sz w:val="24"/>
          <w:szCs w:val="24"/>
          <w:lang w:val="es-ES"/>
        </w:rPr>
        <w:t>Escuelas con 1 contacto (de 200)</w:t>
      </w:r>
      <w:r w:rsidR="00DB206A" w:rsidRPr="00FC37AC">
        <w:rPr>
          <w:rFonts w:ascii="Times New Roman" w:hAnsi="Times New Roman" w:cs="Times New Roman"/>
          <w:iCs/>
          <w:sz w:val="24"/>
          <w:szCs w:val="24"/>
          <w:lang w:val="es-ES"/>
        </w:rPr>
        <w:tab/>
        <w:t xml:space="preserve">36 </w:t>
      </w:r>
      <w:r w:rsidR="00DB206A" w:rsidRPr="00FC37AC">
        <w:rPr>
          <w:rFonts w:ascii="Times New Roman" w:hAnsi="Times New Roman" w:cs="Times New Roman"/>
          <w:iCs/>
          <w:sz w:val="24"/>
          <w:szCs w:val="24"/>
          <w:lang w:val="es-ES"/>
        </w:rPr>
        <w:tab/>
        <w:t>18.0</w:t>
      </w:r>
    </w:p>
    <w:p w14:paraId="73E99A8C" w14:textId="40A769C1" w:rsidR="0092789E" w:rsidRPr="00FC37AC" w:rsidRDefault="00A51EE3" w:rsidP="005749E2">
      <w:pPr>
        <w:tabs>
          <w:tab w:val="left" w:pos="8100"/>
          <w:tab w:val="left" w:pos="8820"/>
        </w:tabs>
        <w:spacing w:after="0" w:line="240" w:lineRule="auto"/>
        <w:ind w:firstLine="360"/>
        <w:rPr>
          <w:rFonts w:ascii="Times New Roman" w:hAnsi="Times New Roman" w:cs="Times New Roman"/>
          <w:iCs/>
          <w:sz w:val="24"/>
          <w:szCs w:val="24"/>
          <w:lang w:val="es-ES"/>
        </w:rPr>
      </w:pPr>
      <w:r w:rsidRPr="00FC37AC">
        <w:rPr>
          <w:rFonts w:ascii="Times New Roman" w:hAnsi="Times New Roman" w:cs="Times New Roman"/>
          <w:iCs/>
          <w:sz w:val="24"/>
          <w:szCs w:val="24"/>
          <w:lang w:val="es-ES"/>
        </w:rPr>
        <w:t>Escuelas con 2–4 contactos (de 200)</w:t>
      </w:r>
      <w:r w:rsidR="00DB206A" w:rsidRPr="00FC37AC">
        <w:rPr>
          <w:rFonts w:ascii="Times New Roman" w:hAnsi="Times New Roman" w:cs="Times New Roman"/>
          <w:iCs/>
          <w:sz w:val="24"/>
          <w:szCs w:val="24"/>
          <w:lang w:val="es-ES"/>
        </w:rPr>
        <w:tab/>
        <w:t xml:space="preserve">67 </w:t>
      </w:r>
      <w:r w:rsidR="00DB206A" w:rsidRPr="00FC37AC">
        <w:rPr>
          <w:rFonts w:ascii="Times New Roman" w:hAnsi="Times New Roman" w:cs="Times New Roman"/>
          <w:iCs/>
          <w:sz w:val="24"/>
          <w:szCs w:val="24"/>
          <w:lang w:val="es-ES"/>
        </w:rPr>
        <w:tab/>
        <w:t>33.5</w:t>
      </w:r>
    </w:p>
    <w:p w14:paraId="63DAD010" w14:textId="1CD1F2F6" w:rsidR="0092789E" w:rsidRPr="00FC37AC" w:rsidRDefault="00B66D21" w:rsidP="005749E2">
      <w:pPr>
        <w:tabs>
          <w:tab w:val="left" w:pos="8100"/>
          <w:tab w:val="left" w:pos="8820"/>
        </w:tabs>
        <w:spacing w:after="0" w:line="240" w:lineRule="auto"/>
        <w:ind w:firstLine="360"/>
        <w:rPr>
          <w:rFonts w:ascii="Times New Roman" w:hAnsi="Times New Roman" w:cs="Times New Roman"/>
          <w:iCs/>
          <w:sz w:val="24"/>
          <w:szCs w:val="24"/>
          <w:lang w:val="es-ES"/>
        </w:rPr>
      </w:pPr>
      <w:r w:rsidRPr="00FC37AC">
        <w:rPr>
          <w:rFonts w:ascii="Times New Roman" w:hAnsi="Times New Roman" w:cs="Times New Roman"/>
          <w:iCs/>
          <w:sz w:val="24"/>
          <w:szCs w:val="24"/>
          <w:lang w:val="es-ES"/>
        </w:rPr>
        <w:t>Escuelas con 5 o más contactos (de 200)</w:t>
      </w:r>
      <w:r w:rsidR="00DB206A" w:rsidRPr="00FC37AC">
        <w:rPr>
          <w:rFonts w:ascii="Times New Roman" w:hAnsi="Times New Roman" w:cs="Times New Roman"/>
          <w:iCs/>
          <w:sz w:val="24"/>
          <w:szCs w:val="24"/>
          <w:lang w:val="es-ES"/>
        </w:rPr>
        <w:tab/>
        <w:t xml:space="preserve">63 </w:t>
      </w:r>
      <w:r w:rsidR="00DB206A" w:rsidRPr="00FC37AC">
        <w:rPr>
          <w:rFonts w:ascii="Times New Roman" w:hAnsi="Times New Roman" w:cs="Times New Roman"/>
          <w:iCs/>
          <w:sz w:val="24"/>
          <w:szCs w:val="24"/>
          <w:lang w:val="es-ES"/>
        </w:rPr>
        <w:tab/>
        <w:t>31.5</w:t>
      </w:r>
    </w:p>
    <w:p w14:paraId="549DC537" w14:textId="77777777" w:rsidR="00DB206A" w:rsidRPr="00FC37AC" w:rsidRDefault="00DB206A" w:rsidP="0055022A">
      <w:pPr>
        <w:tabs>
          <w:tab w:val="left" w:pos="8190"/>
          <w:tab w:val="left" w:pos="8730"/>
        </w:tabs>
        <w:spacing w:after="0" w:line="240" w:lineRule="auto"/>
        <w:rPr>
          <w:rFonts w:ascii="Times New Roman" w:hAnsi="Times New Roman" w:cs="Times New Roman"/>
          <w:iCs/>
          <w:sz w:val="24"/>
          <w:szCs w:val="24"/>
          <w:lang w:val="es-ES"/>
        </w:rPr>
      </w:pPr>
    </w:p>
    <w:p w14:paraId="65C7A853" w14:textId="77777777" w:rsidR="00251FA6" w:rsidRPr="00251FA6" w:rsidRDefault="00251FA6" w:rsidP="00251FA6">
      <w:pPr>
        <w:tabs>
          <w:tab w:val="left" w:pos="8100"/>
          <w:tab w:val="left" w:pos="8910"/>
        </w:tabs>
        <w:spacing w:after="0" w:line="240" w:lineRule="auto"/>
        <w:rPr>
          <w:rFonts w:ascii="Times New Roman" w:hAnsi="Times New Roman" w:cs="Times New Roman"/>
          <w:b/>
          <w:bCs/>
          <w:i/>
          <w:iCs/>
          <w:sz w:val="24"/>
          <w:szCs w:val="24"/>
          <w:lang w:val="es-ES"/>
        </w:rPr>
      </w:pPr>
      <w:bookmarkStart w:id="2" w:name="_Hlk153785099"/>
      <w:r w:rsidRPr="00251FA6">
        <w:rPr>
          <w:rFonts w:ascii="Times New Roman" w:hAnsi="Times New Roman" w:cs="Times New Roman"/>
          <w:b/>
          <w:bCs/>
          <w:i/>
          <w:iCs/>
          <w:sz w:val="24"/>
          <w:szCs w:val="24"/>
          <w:lang w:val="es-ES"/>
        </w:rPr>
        <w:t>Categorías de escuelas según cantidad de estudiantes y contactos del profesorado</w:t>
      </w:r>
    </w:p>
    <w:bookmarkEnd w:id="2"/>
    <w:p w14:paraId="1096B8E7" w14:textId="163B95AC" w:rsidR="00DB206A" w:rsidRPr="00FC37AC" w:rsidRDefault="009A4C18" w:rsidP="00301BFC">
      <w:pPr>
        <w:tabs>
          <w:tab w:val="left" w:pos="8100"/>
          <w:tab w:val="left" w:pos="8910"/>
        </w:tabs>
        <w:spacing w:after="0" w:line="240" w:lineRule="auto"/>
        <w:ind w:firstLine="360"/>
        <w:rPr>
          <w:rFonts w:ascii="Times New Roman" w:hAnsi="Times New Roman" w:cs="Times New Roman"/>
          <w:iCs/>
          <w:sz w:val="24"/>
          <w:szCs w:val="24"/>
          <w:lang w:val="es-ES"/>
        </w:rPr>
      </w:pPr>
      <w:r w:rsidRPr="00FC37AC">
        <w:rPr>
          <w:rFonts w:ascii="Times New Roman" w:hAnsi="Times New Roman" w:cs="Times New Roman"/>
          <w:iCs/>
          <w:sz w:val="24"/>
          <w:szCs w:val="24"/>
          <w:lang w:val="es-ES"/>
        </w:rPr>
        <w:t>Estudiantes en escuelas con 0 contactos (de 100,295)</w:t>
      </w:r>
      <w:r w:rsidR="00DB206A" w:rsidRPr="00FC37AC">
        <w:rPr>
          <w:rFonts w:ascii="Times New Roman" w:hAnsi="Times New Roman" w:cs="Times New Roman"/>
          <w:iCs/>
          <w:sz w:val="24"/>
          <w:szCs w:val="24"/>
          <w:lang w:val="es-ES"/>
        </w:rPr>
        <w:tab/>
      </w:r>
      <w:r w:rsidR="00536CD9" w:rsidRPr="00FC37AC">
        <w:rPr>
          <w:rFonts w:ascii="Times New Roman" w:hAnsi="Times New Roman" w:cs="Times New Roman"/>
          <w:iCs/>
          <w:sz w:val="24"/>
          <w:szCs w:val="24"/>
          <w:lang w:val="es-ES"/>
        </w:rPr>
        <w:t>9,587</w:t>
      </w:r>
      <w:r w:rsidR="005749E2" w:rsidRPr="00FC37AC">
        <w:rPr>
          <w:rFonts w:ascii="Times New Roman" w:hAnsi="Times New Roman" w:cs="Times New Roman"/>
          <w:iCs/>
          <w:sz w:val="24"/>
          <w:szCs w:val="24"/>
          <w:lang w:val="es-ES"/>
        </w:rPr>
        <w:tab/>
        <w:t>6.9</w:t>
      </w:r>
      <w:r w:rsidR="00DB206A" w:rsidRPr="00FC37AC">
        <w:rPr>
          <w:rFonts w:ascii="Times New Roman" w:hAnsi="Times New Roman" w:cs="Times New Roman"/>
          <w:iCs/>
          <w:sz w:val="24"/>
          <w:szCs w:val="24"/>
          <w:lang w:val="es-ES"/>
        </w:rPr>
        <w:t xml:space="preserve"> </w:t>
      </w:r>
      <w:r w:rsidR="00DB206A" w:rsidRPr="00FC37AC">
        <w:rPr>
          <w:rFonts w:ascii="Times New Roman" w:hAnsi="Times New Roman" w:cs="Times New Roman"/>
          <w:iCs/>
          <w:sz w:val="24"/>
          <w:szCs w:val="24"/>
          <w:lang w:val="es-ES"/>
        </w:rPr>
        <w:tab/>
      </w:r>
    </w:p>
    <w:p w14:paraId="01403636" w14:textId="05EA8491" w:rsidR="00DB206A" w:rsidRPr="00FC37AC" w:rsidRDefault="009A4C18" w:rsidP="00301BFC">
      <w:pPr>
        <w:tabs>
          <w:tab w:val="left" w:pos="8100"/>
          <w:tab w:val="left" w:pos="8910"/>
        </w:tabs>
        <w:spacing w:after="0" w:line="240" w:lineRule="auto"/>
        <w:ind w:firstLine="360"/>
        <w:rPr>
          <w:rFonts w:ascii="Times New Roman" w:hAnsi="Times New Roman" w:cs="Times New Roman"/>
          <w:iCs/>
          <w:sz w:val="24"/>
          <w:szCs w:val="24"/>
          <w:lang w:val="es-ES"/>
        </w:rPr>
      </w:pPr>
      <w:r w:rsidRPr="00FC37AC">
        <w:rPr>
          <w:rFonts w:ascii="Times New Roman" w:hAnsi="Times New Roman" w:cs="Times New Roman"/>
          <w:iCs/>
          <w:sz w:val="24"/>
          <w:szCs w:val="24"/>
          <w:lang w:val="es-ES"/>
        </w:rPr>
        <w:t>Estudiantes en escuelas con 1 contacto (de 100,295)</w:t>
      </w:r>
      <w:r w:rsidR="00DB206A" w:rsidRPr="00FC37AC">
        <w:rPr>
          <w:rFonts w:ascii="Times New Roman" w:hAnsi="Times New Roman" w:cs="Times New Roman"/>
          <w:iCs/>
          <w:sz w:val="24"/>
          <w:szCs w:val="24"/>
          <w:lang w:val="es-ES"/>
        </w:rPr>
        <w:tab/>
      </w:r>
      <w:r w:rsidR="005749E2" w:rsidRPr="00FC37AC">
        <w:rPr>
          <w:rFonts w:ascii="Times New Roman" w:hAnsi="Times New Roman" w:cs="Times New Roman"/>
          <w:iCs/>
          <w:sz w:val="24"/>
          <w:szCs w:val="24"/>
          <w:lang w:val="es-ES"/>
        </w:rPr>
        <w:t>13,404</w:t>
      </w:r>
      <w:r w:rsidR="00DB206A" w:rsidRPr="00FC37AC">
        <w:rPr>
          <w:rFonts w:ascii="Times New Roman" w:hAnsi="Times New Roman" w:cs="Times New Roman"/>
          <w:iCs/>
          <w:sz w:val="24"/>
          <w:szCs w:val="24"/>
          <w:lang w:val="es-ES"/>
        </w:rPr>
        <w:t xml:space="preserve"> </w:t>
      </w:r>
      <w:r w:rsidR="00DB206A" w:rsidRPr="00FC37AC">
        <w:rPr>
          <w:rFonts w:ascii="Times New Roman" w:hAnsi="Times New Roman" w:cs="Times New Roman"/>
          <w:iCs/>
          <w:sz w:val="24"/>
          <w:szCs w:val="24"/>
          <w:lang w:val="es-ES"/>
        </w:rPr>
        <w:tab/>
      </w:r>
      <w:r w:rsidR="005749E2" w:rsidRPr="00FC37AC">
        <w:rPr>
          <w:rFonts w:ascii="Times New Roman" w:hAnsi="Times New Roman" w:cs="Times New Roman"/>
          <w:iCs/>
          <w:sz w:val="24"/>
          <w:szCs w:val="24"/>
          <w:lang w:val="es-ES"/>
        </w:rPr>
        <w:t>13.4</w:t>
      </w:r>
    </w:p>
    <w:p w14:paraId="176C6340" w14:textId="509E2082" w:rsidR="00DB206A" w:rsidRPr="00FC37AC" w:rsidRDefault="009A4C18" w:rsidP="00301BFC">
      <w:pPr>
        <w:tabs>
          <w:tab w:val="left" w:pos="8100"/>
          <w:tab w:val="left" w:pos="8910"/>
        </w:tabs>
        <w:spacing w:after="0" w:line="240" w:lineRule="auto"/>
        <w:ind w:firstLine="360"/>
        <w:rPr>
          <w:rFonts w:ascii="Times New Roman" w:hAnsi="Times New Roman" w:cs="Times New Roman"/>
          <w:iCs/>
          <w:sz w:val="24"/>
          <w:szCs w:val="24"/>
          <w:lang w:val="es-ES"/>
        </w:rPr>
      </w:pPr>
      <w:r w:rsidRPr="00FC37AC">
        <w:rPr>
          <w:rFonts w:ascii="Times New Roman" w:hAnsi="Times New Roman" w:cs="Times New Roman"/>
          <w:iCs/>
          <w:sz w:val="24"/>
          <w:szCs w:val="24"/>
          <w:lang w:val="es-ES"/>
        </w:rPr>
        <w:t>Estudiantes en escuelas con 2–4 contactos (de 100,295)</w:t>
      </w:r>
      <w:r w:rsidR="00DB206A" w:rsidRPr="00FC37AC">
        <w:rPr>
          <w:rFonts w:ascii="Times New Roman" w:hAnsi="Times New Roman" w:cs="Times New Roman"/>
          <w:iCs/>
          <w:sz w:val="24"/>
          <w:szCs w:val="24"/>
          <w:lang w:val="es-ES"/>
        </w:rPr>
        <w:tab/>
      </w:r>
      <w:r w:rsidR="005749E2" w:rsidRPr="00FC37AC">
        <w:rPr>
          <w:rFonts w:ascii="Times New Roman" w:hAnsi="Times New Roman" w:cs="Times New Roman"/>
          <w:iCs/>
          <w:sz w:val="24"/>
          <w:szCs w:val="24"/>
          <w:lang w:val="es-ES"/>
        </w:rPr>
        <w:t>33,653</w:t>
      </w:r>
      <w:r w:rsidR="00DB206A" w:rsidRPr="00FC37AC">
        <w:rPr>
          <w:rFonts w:ascii="Times New Roman" w:hAnsi="Times New Roman" w:cs="Times New Roman"/>
          <w:iCs/>
          <w:sz w:val="24"/>
          <w:szCs w:val="24"/>
          <w:lang w:val="es-ES"/>
        </w:rPr>
        <w:t xml:space="preserve"> </w:t>
      </w:r>
      <w:r w:rsidR="00DB206A" w:rsidRPr="00FC37AC">
        <w:rPr>
          <w:rFonts w:ascii="Times New Roman" w:hAnsi="Times New Roman" w:cs="Times New Roman"/>
          <w:iCs/>
          <w:sz w:val="24"/>
          <w:szCs w:val="24"/>
          <w:lang w:val="es-ES"/>
        </w:rPr>
        <w:tab/>
      </w:r>
      <w:r w:rsidR="005749E2" w:rsidRPr="00FC37AC">
        <w:rPr>
          <w:rFonts w:ascii="Times New Roman" w:hAnsi="Times New Roman" w:cs="Times New Roman"/>
          <w:iCs/>
          <w:sz w:val="24"/>
          <w:szCs w:val="24"/>
          <w:lang w:val="es-ES"/>
        </w:rPr>
        <w:t>33.5</w:t>
      </w:r>
    </w:p>
    <w:p w14:paraId="3428597B" w14:textId="659977EE" w:rsidR="00DB206A" w:rsidRPr="00FC37AC" w:rsidRDefault="0034713A" w:rsidP="00301BFC">
      <w:pPr>
        <w:tabs>
          <w:tab w:val="left" w:pos="8100"/>
          <w:tab w:val="left" w:pos="8910"/>
        </w:tabs>
        <w:spacing w:after="0" w:line="240" w:lineRule="auto"/>
        <w:ind w:firstLine="360"/>
        <w:rPr>
          <w:rFonts w:ascii="Times New Roman" w:hAnsi="Times New Roman" w:cs="Times New Roman"/>
          <w:iCs/>
          <w:sz w:val="24"/>
          <w:szCs w:val="24"/>
          <w:lang w:val="es-ES"/>
        </w:rPr>
      </w:pPr>
      <w:r w:rsidRPr="00FC37AC">
        <w:rPr>
          <w:rFonts w:ascii="Times New Roman" w:hAnsi="Times New Roman" w:cs="Times New Roman"/>
          <w:iCs/>
          <w:sz w:val="24"/>
          <w:szCs w:val="24"/>
          <w:lang w:val="es-ES"/>
        </w:rPr>
        <w:t>Estudiantes en escuelas con 5 o más contactos (de 100,295)</w:t>
      </w:r>
      <w:r w:rsidR="00DB206A" w:rsidRPr="00FC37AC">
        <w:rPr>
          <w:rFonts w:ascii="Times New Roman" w:hAnsi="Times New Roman" w:cs="Times New Roman"/>
          <w:iCs/>
          <w:sz w:val="24"/>
          <w:szCs w:val="24"/>
          <w:lang w:val="es-ES"/>
        </w:rPr>
        <w:tab/>
      </w:r>
      <w:r w:rsidR="005749E2" w:rsidRPr="00FC37AC">
        <w:rPr>
          <w:rFonts w:ascii="Times New Roman" w:hAnsi="Times New Roman" w:cs="Times New Roman"/>
          <w:iCs/>
          <w:sz w:val="24"/>
          <w:szCs w:val="24"/>
          <w:lang w:val="es-ES"/>
        </w:rPr>
        <w:t>43,651</w:t>
      </w:r>
      <w:r w:rsidR="00DB206A" w:rsidRPr="00FC37AC">
        <w:rPr>
          <w:rFonts w:ascii="Times New Roman" w:hAnsi="Times New Roman" w:cs="Times New Roman"/>
          <w:iCs/>
          <w:sz w:val="24"/>
          <w:szCs w:val="24"/>
          <w:lang w:val="es-ES"/>
        </w:rPr>
        <w:t xml:space="preserve"> </w:t>
      </w:r>
      <w:r w:rsidR="00DB206A" w:rsidRPr="00FC37AC">
        <w:rPr>
          <w:rFonts w:ascii="Times New Roman" w:hAnsi="Times New Roman" w:cs="Times New Roman"/>
          <w:iCs/>
          <w:sz w:val="24"/>
          <w:szCs w:val="24"/>
          <w:lang w:val="es-ES"/>
        </w:rPr>
        <w:tab/>
      </w:r>
      <w:r w:rsidR="005749E2" w:rsidRPr="00FC37AC">
        <w:rPr>
          <w:rFonts w:ascii="Times New Roman" w:hAnsi="Times New Roman" w:cs="Times New Roman"/>
          <w:iCs/>
          <w:sz w:val="24"/>
          <w:szCs w:val="24"/>
          <w:lang w:val="es-ES"/>
        </w:rPr>
        <w:t>43.5</w:t>
      </w:r>
    </w:p>
    <w:p w14:paraId="1C1CB827" w14:textId="77777777" w:rsidR="00CD2921" w:rsidRPr="00FC37AC" w:rsidRDefault="00CD2921" w:rsidP="0023040E">
      <w:pPr>
        <w:tabs>
          <w:tab w:val="left" w:pos="8190"/>
          <w:tab w:val="left" w:pos="8730"/>
        </w:tabs>
        <w:spacing w:after="0" w:line="240" w:lineRule="auto"/>
        <w:rPr>
          <w:rFonts w:ascii="Times New Roman" w:hAnsi="Times New Roman" w:cs="Times New Roman"/>
          <w:iCs/>
          <w:sz w:val="24"/>
          <w:szCs w:val="24"/>
          <w:lang w:val="es-ES"/>
        </w:rPr>
      </w:pPr>
    </w:p>
    <w:p w14:paraId="2A9BC4FB" w14:textId="77777777" w:rsidR="0034713A" w:rsidRPr="0034713A" w:rsidRDefault="0034713A" w:rsidP="0034713A">
      <w:pPr>
        <w:tabs>
          <w:tab w:val="left" w:pos="8100"/>
          <w:tab w:val="left" w:pos="8820"/>
        </w:tabs>
        <w:spacing w:after="0" w:line="240" w:lineRule="auto"/>
        <w:rPr>
          <w:rFonts w:ascii="Times New Roman" w:hAnsi="Times New Roman" w:cs="Times New Roman"/>
          <w:b/>
          <w:bCs/>
          <w:i/>
          <w:iCs/>
          <w:sz w:val="24"/>
          <w:szCs w:val="24"/>
          <w:lang w:val="es-ES"/>
        </w:rPr>
      </w:pPr>
      <w:r w:rsidRPr="0034713A">
        <w:rPr>
          <w:rFonts w:ascii="Times New Roman" w:hAnsi="Times New Roman" w:cs="Times New Roman"/>
          <w:b/>
          <w:bCs/>
          <w:i/>
          <w:iCs/>
          <w:sz w:val="24"/>
          <w:szCs w:val="24"/>
          <w:lang w:val="es-ES"/>
        </w:rPr>
        <w:t>Totales de contactos docentes según categorías de escuelas</w:t>
      </w:r>
    </w:p>
    <w:p w14:paraId="60E40727" w14:textId="4ACDC7FF" w:rsidR="00106B37" w:rsidRPr="00FC37AC" w:rsidRDefault="0034713A" w:rsidP="00106B37">
      <w:pPr>
        <w:tabs>
          <w:tab w:val="left" w:pos="8100"/>
          <w:tab w:val="left" w:pos="8820"/>
        </w:tabs>
        <w:spacing w:after="0" w:line="240" w:lineRule="auto"/>
        <w:ind w:firstLine="360"/>
        <w:rPr>
          <w:rFonts w:ascii="Times New Roman" w:hAnsi="Times New Roman" w:cs="Times New Roman"/>
          <w:iCs/>
          <w:sz w:val="24"/>
          <w:szCs w:val="24"/>
          <w:lang w:val="es-ES"/>
        </w:rPr>
      </w:pPr>
      <w:r w:rsidRPr="00FC37AC">
        <w:rPr>
          <w:rFonts w:ascii="Times New Roman" w:hAnsi="Times New Roman" w:cs="Times New Roman"/>
          <w:iCs/>
          <w:sz w:val="24"/>
          <w:szCs w:val="24"/>
          <w:lang w:val="es-ES"/>
        </w:rPr>
        <w:t>Total de contactos en escuelas con 2–4 docentes</w:t>
      </w:r>
      <w:r w:rsidR="00106B37" w:rsidRPr="00FC37AC">
        <w:rPr>
          <w:rFonts w:ascii="Times New Roman" w:hAnsi="Times New Roman" w:cs="Times New Roman"/>
          <w:iCs/>
          <w:sz w:val="24"/>
          <w:szCs w:val="24"/>
          <w:lang w:val="es-ES"/>
        </w:rPr>
        <w:tab/>
        <w:t xml:space="preserve">193 </w:t>
      </w:r>
      <w:r w:rsidR="00106B37" w:rsidRPr="00FC37AC">
        <w:rPr>
          <w:rFonts w:ascii="Times New Roman" w:hAnsi="Times New Roman" w:cs="Times New Roman"/>
          <w:iCs/>
          <w:sz w:val="24"/>
          <w:szCs w:val="24"/>
          <w:lang w:val="es-ES"/>
        </w:rPr>
        <w:tab/>
      </w:r>
    </w:p>
    <w:p w14:paraId="3F76E3D3" w14:textId="6D5DDA9A" w:rsidR="003D51E7" w:rsidRPr="00FC37AC" w:rsidRDefault="00D3545C" w:rsidP="003D51E7">
      <w:pPr>
        <w:tabs>
          <w:tab w:val="left" w:pos="8100"/>
          <w:tab w:val="left" w:pos="8820"/>
        </w:tabs>
        <w:spacing w:after="0" w:line="240" w:lineRule="auto"/>
        <w:ind w:firstLine="360"/>
        <w:rPr>
          <w:rFonts w:ascii="Times New Roman" w:hAnsi="Times New Roman" w:cs="Times New Roman"/>
          <w:iCs/>
          <w:sz w:val="24"/>
          <w:szCs w:val="24"/>
          <w:lang w:val="es-ES"/>
        </w:rPr>
      </w:pPr>
      <w:r w:rsidRPr="00FC37AC">
        <w:rPr>
          <w:rFonts w:ascii="Times New Roman" w:hAnsi="Times New Roman" w:cs="Times New Roman"/>
          <w:iCs/>
          <w:sz w:val="24"/>
          <w:szCs w:val="24"/>
          <w:lang w:val="es-ES"/>
        </w:rPr>
        <w:t>Total de contactos en escuelas con 5 o más docentes</w:t>
      </w:r>
      <w:r w:rsidR="00106B37" w:rsidRPr="00FC37AC">
        <w:rPr>
          <w:rFonts w:ascii="Times New Roman" w:hAnsi="Times New Roman" w:cs="Times New Roman"/>
          <w:iCs/>
          <w:sz w:val="24"/>
          <w:szCs w:val="24"/>
          <w:lang w:val="es-ES"/>
        </w:rPr>
        <w:tab/>
        <w:t>538</w:t>
      </w:r>
    </w:p>
    <w:p w14:paraId="42347066" w14:textId="77777777" w:rsidR="00D3545C" w:rsidRPr="00FC37AC" w:rsidRDefault="00E85632" w:rsidP="00D3545C">
      <w:pPr>
        <w:tabs>
          <w:tab w:val="left" w:pos="8100"/>
          <w:tab w:val="left" w:pos="8820"/>
        </w:tabs>
        <w:spacing w:line="240" w:lineRule="auto"/>
        <w:rPr>
          <w:rFonts w:ascii="Times New Roman" w:hAnsi="Times New Roman" w:cs="Times New Roman"/>
          <w:iCs/>
          <w:sz w:val="24"/>
          <w:szCs w:val="24"/>
          <w:lang w:val="es-ES"/>
        </w:rPr>
      </w:pPr>
      <w:r w:rsidRPr="00FC37AC">
        <w:rPr>
          <w:rFonts w:ascii="Times New Roman" w:hAnsi="Times New Roman" w:cs="Times New Roman"/>
          <w:iCs/>
          <w:sz w:val="24"/>
          <w:szCs w:val="24"/>
          <w:lang w:val="es-ES"/>
        </w:rPr>
        <w:t xml:space="preserve"> </w:t>
      </w:r>
    </w:p>
    <w:p w14:paraId="6DBBAB90" w14:textId="04C71903" w:rsidR="00106B37" w:rsidRPr="00FC37AC" w:rsidRDefault="00D3545C" w:rsidP="00D3545C">
      <w:pPr>
        <w:tabs>
          <w:tab w:val="left" w:pos="8100"/>
          <w:tab w:val="left" w:pos="8820"/>
        </w:tabs>
        <w:spacing w:line="240" w:lineRule="auto"/>
        <w:rPr>
          <w:rFonts w:ascii="Times New Roman" w:hAnsi="Times New Roman" w:cs="Times New Roman"/>
          <w:b/>
          <w:bCs/>
          <w:i/>
          <w:iCs/>
          <w:sz w:val="24"/>
          <w:szCs w:val="24"/>
          <w:lang w:val="es-ES"/>
        </w:rPr>
      </w:pPr>
      <w:r w:rsidRPr="00FC37AC">
        <w:rPr>
          <w:rFonts w:ascii="Times New Roman" w:hAnsi="Times New Roman" w:cs="Times New Roman"/>
          <w:b/>
          <w:bCs/>
          <w:i/>
          <w:iCs/>
          <w:sz w:val="24"/>
          <w:szCs w:val="24"/>
          <w:lang w:val="es-ES"/>
        </w:rPr>
        <w:t>Escuelas con decanatos dedicados (DEI / C-E)</w:t>
      </w:r>
    </w:p>
    <w:p w14:paraId="53B1A9FF" w14:textId="68C46A58" w:rsidR="00106B37" w:rsidRPr="00FC37AC" w:rsidRDefault="00D3545C" w:rsidP="00106B37">
      <w:pPr>
        <w:tabs>
          <w:tab w:val="left" w:pos="8100"/>
          <w:tab w:val="left" w:pos="8820"/>
        </w:tabs>
        <w:spacing w:after="0" w:line="240" w:lineRule="auto"/>
        <w:ind w:firstLine="360"/>
        <w:rPr>
          <w:rFonts w:ascii="Times New Roman" w:hAnsi="Times New Roman" w:cs="Times New Roman"/>
          <w:iCs/>
          <w:sz w:val="24"/>
          <w:szCs w:val="24"/>
          <w:lang w:val="es-ES"/>
        </w:rPr>
      </w:pPr>
      <w:r w:rsidRPr="00FC37AC">
        <w:rPr>
          <w:rFonts w:ascii="Times New Roman" w:hAnsi="Times New Roman" w:cs="Times New Roman"/>
          <w:iCs/>
          <w:sz w:val="24"/>
          <w:szCs w:val="24"/>
          <w:lang w:val="es-ES"/>
        </w:rPr>
        <w:t>Escuelas con decanatos DEI</w:t>
      </w:r>
      <w:r w:rsidR="00106B37" w:rsidRPr="00FC37AC">
        <w:rPr>
          <w:rFonts w:ascii="Times New Roman" w:hAnsi="Times New Roman" w:cs="Times New Roman"/>
          <w:iCs/>
          <w:sz w:val="24"/>
          <w:szCs w:val="24"/>
          <w:lang w:val="es-ES"/>
        </w:rPr>
        <w:tab/>
        <w:t xml:space="preserve">47 </w:t>
      </w:r>
      <w:r w:rsidR="00106B37" w:rsidRPr="00FC37AC">
        <w:rPr>
          <w:rFonts w:ascii="Times New Roman" w:hAnsi="Times New Roman" w:cs="Times New Roman"/>
          <w:iCs/>
          <w:sz w:val="24"/>
          <w:szCs w:val="24"/>
          <w:lang w:val="es-ES"/>
        </w:rPr>
        <w:tab/>
      </w:r>
    </w:p>
    <w:p w14:paraId="61D3910C" w14:textId="4EC63DB5" w:rsidR="00106B37" w:rsidRPr="00FC37AC" w:rsidRDefault="006448BD" w:rsidP="00106B37">
      <w:pPr>
        <w:tabs>
          <w:tab w:val="left" w:pos="8100"/>
          <w:tab w:val="left" w:pos="8820"/>
        </w:tabs>
        <w:spacing w:after="0" w:line="240" w:lineRule="auto"/>
        <w:ind w:firstLine="360"/>
        <w:rPr>
          <w:rFonts w:ascii="Times New Roman" w:hAnsi="Times New Roman" w:cs="Times New Roman"/>
          <w:iCs/>
          <w:sz w:val="24"/>
          <w:szCs w:val="24"/>
          <w:lang w:val="es-ES"/>
        </w:rPr>
      </w:pPr>
      <w:r w:rsidRPr="00FC37AC">
        <w:rPr>
          <w:rFonts w:ascii="Times New Roman" w:hAnsi="Times New Roman" w:cs="Times New Roman"/>
          <w:iCs/>
          <w:sz w:val="24"/>
          <w:szCs w:val="24"/>
          <w:lang w:val="es-ES"/>
        </w:rPr>
        <w:t>Escuelas con decanatos C-E</w:t>
      </w:r>
      <w:r w:rsidR="00106B37" w:rsidRPr="00FC37AC">
        <w:rPr>
          <w:rFonts w:ascii="Times New Roman" w:hAnsi="Times New Roman" w:cs="Times New Roman"/>
          <w:iCs/>
          <w:sz w:val="24"/>
          <w:szCs w:val="24"/>
          <w:lang w:val="es-ES"/>
        </w:rPr>
        <w:tab/>
        <w:t>68</w:t>
      </w:r>
    </w:p>
    <w:p w14:paraId="75702E98" w14:textId="58BA56D0" w:rsidR="00106B37" w:rsidRPr="00FC37AC" w:rsidRDefault="006448BD" w:rsidP="00106B37">
      <w:pPr>
        <w:tabs>
          <w:tab w:val="left" w:pos="8100"/>
          <w:tab w:val="left" w:pos="8820"/>
        </w:tabs>
        <w:spacing w:after="0" w:line="240" w:lineRule="auto"/>
        <w:ind w:firstLine="360"/>
        <w:rPr>
          <w:rFonts w:ascii="Times New Roman" w:hAnsi="Times New Roman" w:cs="Times New Roman"/>
          <w:iCs/>
          <w:sz w:val="24"/>
          <w:szCs w:val="24"/>
          <w:lang w:val="es-ES"/>
        </w:rPr>
      </w:pPr>
      <w:r w:rsidRPr="00FC37AC">
        <w:rPr>
          <w:rFonts w:ascii="Times New Roman" w:hAnsi="Times New Roman" w:cs="Times New Roman"/>
          <w:iCs/>
          <w:sz w:val="24"/>
          <w:szCs w:val="24"/>
          <w:lang w:val="es-ES"/>
        </w:rPr>
        <w:t>Escuelas con ambos tipos</w:t>
      </w:r>
      <w:r w:rsidR="00106B37" w:rsidRPr="00FC37AC">
        <w:rPr>
          <w:rFonts w:ascii="Times New Roman" w:hAnsi="Times New Roman" w:cs="Times New Roman"/>
          <w:iCs/>
          <w:sz w:val="24"/>
          <w:szCs w:val="24"/>
          <w:lang w:val="es-ES"/>
        </w:rPr>
        <w:tab/>
        <w:t>23</w:t>
      </w:r>
    </w:p>
    <w:p w14:paraId="5E96BD6D" w14:textId="0B7D7091" w:rsidR="0092789E" w:rsidRPr="00FC37AC" w:rsidRDefault="006448BD" w:rsidP="00106B37">
      <w:pPr>
        <w:tabs>
          <w:tab w:val="left" w:pos="8100"/>
          <w:tab w:val="left" w:pos="8820"/>
        </w:tabs>
        <w:spacing w:after="0" w:line="240" w:lineRule="auto"/>
        <w:ind w:firstLine="360"/>
        <w:rPr>
          <w:rFonts w:ascii="Times New Roman" w:hAnsi="Times New Roman" w:cs="Times New Roman"/>
          <w:iCs/>
          <w:sz w:val="24"/>
          <w:szCs w:val="24"/>
          <w:lang w:val="es-ES"/>
        </w:rPr>
      </w:pPr>
      <w:r w:rsidRPr="00FC37AC">
        <w:rPr>
          <w:rFonts w:ascii="Times New Roman" w:hAnsi="Times New Roman" w:cs="Times New Roman"/>
          <w:iCs/>
          <w:sz w:val="24"/>
          <w:szCs w:val="24"/>
          <w:lang w:val="es-ES"/>
        </w:rPr>
        <w:t>Escuelas con ninguno</w:t>
      </w:r>
      <w:r w:rsidR="00106B37" w:rsidRPr="00FC37AC">
        <w:rPr>
          <w:rFonts w:ascii="Times New Roman" w:hAnsi="Times New Roman" w:cs="Times New Roman"/>
          <w:iCs/>
          <w:sz w:val="24"/>
          <w:szCs w:val="24"/>
          <w:lang w:val="es-ES"/>
        </w:rPr>
        <w:tab/>
        <w:t>108</w:t>
      </w:r>
    </w:p>
    <w:p w14:paraId="062FD4AB" w14:textId="77777777" w:rsidR="0092789E" w:rsidRPr="00FC37AC" w:rsidRDefault="0092789E" w:rsidP="009A7361">
      <w:pPr>
        <w:spacing w:after="0" w:line="240" w:lineRule="auto"/>
        <w:rPr>
          <w:rFonts w:ascii="Times New Roman" w:hAnsi="Times New Roman" w:cs="Times New Roman"/>
          <w:iCs/>
          <w:sz w:val="24"/>
          <w:szCs w:val="24"/>
          <w:lang w:val="es-ES"/>
        </w:rPr>
      </w:pPr>
    </w:p>
    <w:p w14:paraId="50FC443B" w14:textId="77777777" w:rsidR="006448BD" w:rsidRPr="00FC37AC" w:rsidRDefault="006448BD" w:rsidP="006448BD">
      <w:pPr>
        <w:tabs>
          <w:tab w:val="left" w:pos="8100"/>
          <w:tab w:val="left" w:pos="8820"/>
        </w:tabs>
        <w:spacing w:after="0" w:line="240" w:lineRule="auto"/>
        <w:rPr>
          <w:rFonts w:ascii="Times New Roman" w:hAnsi="Times New Roman" w:cs="Times New Roman"/>
          <w:b/>
          <w:i/>
          <w:iCs/>
          <w:sz w:val="24"/>
          <w:szCs w:val="24"/>
          <w:lang w:val="es-ES"/>
        </w:rPr>
      </w:pPr>
      <w:r w:rsidRPr="00FC37AC">
        <w:rPr>
          <w:rFonts w:ascii="Times New Roman" w:hAnsi="Times New Roman" w:cs="Times New Roman"/>
          <w:b/>
          <w:i/>
          <w:iCs/>
          <w:sz w:val="24"/>
          <w:szCs w:val="24"/>
          <w:lang w:val="es-ES"/>
        </w:rPr>
        <w:t>Escuelas con centros de “justicia” en campus</w:t>
      </w:r>
    </w:p>
    <w:p w14:paraId="1E5EDA12" w14:textId="3AF4B84A" w:rsidR="00106B37" w:rsidRPr="00FC37AC" w:rsidRDefault="0020346B" w:rsidP="00106B37">
      <w:pPr>
        <w:tabs>
          <w:tab w:val="left" w:pos="8100"/>
          <w:tab w:val="left" w:pos="8820"/>
        </w:tabs>
        <w:spacing w:after="0" w:line="240" w:lineRule="auto"/>
        <w:ind w:firstLine="360"/>
        <w:rPr>
          <w:rFonts w:ascii="Times New Roman" w:hAnsi="Times New Roman" w:cs="Times New Roman"/>
          <w:iCs/>
          <w:sz w:val="24"/>
          <w:szCs w:val="24"/>
          <w:lang w:val="es-ES"/>
        </w:rPr>
      </w:pPr>
      <w:r w:rsidRPr="00FC37AC">
        <w:rPr>
          <w:rFonts w:ascii="Times New Roman" w:hAnsi="Times New Roman" w:cs="Times New Roman"/>
          <w:iCs/>
          <w:sz w:val="24"/>
          <w:szCs w:val="24"/>
          <w:lang w:val="es-ES"/>
        </w:rPr>
        <w:t>Escuelas con 0 centros de justicia en campus</w:t>
      </w:r>
      <w:r w:rsidR="00106B37" w:rsidRPr="00FC37AC">
        <w:rPr>
          <w:rFonts w:ascii="Times New Roman" w:hAnsi="Times New Roman" w:cs="Times New Roman"/>
          <w:iCs/>
          <w:sz w:val="24"/>
          <w:szCs w:val="24"/>
          <w:lang w:val="es-ES"/>
        </w:rPr>
        <w:tab/>
        <w:t xml:space="preserve">68 </w:t>
      </w:r>
      <w:r w:rsidR="00106B37" w:rsidRPr="00FC37AC">
        <w:rPr>
          <w:rFonts w:ascii="Times New Roman" w:hAnsi="Times New Roman" w:cs="Times New Roman"/>
          <w:iCs/>
          <w:sz w:val="24"/>
          <w:szCs w:val="24"/>
          <w:lang w:val="es-ES"/>
        </w:rPr>
        <w:tab/>
      </w:r>
    </w:p>
    <w:p w14:paraId="37E0A787" w14:textId="49972CFD" w:rsidR="00106B37" w:rsidRPr="00FC37AC" w:rsidRDefault="0020346B" w:rsidP="00106B37">
      <w:pPr>
        <w:tabs>
          <w:tab w:val="left" w:pos="8100"/>
          <w:tab w:val="left" w:pos="8820"/>
        </w:tabs>
        <w:spacing w:after="0" w:line="240" w:lineRule="auto"/>
        <w:ind w:firstLine="360"/>
        <w:rPr>
          <w:rFonts w:ascii="Times New Roman" w:hAnsi="Times New Roman" w:cs="Times New Roman"/>
          <w:iCs/>
          <w:sz w:val="24"/>
          <w:szCs w:val="24"/>
          <w:lang w:val="es-ES"/>
        </w:rPr>
      </w:pPr>
      <w:r w:rsidRPr="00FC37AC">
        <w:rPr>
          <w:rFonts w:ascii="Times New Roman" w:hAnsi="Times New Roman" w:cs="Times New Roman"/>
          <w:iCs/>
          <w:sz w:val="24"/>
          <w:szCs w:val="24"/>
          <w:lang w:val="es-ES"/>
        </w:rPr>
        <w:t>Escuelas con 1 centro de justicia en campus</w:t>
      </w:r>
      <w:r w:rsidR="00106B37" w:rsidRPr="00FC37AC">
        <w:rPr>
          <w:rFonts w:ascii="Times New Roman" w:hAnsi="Times New Roman" w:cs="Times New Roman"/>
          <w:iCs/>
          <w:sz w:val="24"/>
          <w:szCs w:val="24"/>
          <w:lang w:val="es-ES"/>
        </w:rPr>
        <w:tab/>
        <w:t>76</w:t>
      </w:r>
    </w:p>
    <w:p w14:paraId="4087A85B" w14:textId="41F549EA" w:rsidR="00106B37" w:rsidRPr="00FC37AC" w:rsidRDefault="0020346B" w:rsidP="00106B37">
      <w:pPr>
        <w:tabs>
          <w:tab w:val="left" w:pos="8100"/>
          <w:tab w:val="left" w:pos="8820"/>
        </w:tabs>
        <w:spacing w:after="0" w:line="240" w:lineRule="auto"/>
        <w:ind w:firstLine="360"/>
        <w:rPr>
          <w:rFonts w:ascii="Times New Roman" w:hAnsi="Times New Roman" w:cs="Times New Roman"/>
          <w:iCs/>
          <w:sz w:val="24"/>
          <w:szCs w:val="24"/>
          <w:lang w:val="es-ES"/>
        </w:rPr>
      </w:pPr>
      <w:r w:rsidRPr="00FC37AC">
        <w:rPr>
          <w:rFonts w:ascii="Times New Roman" w:hAnsi="Times New Roman" w:cs="Times New Roman"/>
          <w:iCs/>
          <w:sz w:val="24"/>
          <w:szCs w:val="24"/>
          <w:lang w:val="es-ES"/>
        </w:rPr>
        <w:t>Escuelas con 2 centros de justicia en campus</w:t>
      </w:r>
      <w:r w:rsidRPr="00FC37AC">
        <w:rPr>
          <w:rFonts w:ascii="Times New Roman" w:hAnsi="Times New Roman" w:cs="Times New Roman"/>
          <w:iCs/>
          <w:sz w:val="24"/>
          <w:szCs w:val="24"/>
          <w:lang w:val="es-ES"/>
        </w:rPr>
        <w:tab/>
      </w:r>
      <w:r w:rsidR="00106B37" w:rsidRPr="00FC37AC">
        <w:rPr>
          <w:rFonts w:ascii="Times New Roman" w:hAnsi="Times New Roman" w:cs="Times New Roman"/>
          <w:iCs/>
          <w:sz w:val="24"/>
          <w:szCs w:val="24"/>
          <w:lang w:val="es-ES"/>
        </w:rPr>
        <w:t>36</w:t>
      </w:r>
    </w:p>
    <w:p w14:paraId="364A41FE" w14:textId="4F53E969" w:rsidR="00393D8F" w:rsidRPr="00FC37AC" w:rsidRDefault="005F1434" w:rsidP="000B2755">
      <w:pPr>
        <w:pBdr>
          <w:bottom w:val="single" w:sz="4" w:space="1" w:color="auto"/>
        </w:pBdr>
        <w:tabs>
          <w:tab w:val="left" w:pos="8100"/>
          <w:tab w:val="left" w:pos="8820"/>
        </w:tabs>
        <w:spacing w:after="0" w:line="240" w:lineRule="auto"/>
        <w:ind w:firstLine="360"/>
        <w:rPr>
          <w:rFonts w:ascii="Times New Roman" w:hAnsi="Times New Roman" w:cs="Times New Roman"/>
          <w:kern w:val="0"/>
          <w:sz w:val="24"/>
          <w:szCs w:val="24"/>
          <w:lang w:val="es-ES"/>
        </w:rPr>
      </w:pPr>
      <w:r w:rsidRPr="00FC37AC">
        <w:rPr>
          <w:rFonts w:ascii="Times New Roman" w:hAnsi="Times New Roman" w:cs="Times New Roman"/>
          <w:iCs/>
          <w:noProof/>
          <w:sz w:val="24"/>
          <w:szCs w:val="24"/>
        </w:rPr>
        <mc:AlternateContent>
          <mc:Choice Requires="wps">
            <w:drawing>
              <wp:anchor distT="45720" distB="45720" distL="114300" distR="114300" simplePos="0" relativeHeight="251660288" behindDoc="0" locked="0" layoutInCell="1" allowOverlap="1" wp14:anchorId="3F558F3F" wp14:editId="55DAF556">
                <wp:simplePos x="0" y="0"/>
                <wp:positionH relativeFrom="column">
                  <wp:posOffset>58783</wp:posOffset>
                </wp:positionH>
                <wp:positionV relativeFrom="paragraph">
                  <wp:posOffset>205649</wp:posOffset>
                </wp:positionV>
                <wp:extent cx="5917474" cy="390525"/>
                <wp:effectExtent l="0" t="0" r="13970"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474" cy="390525"/>
                        </a:xfrm>
                        <a:prstGeom prst="rect">
                          <a:avLst/>
                        </a:prstGeom>
                        <a:solidFill>
                          <a:srgbClr val="FFFFFF"/>
                        </a:solidFill>
                        <a:ln w="9525">
                          <a:solidFill>
                            <a:schemeClr val="bg1"/>
                          </a:solidFill>
                          <a:miter lim="800000"/>
                          <a:headEnd/>
                          <a:tailEnd/>
                        </a:ln>
                      </wps:spPr>
                      <wps:txbx>
                        <w:txbxContent>
                          <w:p w14:paraId="1167A1B2" w14:textId="77777777" w:rsidR="00EA0D30" w:rsidRPr="00EA0D30" w:rsidRDefault="00EA0D30" w:rsidP="00EA0D30">
                            <w:pPr>
                              <w:spacing w:before="100" w:beforeAutospacing="1" w:after="100" w:afterAutospacing="1" w:line="240" w:lineRule="auto"/>
                              <w:rPr>
                                <w:rFonts w:ascii="Times New Roman" w:eastAsia="Times New Roman" w:hAnsi="Times New Roman" w:cs="Times New Roman"/>
                                <w:kern w:val="0"/>
                                <w:sz w:val="24"/>
                                <w:szCs w:val="24"/>
                                <w:lang w:val="uz-Cyrl-UZ"/>
                                <w14:ligatures w14:val="none"/>
                              </w:rPr>
                            </w:pPr>
                            <w:r w:rsidRPr="00EA0D30">
                              <w:rPr>
                                <w:rFonts w:ascii="Times New Roman" w:eastAsia="Times New Roman" w:hAnsi="Times New Roman" w:cs="Times New Roman"/>
                                <w:kern w:val="0"/>
                                <w:sz w:val="24"/>
                                <w:szCs w:val="24"/>
                                <w:lang w:val="uz-Cyrl-UZ"/>
                                <w14:ligatures w14:val="none"/>
                              </w:rPr>
                              <w:t>*778 en facultades de Derecho de EE.UU. y 20 en organizaciones aplicadas</w:t>
                            </w:r>
                          </w:p>
                          <w:p w14:paraId="37C19F45" w14:textId="2E6C723F" w:rsidR="00A8250C" w:rsidRPr="005F1434" w:rsidRDefault="00A8250C" w:rsidP="00DB5EFC">
                            <w:pPr>
                              <w:spacing w:after="0"/>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558F3F" id="_x0000_t202" coordsize="21600,21600" o:spt="202" path="m,l,21600r21600,l21600,xe">
                <v:stroke joinstyle="miter"/>
                <v:path gradientshapeok="t" o:connecttype="rect"/>
              </v:shapetype>
              <v:shape id="Text Box 2" o:spid="_x0000_s1026" type="#_x0000_t202" style="position:absolute;left:0;text-align:left;margin-left:4.65pt;margin-top:16.2pt;width:465.95pt;height:3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" strokecolor="white [3212]">
                <v:textbox>
                  <w:txbxContent>
                    <w:p w14:paraId="1167A1B2" w14:textId="77777777" w:rsidR="00EA0D30" w:rsidRPr="00EA0D30" w:rsidRDefault="00EA0D30" w:rsidP="00EA0D30">
                      <w:pPr>
                        <w:spacing w:before="100" w:beforeAutospacing="1" w:after="100" w:afterAutospacing="1" w:line="240" w:lineRule="auto"/>
                        <w:rPr>
                          <w:rFonts w:ascii="Times New Roman" w:eastAsia="Times New Roman" w:hAnsi="Times New Roman" w:cs="Times New Roman"/>
                          <w:kern w:val="0"/>
                          <w:sz w:val="24"/>
                          <w:szCs w:val="24"/>
                          <w:lang w:val="en-PR"/>
                          <w14:ligatures w14:val="none"/>
                        </w:rPr>
                      </w:pPr>
                      <w:r w:rsidRPr="00EA0D30">
                        <w:rPr>
                          <w:rFonts w:ascii="Times New Roman" w:eastAsia="Times New Roman" w:hAnsi="Times New Roman" w:cs="Times New Roman"/>
                          <w:kern w:val="0"/>
                          <w:sz w:val="24"/>
                          <w:szCs w:val="24"/>
                          <w:lang w:val="en-PR"/>
                          <w14:ligatures w14:val="none"/>
                        </w:rPr>
                        <w:t>*778 en facultades de Derecho de EE.UU. y 20 en organizaciones aplicadas</w:t>
                      </w:r>
                    </w:p>
                    <w:p w14:paraId="37C19F45" w14:textId="2E6C723F" w:rsidR="00A8250C" w:rsidRPr="005F1434" w:rsidRDefault="00A8250C" w:rsidP="00DB5EFC">
                      <w:pPr>
                        <w:spacing w:after="0"/>
                        <w:rPr>
                          <w:rFonts w:ascii="Times New Roman" w:hAnsi="Times New Roman" w:cs="Times New Roman"/>
                          <w:sz w:val="24"/>
                          <w:szCs w:val="24"/>
                        </w:rPr>
                      </w:pPr>
                    </w:p>
                  </w:txbxContent>
                </v:textbox>
              </v:shape>
            </w:pict>
          </mc:Fallback>
        </mc:AlternateContent>
      </w:r>
      <w:r w:rsidR="0020346B" w:rsidRPr="00FC37AC">
        <w:rPr>
          <w:rFonts w:ascii="Times New Roman" w:hAnsi="Times New Roman" w:cs="Times New Roman"/>
          <w:sz w:val="24"/>
          <w:szCs w:val="24"/>
          <w:lang w:val="es-ES"/>
        </w:rPr>
        <w:t xml:space="preserve"> </w:t>
      </w:r>
      <w:r w:rsidR="0020346B" w:rsidRPr="00FC37AC">
        <w:rPr>
          <w:rFonts w:ascii="Times New Roman" w:hAnsi="Times New Roman" w:cs="Times New Roman"/>
          <w:kern w:val="0"/>
          <w:sz w:val="24"/>
          <w:szCs w:val="24"/>
          <w:lang w:val="es-ES"/>
        </w:rPr>
        <w:t>Escuelas con 3 o más centros de justicia en campus</w:t>
      </w:r>
    </w:p>
    <w:sectPr w:rsidR="00393D8F" w:rsidRPr="00FC37AC" w:rsidSect="008D70C2">
      <w:head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78D5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3B6D69" w16cex:dateUtc="2025-04-05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78D5E1" w16cid:durableId="073B6D6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A0E9B" w14:textId="77777777" w:rsidR="00254F56" w:rsidRDefault="00254F56" w:rsidP="00C460A4">
      <w:pPr>
        <w:spacing w:after="0" w:line="240" w:lineRule="auto"/>
      </w:pPr>
      <w:r>
        <w:separator/>
      </w:r>
    </w:p>
  </w:endnote>
  <w:endnote w:type="continuationSeparator" w:id="0">
    <w:p w14:paraId="4E20DC2E" w14:textId="77777777" w:rsidR="00254F56" w:rsidRDefault="00254F56" w:rsidP="00C4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198AA" w14:textId="77777777" w:rsidR="00254F56" w:rsidRDefault="00254F56" w:rsidP="00C460A4">
      <w:pPr>
        <w:spacing w:after="0" w:line="240" w:lineRule="auto"/>
      </w:pPr>
      <w:r>
        <w:separator/>
      </w:r>
    </w:p>
  </w:footnote>
  <w:footnote w:type="continuationSeparator" w:id="0">
    <w:p w14:paraId="5B289D9B" w14:textId="77777777" w:rsidR="00254F56" w:rsidRDefault="00254F56" w:rsidP="00C460A4">
      <w:pPr>
        <w:spacing w:after="0" w:line="240" w:lineRule="auto"/>
      </w:pPr>
      <w:r>
        <w:continuationSeparator/>
      </w:r>
    </w:p>
  </w:footnote>
  <w:footnote w:id="1">
    <w:p w14:paraId="2F1AFF90" w14:textId="596B8323" w:rsidR="001D451B" w:rsidRPr="00901686" w:rsidRDefault="001D451B" w:rsidP="00C835C3">
      <w:pPr>
        <w:pStyle w:val="FootnoteText"/>
        <w:rPr>
          <w:rFonts w:ascii="Times New Roman" w:hAnsi="Times New Roman" w:cs="Times New Roman"/>
          <w:lang w:val="es-ES"/>
        </w:rPr>
      </w:pPr>
      <w:r w:rsidRPr="00901686">
        <w:rPr>
          <w:rStyle w:val="FootnoteReference"/>
          <w:rFonts w:ascii="Times New Roman" w:hAnsi="Times New Roman" w:cs="Times New Roman"/>
          <w:lang w:val="es-ES"/>
        </w:rPr>
        <w:footnoteRef/>
      </w:r>
      <w:r w:rsidRPr="00901686">
        <w:rPr>
          <w:rFonts w:ascii="Times New Roman" w:hAnsi="Times New Roman" w:cs="Times New Roman"/>
          <w:lang w:val="es-ES"/>
        </w:rPr>
        <w:t xml:space="preserve"> </w:t>
      </w:r>
      <w:r w:rsidRPr="00901686">
        <w:rPr>
          <w:rStyle w:val="Strong"/>
          <w:rFonts w:ascii="Times New Roman" w:hAnsi="Times New Roman" w:cs="Times New Roman"/>
          <w:lang w:val="es-ES"/>
        </w:rPr>
        <w:t>Francisco Valdés</w:t>
      </w:r>
      <w:r w:rsidRPr="00901686">
        <w:rPr>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Beyond</w:t>
      </w:r>
      <w:proofErr w:type="spellEnd"/>
      <w:r w:rsidRPr="00901686">
        <w:rPr>
          <w:rStyle w:val="Emphasis"/>
          <w:rFonts w:ascii="Times New Roman" w:hAnsi="Times New Roman" w:cs="Times New Roman"/>
          <w:lang w:val="es-ES"/>
        </w:rPr>
        <w:t xml:space="preserve"> Sexual </w:t>
      </w:r>
      <w:proofErr w:type="spellStart"/>
      <w:r w:rsidRPr="00901686">
        <w:rPr>
          <w:rStyle w:val="Emphasis"/>
          <w:rFonts w:ascii="Times New Roman" w:hAnsi="Times New Roman" w:cs="Times New Roman"/>
          <w:lang w:val="es-ES"/>
        </w:rPr>
        <w:t>Orientation</w:t>
      </w:r>
      <w:proofErr w:type="spellEnd"/>
      <w:r w:rsidRPr="00901686">
        <w:rPr>
          <w:rStyle w:val="Emphasis"/>
          <w:rFonts w:ascii="Times New Roman" w:hAnsi="Times New Roman" w:cs="Times New Roman"/>
          <w:lang w:val="es-ES"/>
        </w:rPr>
        <w:t xml:space="preserve"> in Queer Legal </w:t>
      </w:r>
      <w:proofErr w:type="spellStart"/>
      <w:r w:rsidRPr="00901686">
        <w:rPr>
          <w:rStyle w:val="Emphasis"/>
          <w:rFonts w:ascii="Times New Roman" w:hAnsi="Times New Roman" w:cs="Times New Roman"/>
          <w:lang w:val="es-ES"/>
        </w:rPr>
        <w:t>Theory</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Majoritarianism</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Multidimensionality</w:t>
      </w:r>
      <w:proofErr w:type="spellEnd"/>
      <w:r w:rsidRPr="00901686">
        <w:rPr>
          <w:rStyle w:val="Emphasis"/>
          <w:rFonts w:ascii="Times New Roman" w:hAnsi="Times New Roman" w:cs="Times New Roman"/>
          <w:lang w:val="es-ES"/>
        </w:rPr>
        <w:t xml:space="preserve">, and </w:t>
      </w:r>
      <w:proofErr w:type="spellStart"/>
      <w:r w:rsidRPr="00901686">
        <w:rPr>
          <w:rStyle w:val="Emphasis"/>
          <w:rFonts w:ascii="Times New Roman" w:hAnsi="Times New Roman" w:cs="Times New Roman"/>
          <w:lang w:val="es-ES"/>
        </w:rPr>
        <w:t>Responsibility</w:t>
      </w:r>
      <w:proofErr w:type="spellEnd"/>
      <w:r w:rsidRPr="00901686">
        <w:rPr>
          <w:rStyle w:val="Emphasis"/>
          <w:rFonts w:ascii="Times New Roman" w:hAnsi="Times New Roman" w:cs="Times New Roman"/>
          <w:lang w:val="es-ES"/>
        </w:rPr>
        <w:t xml:space="preserve"> in Social </w:t>
      </w:r>
      <w:proofErr w:type="spellStart"/>
      <w:r w:rsidRPr="00901686">
        <w:rPr>
          <w:rStyle w:val="Emphasis"/>
          <w:rFonts w:ascii="Times New Roman" w:hAnsi="Times New Roman" w:cs="Times New Roman"/>
          <w:lang w:val="es-ES"/>
        </w:rPr>
        <w:t>Justice</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Scholarship</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or</w:t>
      </w:r>
      <w:proofErr w:type="spellEnd"/>
      <w:r w:rsidRPr="00901686">
        <w:rPr>
          <w:rStyle w:val="Emphasis"/>
          <w:rFonts w:ascii="Times New Roman" w:hAnsi="Times New Roman" w:cs="Times New Roman"/>
          <w:lang w:val="es-ES"/>
        </w:rPr>
        <w:t xml:space="preserve"> Legal </w:t>
      </w:r>
      <w:proofErr w:type="spellStart"/>
      <w:r w:rsidRPr="00901686">
        <w:rPr>
          <w:rStyle w:val="Emphasis"/>
          <w:rFonts w:ascii="Times New Roman" w:hAnsi="Times New Roman" w:cs="Times New Roman"/>
          <w:lang w:val="es-ES"/>
        </w:rPr>
        <w:t>Scholars</w:t>
      </w:r>
      <w:proofErr w:type="spellEnd"/>
      <w:r w:rsidRPr="00901686">
        <w:rPr>
          <w:rStyle w:val="Emphasis"/>
          <w:rFonts w:ascii="Times New Roman" w:hAnsi="Times New Roman" w:cs="Times New Roman"/>
          <w:lang w:val="es-ES"/>
        </w:rPr>
        <w:t xml:space="preserve"> as Cultural Warriors</w:t>
      </w:r>
      <w:r w:rsidRPr="00901686">
        <w:rPr>
          <w:rFonts w:ascii="Times New Roman" w:hAnsi="Times New Roman" w:cs="Times New Roman"/>
          <w:lang w:val="es-ES"/>
        </w:rPr>
        <w:t xml:space="preserve">, 75 </w:t>
      </w:r>
      <w:r w:rsidRPr="00901686">
        <w:rPr>
          <w:rStyle w:val="Emphasis"/>
          <w:rFonts w:ascii="Times New Roman" w:hAnsi="Times New Roman" w:cs="Times New Roman"/>
          <w:lang w:val="es-ES"/>
        </w:rPr>
        <w:t>Denver University Law Review</w:t>
      </w:r>
      <w:r w:rsidRPr="00901686">
        <w:rPr>
          <w:rFonts w:ascii="Times New Roman" w:hAnsi="Times New Roman" w:cs="Times New Roman"/>
          <w:lang w:val="es-ES"/>
        </w:rPr>
        <w:t xml:space="preserve"> 1409, 1412–15 (1998).</w:t>
      </w:r>
    </w:p>
  </w:footnote>
  <w:footnote w:id="2">
    <w:p w14:paraId="16F04CCA" w14:textId="6CA3ADD6" w:rsidR="00E31D87" w:rsidRPr="00901686" w:rsidRDefault="00E31D87" w:rsidP="00C835C3">
      <w:pPr>
        <w:pStyle w:val="FootnoteText"/>
        <w:rPr>
          <w:rFonts w:ascii="Times New Roman" w:hAnsi="Times New Roman" w:cs="Times New Roman"/>
          <w:lang w:val="es-ES"/>
        </w:rPr>
      </w:pPr>
      <w:r w:rsidRPr="00901686">
        <w:rPr>
          <w:rStyle w:val="FootnoteReference"/>
          <w:rFonts w:ascii="Times New Roman" w:hAnsi="Times New Roman" w:cs="Times New Roman"/>
          <w:lang w:val="es-ES"/>
        </w:rPr>
        <w:footnoteRef/>
      </w:r>
      <w:r w:rsidRPr="00901686">
        <w:rPr>
          <w:rFonts w:ascii="Times New Roman" w:hAnsi="Times New Roman" w:cs="Times New Roman"/>
          <w:lang w:val="es-ES"/>
        </w:rPr>
        <w:t xml:space="preserve"> </w:t>
      </w:r>
      <w:r w:rsidR="00A827FB" w:rsidRPr="00901686">
        <w:rPr>
          <w:rFonts w:ascii="Times New Roman" w:hAnsi="Times New Roman" w:cs="Times New Roman"/>
          <w:i/>
          <w:lang w:val="es-ES"/>
        </w:rPr>
        <w:t>Id.</w:t>
      </w:r>
      <w:r w:rsidR="00A827FB" w:rsidRPr="00901686">
        <w:rPr>
          <w:rFonts w:ascii="Times New Roman" w:hAnsi="Times New Roman" w:cs="Times New Roman"/>
          <w:lang w:val="es-ES"/>
        </w:rPr>
        <w:t xml:space="preserve"> en 1427.</w:t>
      </w:r>
    </w:p>
  </w:footnote>
  <w:footnote w:id="3">
    <w:p w14:paraId="2135F569" w14:textId="440664DB" w:rsidR="00E06158" w:rsidRPr="00901686" w:rsidRDefault="00E06158" w:rsidP="00C835C3">
      <w:pPr>
        <w:pStyle w:val="NormalWeb"/>
        <w:spacing w:after="0" w:line="240" w:lineRule="auto"/>
        <w:rPr>
          <w:rFonts w:eastAsia="Times New Roman"/>
          <w:kern w:val="0"/>
          <w:sz w:val="20"/>
          <w:szCs w:val="20"/>
          <w:lang w:val="es-ES"/>
          <w14:ligatures w14:val="none"/>
        </w:rPr>
      </w:pPr>
      <w:r w:rsidRPr="00901686">
        <w:rPr>
          <w:rStyle w:val="FootnoteReference"/>
          <w:sz w:val="20"/>
          <w:szCs w:val="20"/>
          <w:lang w:val="es-ES"/>
        </w:rPr>
        <w:t>3</w:t>
      </w:r>
      <w:r w:rsidRPr="00901686">
        <w:rPr>
          <w:sz w:val="20"/>
          <w:szCs w:val="20"/>
          <w:lang w:val="es-ES"/>
        </w:rPr>
        <w:t xml:space="preserve"> </w:t>
      </w:r>
      <w:r w:rsidR="00C43BF9" w:rsidRPr="00901686">
        <w:rPr>
          <w:sz w:val="20"/>
          <w:szCs w:val="20"/>
          <w:lang w:val="es-ES"/>
        </w:rPr>
        <w:t>Para una exploración más exten</w:t>
      </w:r>
      <w:r w:rsidR="002A015A" w:rsidRPr="00901686">
        <w:rPr>
          <w:sz w:val="20"/>
          <w:szCs w:val="20"/>
          <w:lang w:val="es-ES"/>
        </w:rPr>
        <w:t>s</w:t>
      </w:r>
      <w:r w:rsidR="00C43BF9" w:rsidRPr="00901686">
        <w:rPr>
          <w:sz w:val="20"/>
          <w:szCs w:val="20"/>
          <w:lang w:val="es-ES"/>
        </w:rPr>
        <w:t xml:space="preserve">a del tema, </w:t>
      </w:r>
      <w:r w:rsidR="00C43BF9" w:rsidRPr="00901686">
        <w:rPr>
          <w:i/>
          <w:iCs/>
          <w:sz w:val="20"/>
          <w:szCs w:val="20"/>
          <w:lang w:val="es-ES"/>
        </w:rPr>
        <w:t>v</w:t>
      </w:r>
      <w:r w:rsidR="00C43BF9" w:rsidRPr="00901686">
        <w:rPr>
          <w:rFonts w:eastAsia="Times New Roman"/>
          <w:i/>
          <w:iCs/>
          <w:kern w:val="0"/>
          <w:sz w:val="20"/>
          <w:szCs w:val="20"/>
          <w:lang w:val="es-ES"/>
          <w14:ligatures w14:val="none"/>
        </w:rPr>
        <w:t>éase</w:t>
      </w:r>
      <w:r w:rsidR="00C43BF9" w:rsidRPr="00901686">
        <w:rPr>
          <w:rFonts w:eastAsia="Times New Roman"/>
          <w:kern w:val="0"/>
          <w:sz w:val="20"/>
          <w:szCs w:val="20"/>
          <w:lang w:val="es-ES"/>
          <w14:ligatures w14:val="none"/>
        </w:rPr>
        <w:t xml:space="preserve"> </w:t>
      </w:r>
      <w:r w:rsidR="00C43BF9" w:rsidRPr="00901686">
        <w:rPr>
          <w:rFonts w:eastAsia="Times New Roman"/>
          <w:i/>
          <w:iCs/>
          <w:kern w:val="0"/>
          <w:sz w:val="20"/>
          <w:szCs w:val="20"/>
          <w:lang w:val="es-ES"/>
          <w14:ligatures w14:val="none"/>
        </w:rPr>
        <w:t xml:space="preserve">Final </w:t>
      </w:r>
      <w:proofErr w:type="spellStart"/>
      <w:r w:rsidR="00C43BF9" w:rsidRPr="00901686">
        <w:rPr>
          <w:rFonts w:eastAsia="Times New Roman"/>
          <w:i/>
          <w:iCs/>
          <w:kern w:val="0"/>
          <w:sz w:val="20"/>
          <w:szCs w:val="20"/>
          <w:lang w:val="es-ES"/>
          <w14:ligatures w14:val="none"/>
        </w:rPr>
        <w:t>Report</w:t>
      </w:r>
      <w:proofErr w:type="spellEnd"/>
      <w:r w:rsidR="00C43BF9" w:rsidRPr="00901686">
        <w:rPr>
          <w:rFonts w:eastAsia="Times New Roman"/>
          <w:i/>
          <w:iCs/>
          <w:kern w:val="0"/>
          <w:sz w:val="20"/>
          <w:szCs w:val="20"/>
          <w:lang w:val="es-ES"/>
          <w14:ligatures w14:val="none"/>
        </w:rPr>
        <w:t xml:space="preserve"> of </w:t>
      </w:r>
      <w:proofErr w:type="spellStart"/>
      <w:r w:rsidR="00C43BF9" w:rsidRPr="00901686">
        <w:rPr>
          <w:rFonts w:eastAsia="Times New Roman"/>
          <w:i/>
          <w:iCs/>
          <w:kern w:val="0"/>
          <w:sz w:val="20"/>
          <w:szCs w:val="20"/>
          <w:lang w:val="es-ES"/>
          <w14:ligatures w14:val="none"/>
        </w:rPr>
        <w:t>the</w:t>
      </w:r>
      <w:proofErr w:type="spellEnd"/>
      <w:r w:rsidR="00C43BF9" w:rsidRPr="00901686">
        <w:rPr>
          <w:rFonts w:eastAsia="Times New Roman"/>
          <w:i/>
          <w:iCs/>
          <w:kern w:val="0"/>
          <w:sz w:val="20"/>
          <w:szCs w:val="20"/>
          <w:lang w:val="es-ES"/>
          <w14:ligatures w14:val="none"/>
        </w:rPr>
        <w:t xml:space="preserve"> </w:t>
      </w:r>
      <w:proofErr w:type="spellStart"/>
      <w:r w:rsidR="00C43BF9" w:rsidRPr="00901686">
        <w:rPr>
          <w:rFonts w:eastAsia="Times New Roman"/>
          <w:i/>
          <w:iCs/>
          <w:kern w:val="0"/>
          <w:sz w:val="20"/>
          <w:szCs w:val="20"/>
          <w:lang w:val="es-ES"/>
          <w14:ligatures w14:val="none"/>
        </w:rPr>
        <w:t>Select</w:t>
      </w:r>
      <w:proofErr w:type="spellEnd"/>
      <w:r w:rsidR="00C43BF9" w:rsidRPr="00901686">
        <w:rPr>
          <w:rFonts w:eastAsia="Times New Roman"/>
          <w:i/>
          <w:iCs/>
          <w:kern w:val="0"/>
          <w:sz w:val="20"/>
          <w:szCs w:val="20"/>
          <w:lang w:val="es-ES"/>
          <w14:ligatures w14:val="none"/>
        </w:rPr>
        <w:t xml:space="preserve"> </w:t>
      </w:r>
      <w:proofErr w:type="spellStart"/>
      <w:r w:rsidR="00C43BF9" w:rsidRPr="00901686">
        <w:rPr>
          <w:rFonts w:eastAsia="Times New Roman"/>
          <w:i/>
          <w:iCs/>
          <w:kern w:val="0"/>
          <w:sz w:val="20"/>
          <w:szCs w:val="20"/>
          <w:lang w:val="es-ES"/>
          <w14:ligatures w14:val="none"/>
        </w:rPr>
        <w:t>Committee</w:t>
      </w:r>
      <w:proofErr w:type="spellEnd"/>
      <w:r w:rsidR="00C43BF9" w:rsidRPr="00901686">
        <w:rPr>
          <w:rFonts w:eastAsia="Times New Roman"/>
          <w:i/>
          <w:iCs/>
          <w:kern w:val="0"/>
          <w:sz w:val="20"/>
          <w:szCs w:val="20"/>
          <w:lang w:val="es-ES"/>
          <w14:ligatures w14:val="none"/>
        </w:rPr>
        <w:t xml:space="preserve"> </w:t>
      </w:r>
      <w:proofErr w:type="spellStart"/>
      <w:r w:rsidR="00C43BF9" w:rsidRPr="00901686">
        <w:rPr>
          <w:rFonts w:eastAsia="Times New Roman"/>
          <w:i/>
          <w:iCs/>
          <w:kern w:val="0"/>
          <w:sz w:val="20"/>
          <w:szCs w:val="20"/>
          <w:lang w:val="es-ES"/>
          <w14:ligatures w14:val="none"/>
        </w:rPr>
        <w:t>to</w:t>
      </w:r>
      <w:proofErr w:type="spellEnd"/>
      <w:r w:rsidR="00C43BF9" w:rsidRPr="00901686">
        <w:rPr>
          <w:rFonts w:eastAsia="Times New Roman"/>
          <w:i/>
          <w:iCs/>
          <w:kern w:val="0"/>
          <w:sz w:val="20"/>
          <w:szCs w:val="20"/>
          <w:lang w:val="es-ES"/>
          <w14:ligatures w14:val="none"/>
        </w:rPr>
        <w:t xml:space="preserve"> </w:t>
      </w:r>
      <w:proofErr w:type="spellStart"/>
      <w:r w:rsidR="00C43BF9" w:rsidRPr="00901686">
        <w:rPr>
          <w:rFonts w:eastAsia="Times New Roman"/>
          <w:i/>
          <w:iCs/>
          <w:kern w:val="0"/>
          <w:sz w:val="20"/>
          <w:szCs w:val="20"/>
          <w:lang w:val="es-ES"/>
          <w14:ligatures w14:val="none"/>
        </w:rPr>
        <w:t>Investigate</w:t>
      </w:r>
      <w:proofErr w:type="spellEnd"/>
      <w:r w:rsidR="00C43BF9" w:rsidRPr="00901686">
        <w:rPr>
          <w:rFonts w:eastAsia="Times New Roman"/>
          <w:i/>
          <w:iCs/>
          <w:kern w:val="0"/>
          <w:sz w:val="20"/>
          <w:szCs w:val="20"/>
          <w:lang w:val="es-ES"/>
          <w14:ligatures w14:val="none"/>
        </w:rPr>
        <w:t xml:space="preserve"> </w:t>
      </w:r>
      <w:proofErr w:type="spellStart"/>
      <w:r w:rsidR="00C43BF9" w:rsidRPr="00901686">
        <w:rPr>
          <w:rFonts w:eastAsia="Times New Roman"/>
          <w:i/>
          <w:iCs/>
          <w:kern w:val="0"/>
          <w:sz w:val="20"/>
          <w:szCs w:val="20"/>
          <w:lang w:val="es-ES"/>
          <w14:ligatures w14:val="none"/>
        </w:rPr>
        <w:t>the</w:t>
      </w:r>
      <w:proofErr w:type="spellEnd"/>
      <w:r w:rsidR="00C43BF9" w:rsidRPr="00901686">
        <w:rPr>
          <w:rFonts w:eastAsia="Times New Roman"/>
          <w:i/>
          <w:iCs/>
          <w:kern w:val="0"/>
          <w:sz w:val="20"/>
          <w:szCs w:val="20"/>
          <w:lang w:val="es-ES"/>
          <w14:ligatures w14:val="none"/>
        </w:rPr>
        <w:t xml:space="preserve"> </w:t>
      </w:r>
      <w:proofErr w:type="spellStart"/>
      <w:r w:rsidR="00C43BF9" w:rsidRPr="00901686">
        <w:rPr>
          <w:rFonts w:eastAsia="Times New Roman"/>
          <w:i/>
          <w:iCs/>
          <w:kern w:val="0"/>
          <w:sz w:val="20"/>
          <w:szCs w:val="20"/>
          <w:lang w:val="es-ES"/>
          <w14:ligatures w14:val="none"/>
        </w:rPr>
        <w:t>January</w:t>
      </w:r>
      <w:proofErr w:type="spellEnd"/>
      <w:r w:rsidR="00C43BF9" w:rsidRPr="00901686">
        <w:rPr>
          <w:rFonts w:eastAsia="Times New Roman"/>
          <w:i/>
          <w:iCs/>
          <w:kern w:val="0"/>
          <w:sz w:val="20"/>
          <w:szCs w:val="20"/>
          <w:lang w:val="es-ES"/>
          <w14:ligatures w14:val="none"/>
        </w:rPr>
        <w:t xml:space="preserve"> 6th </w:t>
      </w:r>
      <w:proofErr w:type="spellStart"/>
      <w:r w:rsidR="00C43BF9" w:rsidRPr="00901686">
        <w:rPr>
          <w:rFonts w:eastAsia="Times New Roman"/>
          <w:i/>
          <w:iCs/>
          <w:kern w:val="0"/>
          <w:sz w:val="20"/>
          <w:szCs w:val="20"/>
          <w:lang w:val="es-ES"/>
          <w14:ligatures w14:val="none"/>
        </w:rPr>
        <w:t>Attack</w:t>
      </w:r>
      <w:proofErr w:type="spellEnd"/>
      <w:r w:rsidR="00C43BF9" w:rsidRPr="00901686">
        <w:rPr>
          <w:rFonts w:eastAsia="Times New Roman"/>
          <w:i/>
          <w:iCs/>
          <w:kern w:val="0"/>
          <w:sz w:val="20"/>
          <w:szCs w:val="20"/>
          <w:lang w:val="es-ES"/>
          <w14:ligatures w14:val="none"/>
        </w:rPr>
        <w:t xml:space="preserve"> </w:t>
      </w:r>
      <w:proofErr w:type="spellStart"/>
      <w:r w:rsidR="00C43BF9" w:rsidRPr="00901686">
        <w:rPr>
          <w:rFonts w:eastAsia="Times New Roman"/>
          <w:i/>
          <w:iCs/>
          <w:kern w:val="0"/>
          <w:sz w:val="20"/>
          <w:szCs w:val="20"/>
          <w:lang w:val="es-ES"/>
          <w14:ligatures w14:val="none"/>
        </w:rPr>
        <w:t>on</w:t>
      </w:r>
      <w:proofErr w:type="spellEnd"/>
      <w:r w:rsidR="00C43BF9" w:rsidRPr="00901686">
        <w:rPr>
          <w:rFonts w:eastAsia="Times New Roman"/>
          <w:i/>
          <w:iCs/>
          <w:kern w:val="0"/>
          <w:sz w:val="20"/>
          <w:szCs w:val="20"/>
          <w:lang w:val="es-ES"/>
          <w14:ligatures w14:val="none"/>
        </w:rPr>
        <w:t xml:space="preserve"> </w:t>
      </w:r>
      <w:proofErr w:type="spellStart"/>
      <w:r w:rsidR="00C43BF9" w:rsidRPr="00901686">
        <w:rPr>
          <w:rFonts w:eastAsia="Times New Roman"/>
          <w:i/>
          <w:iCs/>
          <w:kern w:val="0"/>
          <w:sz w:val="20"/>
          <w:szCs w:val="20"/>
          <w:lang w:val="es-ES"/>
          <w14:ligatures w14:val="none"/>
        </w:rPr>
        <w:t>the</w:t>
      </w:r>
      <w:proofErr w:type="spellEnd"/>
      <w:r w:rsidR="00C43BF9" w:rsidRPr="00901686">
        <w:rPr>
          <w:rFonts w:eastAsia="Times New Roman"/>
          <w:i/>
          <w:iCs/>
          <w:kern w:val="0"/>
          <w:sz w:val="20"/>
          <w:szCs w:val="20"/>
          <w:lang w:val="es-ES"/>
          <w14:ligatures w14:val="none"/>
        </w:rPr>
        <w:t xml:space="preserve"> U.S. Capitol</w:t>
      </w:r>
      <w:r w:rsidR="00C43BF9" w:rsidRPr="00901686">
        <w:rPr>
          <w:rFonts w:eastAsia="Times New Roman"/>
          <w:kern w:val="0"/>
          <w:sz w:val="20"/>
          <w:szCs w:val="20"/>
          <w:lang w:val="es-ES"/>
          <w14:ligatures w14:val="none"/>
        </w:rPr>
        <w:t xml:space="preserve">, H.R. Doc. No. 117-663 (2d </w:t>
      </w:r>
      <w:proofErr w:type="spellStart"/>
      <w:r w:rsidR="00C43BF9" w:rsidRPr="00901686">
        <w:rPr>
          <w:rFonts w:eastAsia="Times New Roman"/>
          <w:kern w:val="0"/>
          <w:sz w:val="20"/>
          <w:szCs w:val="20"/>
          <w:lang w:val="es-ES"/>
          <w14:ligatures w14:val="none"/>
        </w:rPr>
        <w:t>Sess</w:t>
      </w:r>
      <w:proofErr w:type="spellEnd"/>
      <w:r w:rsidR="00C43BF9" w:rsidRPr="00901686">
        <w:rPr>
          <w:rFonts w:eastAsia="Times New Roman"/>
          <w:kern w:val="0"/>
          <w:sz w:val="20"/>
          <w:szCs w:val="20"/>
          <w:lang w:val="es-ES"/>
          <w14:ligatures w14:val="none"/>
        </w:rPr>
        <w:t xml:space="preserve">. 2022). </w:t>
      </w:r>
      <w:r w:rsidR="00C43BF9" w:rsidRPr="00901686">
        <w:rPr>
          <w:rFonts w:eastAsia="Times New Roman"/>
          <w:kern w:val="0"/>
          <w:sz w:val="20"/>
          <w:szCs w:val="20"/>
          <w:lang w:val="es-ES"/>
          <w14:ligatures w14:val="none"/>
        </w:rPr>
        <w:t>A pesar de l</w:t>
      </w:r>
      <w:r w:rsidR="002A015A" w:rsidRPr="00901686">
        <w:rPr>
          <w:rFonts w:eastAsia="Times New Roman"/>
          <w:kern w:val="0"/>
          <w:sz w:val="20"/>
          <w:szCs w:val="20"/>
          <w:lang w:val="es-ES"/>
          <w14:ligatures w14:val="none"/>
        </w:rPr>
        <w:t>a</w:t>
      </w:r>
      <w:r w:rsidR="00C43BF9" w:rsidRPr="00901686">
        <w:rPr>
          <w:rFonts w:eastAsia="Times New Roman"/>
          <w:kern w:val="0"/>
          <w:sz w:val="20"/>
          <w:szCs w:val="20"/>
          <w:lang w:val="es-ES"/>
          <w14:ligatures w14:val="none"/>
        </w:rPr>
        <w:t xml:space="preserve">s miles de grabaciones en video y otras pruebas documentales que detallan ese ataque violento y exponen tanto su planificación como el intento de encubrirla, las guerras culturales de la década de 2020 incluyen hoy una campaña coordinada para borrar esa memoria y reemplazarla con una versión evidentemente falsa y orwelliana. Aunque parezca absurda a primera vista, esta misma ofensiva epistemológica fue lanzada por la Confederación derrotada en la década de 1860, que logró, con el tiempo, reemplazar el conocimiento histórico con mitologías racistas. Esas mitologías alimentan hoy las guerras culturales. </w:t>
      </w:r>
      <w:r w:rsidR="00C43BF9" w:rsidRPr="00901686">
        <w:rPr>
          <w:rFonts w:eastAsia="Times New Roman"/>
          <w:i/>
          <w:iCs/>
          <w:kern w:val="0"/>
          <w:sz w:val="20"/>
          <w:szCs w:val="20"/>
          <w:lang w:val="es-ES"/>
          <w14:ligatures w14:val="none"/>
        </w:rPr>
        <w:t>Véase</w:t>
      </w:r>
      <w:r w:rsidR="00C43BF9" w:rsidRPr="00901686">
        <w:rPr>
          <w:rFonts w:eastAsia="Times New Roman"/>
          <w:kern w:val="0"/>
          <w:sz w:val="20"/>
          <w:szCs w:val="20"/>
          <w:lang w:val="es-ES"/>
          <w14:ligatures w14:val="none"/>
        </w:rPr>
        <w:t xml:space="preserve"> David W. </w:t>
      </w:r>
      <w:proofErr w:type="spellStart"/>
      <w:r w:rsidR="00C43BF9" w:rsidRPr="00901686">
        <w:rPr>
          <w:rFonts w:eastAsia="Times New Roman"/>
          <w:kern w:val="0"/>
          <w:sz w:val="20"/>
          <w:szCs w:val="20"/>
          <w:lang w:val="es-ES"/>
          <w14:ligatures w14:val="none"/>
        </w:rPr>
        <w:t>Blight</w:t>
      </w:r>
      <w:proofErr w:type="spellEnd"/>
      <w:r w:rsidR="00C43BF9" w:rsidRPr="00901686">
        <w:rPr>
          <w:rFonts w:eastAsia="Times New Roman"/>
          <w:kern w:val="0"/>
          <w:sz w:val="20"/>
          <w:szCs w:val="20"/>
          <w:lang w:val="es-ES"/>
          <w14:ligatures w14:val="none"/>
        </w:rPr>
        <w:t xml:space="preserve">, </w:t>
      </w:r>
      <w:proofErr w:type="spellStart"/>
      <w:r w:rsidR="00C43BF9" w:rsidRPr="00901686">
        <w:rPr>
          <w:rFonts w:eastAsia="Times New Roman"/>
          <w:i/>
          <w:iCs/>
          <w:kern w:val="0"/>
          <w:sz w:val="20"/>
          <w:szCs w:val="20"/>
          <w:lang w:val="es-ES"/>
          <w14:ligatures w14:val="none"/>
        </w:rPr>
        <w:t>Race</w:t>
      </w:r>
      <w:proofErr w:type="spellEnd"/>
      <w:r w:rsidR="00C43BF9" w:rsidRPr="00901686">
        <w:rPr>
          <w:rFonts w:eastAsia="Times New Roman"/>
          <w:i/>
          <w:iCs/>
          <w:kern w:val="0"/>
          <w:sz w:val="20"/>
          <w:szCs w:val="20"/>
          <w:lang w:val="es-ES"/>
          <w14:ligatures w14:val="none"/>
        </w:rPr>
        <w:t xml:space="preserve"> and </w:t>
      </w:r>
      <w:proofErr w:type="spellStart"/>
      <w:r w:rsidR="00C43BF9" w:rsidRPr="00901686">
        <w:rPr>
          <w:rFonts w:eastAsia="Times New Roman"/>
          <w:i/>
          <w:iCs/>
          <w:kern w:val="0"/>
          <w:sz w:val="20"/>
          <w:szCs w:val="20"/>
          <w:lang w:val="es-ES"/>
          <w14:ligatures w14:val="none"/>
        </w:rPr>
        <w:t>Reunion</w:t>
      </w:r>
      <w:proofErr w:type="spellEnd"/>
      <w:r w:rsidR="00C43BF9" w:rsidRPr="00901686">
        <w:rPr>
          <w:rFonts w:eastAsia="Times New Roman"/>
          <w:i/>
          <w:iCs/>
          <w:kern w:val="0"/>
          <w:sz w:val="20"/>
          <w:szCs w:val="20"/>
          <w:lang w:val="es-ES"/>
          <w14:ligatures w14:val="none"/>
        </w:rPr>
        <w:t xml:space="preserve">: </w:t>
      </w:r>
      <w:proofErr w:type="spellStart"/>
      <w:r w:rsidR="00C43BF9" w:rsidRPr="00901686">
        <w:rPr>
          <w:rFonts w:eastAsia="Times New Roman"/>
          <w:i/>
          <w:iCs/>
          <w:kern w:val="0"/>
          <w:sz w:val="20"/>
          <w:szCs w:val="20"/>
          <w:lang w:val="es-ES"/>
          <w14:ligatures w14:val="none"/>
        </w:rPr>
        <w:t>The</w:t>
      </w:r>
      <w:proofErr w:type="spellEnd"/>
      <w:r w:rsidR="00C43BF9" w:rsidRPr="00901686">
        <w:rPr>
          <w:rFonts w:eastAsia="Times New Roman"/>
          <w:i/>
          <w:iCs/>
          <w:kern w:val="0"/>
          <w:sz w:val="20"/>
          <w:szCs w:val="20"/>
          <w:lang w:val="es-ES"/>
          <w14:ligatures w14:val="none"/>
        </w:rPr>
        <w:t xml:space="preserve"> Civil </w:t>
      </w:r>
      <w:proofErr w:type="spellStart"/>
      <w:r w:rsidR="00C43BF9" w:rsidRPr="00901686">
        <w:rPr>
          <w:rFonts w:eastAsia="Times New Roman"/>
          <w:i/>
          <w:iCs/>
          <w:kern w:val="0"/>
          <w:sz w:val="20"/>
          <w:szCs w:val="20"/>
          <w:lang w:val="es-ES"/>
          <w14:ligatures w14:val="none"/>
        </w:rPr>
        <w:t>War</w:t>
      </w:r>
      <w:proofErr w:type="spellEnd"/>
      <w:r w:rsidR="00C43BF9" w:rsidRPr="00901686">
        <w:rPr>
          <w:rFonts w:eastAsia="Times New Roman"/>
          <w:i/>
          <w:iCs/>
          <w:kern w:val="0"/>
          <w:sz w:val="20"/>
          <w:szCs w:val="20"/>
          <w:lang w:val="es-ES"/>
          <w14:ligatures w14:val="none"/>
        </w:rPr>
        <w:t xml:space="preserve"> in American </w:t>
      </w:r>
      <w:proofErr w:type="spellStart"/>
      <w:r w:rsidR="00C43BF9" w:rsidRPr="00901686">
        <w:rPr>
          <w:rFonts w:eastAsia="Times New Roman"/>
          <w:i/>
          <w:iCs/>
          <w:kern w:val="0"/>
          <w:sz w:val="20"/>
          <w:szCs w:val="20"/>
          <w:lang w:val="es-ES"/>
          <w14:ligatures w14:val="none"/>
        </w:rPr>
        <w:t>Memory</w:t>
      </w:r>
      <w:proofErr w:type="spellEnd"/>
      <w:r w:rsidR="00C43BF9" w:rsidRPr="00901686">
        <w:rPr>
          <w:rFonts w:eastAsia="Times New Roman"/>
          <w:kern w:val="0"/>
          <w:sz w:val="20"/>
          <w:szCs w:val="20"/>
          <w:lang w:val="es-ES"/>
          <w14:ligatures w14:val="none"/>
        </w:rPr>
        <w:t xml:space="preserve"> (2001); C. Vann Woodward, </w:t>
      </w:r>
      <w:proofErr w:type="spellStart"/>
      <w:r w:rsidR="00C43BF9" w:rsidRPr="00901686">
        <w:rPr>
          <w:rFonts w:eastAsia="Times New Roman"/>
          <w:i/>
          <w:iCs/>
          <w:kern w:val="0"/>
          <w:sz w:val="20"/>
          <w:szCs w:val="20"/>
          <w:lang w:val="es-ES"/>
          <w14:ligatures w14:val="none"/>
        </w:rPr>
        <w:t>Reunion</w:t>
      </w:r>
      <w:proofErr w:type="spellEnd"/>
      <w:r w:rsidR="00C43BF9" w:rsidRPr="00901686">
        <w:rPr>
          <w:rFonts w:eastAsia="Times New Roman"/>
          <w:i/>
          <w:iCs/>
          <w:kern w:val="0"/>
          <w:sz w:val="20"/>
          <w:szCs w:val="20"/>
          <w:lang w:val="es-ES"/>
          <w14:ligatures w14:val="none"/>
        </w:rPr>
        <w:t xml:space="preserve"> and </w:t>
      </w:r>
      <w:proofErr w:type="spellStart"/>
      <w:r w:rsidR="00C43BF9" w:rsidRPr="00901686">
        <w:rPr>
          <w:rFonts w:eastAsia="Times New Roman"/>
          <w:i/>
          <w:iCs/>
          <w:kern w:val="0"/>
          <w:sz w:val="20"/>
          <w:szCs w:val="20"/>
          <w:lang w:val="es-ES"/>
          <w14:ligatures w14:val="none"/>
        </w:rPr>
        <w:t>Reaction</w:t>
      </w:r>
      <w:proofErr w:type="spellEnd"/>
      <w:r w:rsidR="00C43BF9" w:rsidRPr="00901686">
        <w:rPr>
          <w:rFonts w:eastAsia="Times New Roman"/>
          <w:i/>
          <w:iCs/>
          <w:kern w:val="0"/>
          <w:sz w:val="20"/>
          <w:szCs w:val="20"/>
          <w:lang w:val="es-ES"/>
          <w14:ligatures w14:val="none"/>
        </w:rPr>
        <w:t xml:space="preserve">: </w:t>
      </w:r>
      <w:proofErr w:type="spellStart"/>
      <w:r w:rsidR="00C43BF9" w:rsidRPr="00901686">
        <w:rPr>
          <w:rFonts w:eastAsia="Times New Roman"/>
          <w:i/>
          <w:iCs/>
          <w:kern w:val="0"/>
          <w:sz w:val="20"/>
          <w:szCs w:val="20"/>
          <w:lang w:val="es-ES"/>
          <w14:ligatures w14:val="none"/>
        </w:rPr>
        <w:t>The</w:t>
      </w:r>
      <w:proofErr w:type="spellEnd"/>
      <w:r w:rsidR="00C43BF9" w:rsidRPr="00901686">
        <w:rPr>
          <w:rFonts w:eastAsia="Times New Roman"/>
          <w:i/>
          <w:iCs/>
          <w:kern w:val="0"/>
          <w:sz w:val="20"/>
          <w:szCs w:val="20"/>
          <w:lang w:val="es-ES"/>
          <w14:ligatures w14:val="none"/>
        </w:rPr>
        <w:t xml:space="preserve"> </w:t>
      </w:r>
      <w:proofErr w:type="spellStart"/>
      <w:r w:rsidR="00C43BF9" w:rsidRPr="00901686">
        <w:rPr>
          <w:rFonts w:eastAsia="Times New Roman"/>
          <w:i/>
          <w:iCs/>
          <w:kern w:val="0"/>
          <w:sz w:val="20"/>
          <w:szCs w:val="20"/>
          <w:lang w:val="es-ES"/>
          <w14:ligatures w14:val="none"/>
        </w:rPr>
        <w:t>Compromise</w:t>
      </w:r>
      <w:proofErr w:type="spellEnd"/>
      <w:r w:rsidR="00C43BF9" w:rsidRPr="00901686">
        <w:rPr>
          <w:rFonts w:eastAsia="Times New Roman"/>
          <w:i/>
          <w:iCs/>
          <w:kern w:val="0"/>
          <w:sz w:val="20"/>
          <w:szCs w:val="20"/>
          <w:lang w:val="es-ES"/>
          <w14:ligatures w14:val="none"/>
        </w:rPr>
        <w:t xml:space="preserve"> of 1877 and </w:t>
      </w:r>
      <w:proofErr w:type="spellStart"/>
      <w:r w:rsidR="00C43BF9" w:rsidRPr="00901686">
        <w:rPr>
          <w:rFonts w:eastAsia="Times New Roman"/>
          <w:i/>
          <w:iCs/>
          <w:kern w:val="0"/>
          <w:sz w:val="20"/>
          <w:szCs w:val="20"/>
          <w:lang w:val="es-ES"/>
          <w14:ligatures w14:val="none"/>
        </w:rPr>
        <w:t>the</w:t>
      </w:r>
      <w:proofErr w:type="spellEnd"/>
      <w:r w:rsidR="00C43BF9" w:rsidRPr="00901686">
        <w:rPr>
          <w:rFonts w:eastAsia="Times New Roman"/>
          <w:i/>
          <w:iCs/>
          <w:kern w:val="0"/>
          <w:sz w:val="20"/>
          <w:szCs w:val="20"/>
          <w:lang w:val="es-ES"/>
          <w14:ligatures w14:val="none"/>
        </w:rPr>
        <w:t xml:space="preserve"> </w:t>
      </w:r>
      <w:proofErr w:type="spellStart"/>
      <w:r w:rsidR="00C43BF9" w:rsidRPr="00901686">
        <w:rPr>
          <w:rFonts w:eastAsia="Times New Roman"/>
          <w:i/>
          <w:iCs/>
          <w:kern w:val="0"/>
          <w:sz w:val="20"/>
          <w:szCs w:val="20"/>
          <w:lang w:val="es-ES"/>
          <w14:ligatures w14:val="none"/>
        </w:rPr>
        <w:t>End</w:t>
      </w:r>
      <w:proofErr w:type="spellEnd"/>
      <w:r w:rsidR="00C43BF9" w:rsidRPr="00901686">
        <w:rPr>
          <w:rFonts w:eastAsia="Times New Roman"/>
          <w:i/>
          <w:iCs/>
          <w:kern w:val="0"/>
          <w:sz w:val="20"/>
          <w:szCs w:val="20"/>
          <w:lang w:val="es-ES"/>
          <w14:ligatures w14:val="none"/>
        </w:rPr>
        <w:t xml:space="preserve"> of </w:t>
      </w:r>
      <w:proofErr w:type="spellStart"/>
      <w:r w:rsidR="00C43BF9" w:rsidRPr="00901686">
        <w:rPr>
          <w:rFonts w:eastAsia="Times New Roman"/>
          <w:i/>
          <w:iCs/>
          <w:kern w:val="0"/>
          <w:sz w:val="20"/>
          <w:szCs w:val="20"/>
          <w:lang w:val="es-ES"/>
          <w14:ligatures w14:val="none"/>
        </w:rPr>
        <w:t>Reconstruction</w:t>
      </w:r>
      <w:proofErr w:type="spellEnd"/>
      <w:r w:rsidR="00C43BF9" w:rsidRPr="00901686">
        <w:rPr>
          <w:rFonts w:eastAsia="Times New Roman"/>
          <w:kern w:val="0"/>
          <w:sz w:val="20"/>
          <w:szCs w:val="20"/>
          <w:lang w:val="es-ES"/>
          <w14:ligatures w14:val="none"/>
        </w:rPr>
        <w:t xml:space="preserve"> (1966).</w:t>
      </w:r>
    </w:p>
  </w:footnote>
  <w:footnote w:id="4">
    <w:p w14:paraId="46741D92" w14:textId="10CA2A20" w:rsidR="00C835C3" w:rsidRPr="00901686" w:rsidRDefault="00C835C3" w:rsidP="00340C73">
      <w:pPr>
        <w:pStyle w:val="NormalWeb"/>
        <w:rPr>
          <w:rFonts w:eastAsia="Times New Roman"/>
          <w:kern w:val="0"/>
          <w:sz w:val="20"/>
          <w:szCs w:val="20"/>
          <w:lang w:val="es-ES"/>
          <w14:ligatures w14:val="none"/>
        </w:rPr>
      </w:pPr>
      <w:r w:rsidRPr="00901686">
        <w:rPr>
          <w:rStyle w:val="FootnoteReference"/>
          <w:sz w:val="20"/>
          <w:szCs w:val="20"/>
          <w:lang w:val="es-ES"/>
        </w:rPr>
        <w:t>4</w:t>
      </w:r>
      <w:r w:rsidRPr="00901686">
        <w:rPr>
          <w:sz w:val="20"/>
          <w:szCs w:val="20"/>
          <w:lang w:val="es-ES"/>
        </w:rPr>
        <w:t xml:space="preserve"> </w:t>
      </w:r>
      <w:r w:rsidR="00340C73" w:rsidRPr="00901686">
        <w:rPr>
          <w:rFonts w:eastAsia="Times New Roman"/>
          <w:i/>
          <w:iCs/>
          <w:kern w:val="0"/>
          <w:sz w:val="20"/>
          <w:szCs w:val="20"/>
          <w:lang w:val="es-ES"/>
          <w14:ligatures w14:val="none"/>
        </w:rPr>
        <w:t>Véase</w:t>
      </w:r>
      <w:r w:rsidR="00340C73" w:rsidRPr="00901686">
        <w:rPr>
          <w:rFonts w:eastAsia="Times New Roman"/>
          <w:kern w:val="0"/>
          <w:sz w:val="20"/>
          <w:szCs w:val="20"/>
          <w:lang w:val="es-ES"/>
          <w14:ligatures w14:val="none"/>
        </w:rPr>
        <w:t xml:space="preserve"> Michael </w:t>
      </w:r>
      <w:proofErr w:type="spellStart"/>
      <w:r w:rsidR="00340C73" w:rsidRPr="00901686">
        <w:rPr>
          <w:rFonts w:eastAsia="Times New Roman"/>
          <w:kern w:val="0"/>
          <w:sz w:val="20"/>
          <w:szCs w:val="20"/>
          <w:lang w:val="es-ES"/>
          <w14:ligatures w14:val="none"/>
        </w:rPr>
        <w:t>Scherer</w:t>
      </w:r>
      <w:proofErr w:type="spellEnd"/>
      <w:r w:rsidR="00340C73" w:rsidRPr="00901686">
        <w:rPr>
          <w:rFonts w:eastAsia="Times New Roman"/>
          <w:kern w:val="0"/>
          <w:sz w:val="20"/>
          <w:szCs w:val="20"/>
          <w:lang w:val="es-ES"/>
          <w14:ligatures w14:val="none"/>
        </w:rPr>
        <w:t xml:space="preserve">, Ashley Parker y Tyler </w:t>
      </w:r>
      <w:proofErr w:type="spellStart"/>
      <w:r w:rsidR="00340C73" w:rsidRPr="00901686">
        <w:rPr>
          <w:rFonts w:eastAsia="Times New Roman"/>
          <w:kern w:val="0"/>
          <w:sz w:val="20"/>
          <w:szCs w:val="20"/>
          <w:lang w:val="es-ES"/>
          <w14:ligatures w14:val="none"/>
        </w:rPr>
        <w:t>Pager</w:t>
      </w:r>
      <w:proofErr w:type="spellEnd"/>
      <w:r w:rsidR="00340C73" w:rsidRPr="00901686">
        <w:rPr>
          <w:rFonts w:eastAsia="Times New Roman"/>
          <w:kern w:val="0"/>
          <w:sz w:val="20"/>
          <w:szCs w:val="20"/>
          <w:lang w:val="es-ES"/>
          <w14:ligatures w14:val="none"/>
        </w:rPr>
        <w:t xml:space="preserve">, </w:t>
      </w:r>
      <w:proofErr w:type="spellStart"/>
      <w:r w:rsidR="00340C73" w:rsidRPr="00901686">
        <w:rPr>
          <w:rFonts w:eastAsia="Times New Roman"/>
          <w:i/>
          <w:iCs/>
          <w:kern w:val="0"/>
          <w:sz w:val="20"/>
          <w:szCs w:val="20"/>
          <w:lang w:val="es-ES"/>
          <w14:ligatures w14:val="none"/>
        </w:rPr>
        <w:t>Historians</w:t>
      </w:r>
      <w:proofErr w:type="spellEnd"/>
      <w:r w:rsidR="00340C73" w:rsidRPr="00901686">
        <w:rPr>
          <w:rFonts w:eastAsia="Times New Roman"/>
          <w:i/>
          <w:iCs/>
          <w:kern w:val="0"/>
          <w:sz w:val="20"/>
          <w:szCs w:val="20"/>
          <w:lang w:val="es-ES"/>
          <w14:ligatures w14:val="none"/>
        </w:rPr>
        <w:t xml:space="preserve"> </w:t>
      </w:r>
      <w:proofErr w:type="spellStart"/>
      <w:r w:rsidR="00340C73" w:rsidRPr="00901686">
        <w:rPr>
          <w:rFonts w:eastAsia="Times New Roman"/>
          <w:i/>
          <w:iCs/>
          <w:kern w:val="0"/>
          <w:sz w:val="20"/>
          <w:szCs w:val="20"/>
          <w:lang w:val="es-ES"/>
          <w14:ligatures w14:val="none"/>
        </w:rPr>
        <w:t>Privately</w:t>
      </w:r>
      <w:proofErr w:type="spellEnd"/>
      <w:r w:rsidR="00340C73" w:rsidRPr="00901686">
        <w:rPr>
          <w:rFonts w:eastAsia="Times New Roman"/>
          <w:i/>
          <w:iCs/>
          <w:kern w:val="0"/>
          <w:sz w:val="20"/>
          <w:szCs w:val="20"/>
          <w:lang w:val="es-ES"/>
          <w14:ligatures w14:val="none"/>
        </w:rPr>
        <w:t xml:space="preserve"> </w:t>
      </w:r>
      <w:proofErr w:type="spellStart"/>
      <w:r w:rsidR="00340C73" w:rsidRPr="00901686">
        <w:rPr>
          <w:rFonts w:eastAsia="Times New Roman"/>
          <w:i/>
          <w:iCs/>
          <w:kern w:val="0"/>
          <w:sz w:val="20"/>
          <w:szCs w:val="20"/>
          <w:lang w:val="es-ES"/>
          <w14:ligatures w14:val="none"/>
        </w:rPr>
        <w:t>Warn</w:t>
      </w:r>
      <w:proofErr w:type="spellEnd"/>
      <w:r w:rsidR="00340C73" w:rsidRPr="00901686">
        <w:rPr>
          <w:rFonts w:eastAsia="Times New Roman"/>
          <w:i/>
          <w:iCs/>
          <w:kern w:val="0"/>
          <w:sz w:val="20"/>
          <w:szCs w:val="20"/>
          <w:lang w:val="es-ES"/>
          <w14:ligatures w14:val="none"/>
        </w:rPr>
        <w:t xml:space="preserve"> </w:t>
      </w:r>
      <w:proofErr w:type="spellStart"/>
      <w:r w:rsidR="00340C73" w:rsidRPr="00901686">
        <w:rPr>
          <w:rFonts w:eastAsia="Times New Roman"/>
          <w:i/>
          <w:iCs/>
          <w:kern w:val="0"/>
          <w:sz w:val="20"/>
          <w:szCs w:val="20"/>
          <w:lang w:val="es-ES"/>
          <w14:ligatures w14:val="none"/>
        </w:rPr>
        <w:t>Biden</w:t>
      </w:r>
      <w:proofErr w:type="spellEnd"/>
      <w:r w:rsidR="00340C73" w:rsidRPr="00901686">
        <w:rPr>
          <w:rFonts w:eastAsia="Times New Roman"/>
          <w:i/>
          <w:iCs/>
          <w:kern w:val="0"/>
          <w:sz w:val="20"/>
          <w:szCs w:val="20"/>
          <w:lang w:val="es-ES"/>
          <w14:ligatures w14:val="none"/>
        </w:rPr>
        <w:t xml:space="preserve"> </w:t>
      </w:r>
      <w:proofErr w:type="spellStart"/>
      <w:r w:rsidR="00340C73" w:rsidRPr="00901686">
        <w:rPr>
          <w:rFonts w:eastAsia="Times New Roman"/>
          <w:i/>
          <w:iCs/>
          <w:kern w:val="0"/>
          <w:sz w:val="20"/>
          <w:szCs w:val="20"/>
          <w:lang w:val="es-ES"/>
          <w14:ligatures w14:val="none"/>
        </w:rPr>
        <w:t>that</w:t>
      </w:r>
      <w:proofErr w:type="spellEnd"/>
      <w:r w:rsidR="00340C73" w:rsidRPr="00901686">
        <w:rPr>
          <w:rFonts w:eastAsia="Times New Roman"/>
          <w:i/>
          <w:iCs/>
          <w:kern w:val="0"/>
          <w:sz w:val="20"/>
          <w:szCs w:val="20"/>
          <w:lang w:val="es-ES"/>
          <w14:ligatures w14:val="none"/>
        </w:rPr>
        <w:t xml:space="preserve"> </w:t>
      </w:r>
      <w:proofErr w:type="spellStart"/>
      <w:r w:rsidR="00340C73" w:rsidRPr="00901686">
        <w:rPr>
          <w:rFonts w:eastAsia="Times New Roman"/>
          <w:i/>
          <w:iCs/>
          <w:kern w:val="0"/>
          <w:sz w:val="20"/>
          <w:szCs w:val="20"/>
          <w:lang w:val="es-ES"/>
          <w14:ligatures w14:val="none"/>
        </w:rPr>
        <w:t>America’s</w:t>
      </w:r>
      <w:proofErr w:type="spellEnd"/>
      <w:r w:rsidR="00340C73" w:rsidRPr="00901686">
        <w:rPr>
          <w:rFonts w:eastAsia="Times New Roman"/>
          <w:i/>
          <w:iCs/>
          <w:kern w:val="0"/>
          <w:sz w:val="20"/>
          <w:szCs w:val="20"/>
          <w:lang w:val="es-ES"/>
          <w14:ligatures w14:val="none"/>
        </w:rPr>
        <w:t xml:space="preserve"> </w:t>
      </w:r>
      <w:proofErr w:type="spellStart"/>
      <w:r w:rsidR="00340C73" w:rsidRPr="00901686">
        <w:rPr>
          <w:rFonts w:eastAsia="Times New Roman"/>
          <w:i/>
          <w:iCs/>
          <w:kern w:val="0"/>
          <w:sz w:val="20"/>
          <w:szCs w:val="20"/>
          <w:lang w:val="es-ES"/>
          <w14:ligatures w14:val="none"/>
        </w:rPr>
        <w:t>Democracy</w:t>
      </w:r>
      <w:proofErr w:type="spellEnd"/>
      <w:r w:rsidR="00340C73" w:rsidRPr="00901686">
        <w:rPr>
          <w:rFonts w:eastAsia="Times New Roman"/>
          <w:i/>
          <w:iCs/>
          <w:kern w:val="0"/>
          <w:sz w:val="20"/>
          <w:szCs w:val="20"/>
          <w:lang w:val="es-ES"/>
          <w14:ligatures w14:val="none"/>
        </w:rPr>
        <w:t xml:space="preserve"> </w:t>
      </w:r>
      <w:proofErr w:type="spellStart"/>
      <w:r w:rsidR="00340C73" w:rsidRPr="00901686">
        <w:rPr>
          <w:rFonts w:eastAsia="Times New Roman"/>
          <w:i/>
          <w:iCs/>
          <w:kern w:val="0"/>
          <w:sz w:val="20"/>
          <w:szCs w:val="20"/>
          <w:lang w:val="es-ES"/>
          <w14:ligatures w14:val="none"/>
        </w:rPr>
        <w:t>Is</w:t>
      </w:r>
      <w:proofErr w:type="spellEnd"/>
      <w:r w:rsidR="00340C73" w:rsidRPr="00901686">
        <w:rPr>
          <w:rFonts w:eastAsia="Times New Roman"/>
          <w:i/>
          <w:iCs/>
          <w:kern w:val="0"/>
          <w:sz w:val="20"/>
          <w:szCs w:val="20"/>
          <w:lang w:val="es-ES"/>
          <w14:ligatures w14:val="none"/>
        </w:rPr>
        <w:t xml:space="preserve"> </w:t>
      </w:r>
      <w:proofErr w:type="spellStart"/>
      <w:r w:rsidR="00340C73" w:rsidRPr="00901686">
        <w:rPr>
          <w:rFonts w:eastAsia="Times New Roman"/>
          <w:i/>
          <w:iCs/>
          <w:kern w:val="0"/>
          <w:sz w:val="20"/>
          <w:szCs w:val="20"/>
          <w:lang w:val="es-ES"/>
          <w14:ligatures w14:val="none"/>
        </w:rPr>
        <w:t>Teetering</w:t>
      </w:r>
      <w:proofErr w:type="spellEnd"/>
      <w:r w:rsidR="00340C73" w:rsidRPr="00901686">
        <w:rPr>
          <w:rFonts w:eastAsia="Times New Roman"/>
          <w:kern w:val="0"/>
          <w:sz w:val="20"/>
          <w:szCs w:val="20"/>
          <w:lang w:val="es-ES"/>
          <w14:ligatures w14:val="none"/>
        </w:rPr>
        <w:t xml:space="preserve">, </w:t>
      </w:r>
      <w:r w:rsidR="00340C73" w:rsidRPr="00901686">
        <w:rPr>
          <w:rFonts w:eastAsia="Times New Roman"/>
          <w:i/>
          <w:iCs/>
          <w:kern w:val="0"/>
          <w:sz w:val="20"/>
          <w:szCs w:val="20"/>
          <w:lang w:val="es-ES"/>
          <w14:ligatures w14:val="none"/>
        </w:rPr>
        <w:t>Washington Post</w:t>
      </w:r>
      <w:r w:rsidR="00340C73" w:rsidRPr="00901686">
        <w:rPr>
          <w:rFonts w:eastAsia="Times New Roman"/>
          <w:kern w:val="0"/>
          <w:sz w:val="20"/>
          <w:szCs w:val="20"/>
          <w:lang w:val="es-ES"/>
          <w14:ligatures w14:val="none"/>
        </w:rPr>
        <w:t xml:space="preserve"> (10 de agosto de 2022), https://www.washingtonpost.com/politics/2022/08/10/biden-us-historians-democracy-threat/ (reseña los informes de prensa sobre esa reunión). Para una exploración histórica de los temas tratados, desarrollada por una de las personas participantes en ese encuentro, véase Jon </w:t>
      </w:r>
      <w:proofErr w:type="spellStart"/>
      <w:r w:rsidR="00340C73" w:rsidRPr="00901686">
        <w:rPr>
          <w:rFonts w:eastAsia="Times New Roman"/>
          <w:kern w:val="0"/>
          <w:sz w:val="20"/>
          <w:szCs w:val="20"/>
          <w:lang w:val="es-ES"/>
          <w14:ligatures w14:val="none"/>
        </w:rPr>
        <w:t>Meacham</w:t>
      </w:r>
      <w:proofErr w:type="spellEnd"/>
      <w:r w:rsidR="00340C73" w:rsidRPr="00901686">
        <w:rPr>
          <w:rFonts w:eastAsia="Times New Roman"/>
          <w:kern w:val="0"/>
          <w:sz w:val="20"/>
          <w:szCs w:val="20"/>
          <w:lang w:val="es-ES"/>
          <w14:ligatures w14:val="none"/>
        </w:rPr>
        <w:t xml:space="preserve">, </w:t>
      </w:r>
      <w:r w:rsidR="00340C73" w:rsidRPr="00901686">
        <w:rPr>
          <w:rFonts w:eastAsia="Times New Roman"/>
          <w:i/>
          <w:iCs/>
          <w:kern w:val="0"/>
          <w:sz w:val="20"/>
          <w:szCs w:val="20"/>
          <w:lang w:val="es-ES"/>
          <w14:ligatures w14:val="none"/>
        </w:rPr>
        <w:t xml:space="preserve">And </w:t>
      </w:r>
      <w:proofErr w:type="spellStart"/>
      <w:r w:rsidR="00340C73" w:rsidRPr="00901686">
        <w:rPr>
          <w:rFonts w:eastAsia="Times New Roman"/>
          <w:i/>
          <w:iCs/>
          <w:kern w:val="0"/>
          <w:sz w:val="20"/>
          <w:szCs w:val="20"/>
          <w:lang w:val="es-ES"/>
          <w14:ligatures w14:val="none"/>
        </w:rPr>
        <w:t>There</w:t>
      </w:r>
      <w:proofErr w:type="spellEnd"/>
      <w:r w:rsidR="00340C73" w:rsidRPr="00901686">
        <w:rPr>
          <w:rFonts w:eastAsia="Times New Roman"/>
          <w:i/>
          <w:iCs/>
          <w:kern w:val="0"/>
          <w:sz w:val="20"/>
          <w:szCs w:val="20"/>
          <w:lang w:val="es-ES"/>
          <w14:ligatures w14:val="none"/>
        </w:rPr>
        <w:t xml:space="preserve"> </w:t>
      </w:r>
      <w:proofErr w:type="spellStart"/>
      <w:r w:rsidR="00340C73" w:rsidRPr="00901686">
        <w:rPr>
          <w:rFonts w:eastAsia="Times New Roman"/>
          <w:i/>
          <w:iCs/>
          <w:kern w:val="0"/>
          <w:sz w:val="20"/>
          <w:szCs w:val="20"/>
          <w:lang w:val="es-ES"/>
          <w14:ligatures w14:val="none"/>
        </w:rPr>
        <w:t>Was</w:t>
      </w:r>
      <w:proofErr w:type="spellEnd"/>
      <w:r w:rsidR="00340C73" w:rsidRPr="00901686">
        <w:rPr>
          <w:rFonts w:eastAsia="Times New Roman"/>
          <w:i/>
          <w:iCs/>
          <w:kern w:val="0"/>
          <w:sz w:val="20"/>
          <w:szCs w:val="20"/>
          <w:lang w:val="es-ES"/>
          <w14:ligatures w14:val="none"/>
        </w:rPr>
        <w:t xml:space="preserve"> Light: Abraham Lincoln and </w:t>
      </w:r>
      <w:proofErr w:type="spellStart"/>
      <w:r w:rsidR="00340C73" w:rsidRPr="00901686">
        <w:rPr>
          <w:rFonts w:eastAsia="Times New Roman"/>
          <w:i/>
          <w:iCs/>
          <w:kern w:val="0"/>
          <w:sz w:val="20"/>
          <w:szCs w:val="20"/>
          <w:lang w:val="es-ES"/>
          <w14:ligatures w14:val="none"/>
        </w:rPr>
        <w:t>the</w:t>
      </w:r>
      <w:proofErr w:type="spellEnd"/>
      <w:r w:rsidR="00340C73" w:rsidRPr="00901686">
        <w:rPr>
          <w:rFonts w:eastAsia="Times New Roman"/>
          <w:i/>
          <w:iCs/>
          <w:kern w:val="0"/>
          <w:sz w:val="20"/>
          <w:szCs w:val="20"/>
          <w:lang w:val="es-ES"/>
          <w14:ligatures w14:val="none"/>
        </w:rPr>
        <w:t xml:space="preserve"> American </w:t>
      </w:r>
      <w:proofErr w:type="spellStart"/>
      <w:r w:rsidR="00340C73" w:rsidRPr="00901686">
        <w:rPr>
          <w:rFonts w:eastAsia="Times New Roman"/>
          <w:i/>
          <w:iCs/>
          <w:kern w:val="0"/>
          <w:sz w:val="20"/>
          <w:szCs w:val="20"/>
          <w:lang w:val="es-ES"/>
          <w14:ligatures w14:val="none"/>
        </w:rPr>
        <w:t>Struggle</w:t>
      </w:r>
      <w:proofErr w:type="spellEnd"/>
      <w:r w:rsidR="00340C73" w:rsidRPr="00901686">
        <w:rPr>
          <w:rFonts w:eastAsia="Times New Roman"/>
          <w:kern w:val="0"/>
          <w:sz w:val="20"/>
          <w:szCs w:val="20"/>
          <w:lang w:val="es-ES"/>
          <w14:ligatures w14:val="none"/>
        </w:rPr>
        <w:t xml:space="preserve"> (2022).</w:t>
      </w:r>
    </w:p>
  </w:footnote>
  <w:footnote w:id="5">
    <w:p w14:paraId="329B146D" w14:textId="617874AA" w:rsidR="00C835C3" w:rsidRPr="00901686" w:rsidRDefault="00C835C3" w:rsidP="00C835C3">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5</w:t>
      </w:r>
      <w:r w:rsidRPr="00901686">
        <w:rPr>
          <w:rFonts w:ascii="Times New Roman" w:hAnsi="Times New Roman" w:cs="Times New Roman"/>
          <w:i/>
          <w:lang w:val="es-ES"/>
        </w:rPr>
        <w:t xml:space="preserve"> </w:t>
      </w:r>
      <w:r w:rsidR="00BA1E24" w:rsidRPr="00901686">
        <w:rPr>
          <w:rFonts w:ascii="Times New Roman" w:hAnsi="Times New Roman" w:cs="Times New Roman"/>
          <w:lang w:val="es-ES"/>
        </w:rPr>
        <w:t xml:space="preserve">Para exposiciones clásicas y exhaustivas, </w:t>
      </w:r>
      <w:r w:rsidR="00BA1E24" w:rsidRPr="00901686">
        <w:rPr>
          <w:rFonts w:ascii="Times New Roman" w:hAnsi="Times New Roman" w:cs="Times New Roman"/>
          <w:i/>
          <w:iCs/>
          <w:lang w:val="es-ES"/>
        </w:rPr>
        <w:t>véase</w:t>
      </w:r>
      <w:r w:rsidR="00BA1E24" w:rsidRPr="00901686">
        <w:rPr>
          <w:rFonts w:ascii="Times New Roman" w:hAnsi="Times New Roman" w:cs="Times New Roman"/>
          <w:lang w:val="es-ES"/>
        </w:rPr>
        <w:t xml:space="preserve"> William L. </w:t>
      </w:r>
      <w:proofErr w:type="spellStart"/>
      <w:r w:rsidR="00BA1E24" w:rsidRPr="00901686">
        <w:rPr>
          <w:rFonts w:ascii="Times New Roman" w:hAnsi="Times New Roman" w:cs="Times New Roman"/>
          <w:lang w:val="es-ES"/>
        </w:rPr>
        <w:t>Shirer</w:t>
      </w:r>
      <w:proofErr w:type="spellEnd"/>
      <w:r w:rsidR="00BA1E24" w:rsidRPr="00901686">
        <w:rPr>
          <w:rFonts w:ascii="Times New Roman" w:hAnsi="Times New Roman" w:cs="Times New Roman"/>
          <w:lang w:val="es-ES"/>
        </w:rPr>
        <w:t xml:space="preserve">, </w:t>
      </w:r>
      <w:proofErr w:type="spellStart"/>
      <w:r w:rsidR="00BA1E24" w:rsidRPr="00901686">
        <w:rPr>
          <w:rStyle w:val="Emphasis"/>
          <w:rFonts w:ascii="Times New Roman" w:hAnsi="Times New Roman" w:cs="Times New Roman"/>
          <w:lang w:val="es-ES"/>
        </w:rPr>
        <w:t>The</w:t>
      </w:r>
      <w:proofErr w:type="spellEnd"/>
      <w:r w:rsidR="00BA1E24" w:rsidRPr="00901686">
        <w:rPr>
          <w:rStyle w:val="Emphasis"/>
          <w:rFonts w:ascii="Times New Roman" w:hAnsi="Times New Roman" w:cs="Times New Roman"/>
          <w:lang w:val="es-ES"/>
        </w:rPr>
        <w:t xml:space="preserve"> </w:t>
      </w:r>
      <w:proofErr w:type="spellStart"/>
      <w:r w:rsidR="00BA1E24" w:rsidRPr="00901686">
        <w:rPr>
          <w:rStyle w:val="Emphasis"/>
          <w:rFonts w:ascii="Times New Roman" w:hAnsi="Times New Roman" w:cs="Times New Roman"/>
          <w:lang w:val="es-ES"/>
        </w:rPr>
        <w:t>Rise</w:t>
      </w:r>
      <w:proofErr w:type="spellEnd"/>
      <w:r w:rsidR="00BA1E24" w:rsidRPr="00901686">
        <w:rPr>
          <w:rStyle w:val="Emphasis"/>
          <w:rFonts w:ascii="Times New Roman" w:hAnsi="Times New Roman" w:cs="Times New Roman"/>
          <w:lang w:val="es-ES"/>
        </w:rPr>
        <w:t xml:space="preserve"> and </w:t>
      </w:r>
      <w:proofErr w:type="spellStart"/>
      <w:r w:rsidR="00BA1E24" w:rsidRPr="00901686">
        <w:rPr>
          <w:rStyle w:val="Emphasis"/>
          <w:rFonts w:ascii="Times New Roman" w:hAnsi="Times New Roman" w:cs="Times New Roman"/>
          <w:lang w:val="es-ES"/>
        </w:rPr>
        <w:t>Fall</w:t>
      </w:r>
      <w:proofErr w:type="spellEnd"/>
      <w:r w:rsidR="00BA1E24" w:rsidRPr="00901686">
        <w:rPr>
          <w:rStyle w:val="Emphasis"/>
          <w:rFonts w:ascii="Times New Roman" w:hAnsi="Times New Roman" w:cs="Times New Roman"/>
          <w:lang w:val="es-ES"/>
        </w:rPr>
        <w:t xml:space="preserve"> of </w:t>
      </w:r>
      <w:proofErr w:type="spellStart"/>
      <w:r w:rsidR="00BA1E24" w:rsidRPr="00901686">
        <w:rPr>
          <w:rStyle w:val="Emphasis"/>
          <w:rFonts w:ascii="Times New Roman" w:hAnsi="Times New Roman" w:cs="Times New Roman"/>
          <w:lang w:val="es-ES"/>
        </w:rPr>
        <w:t>the</w:t>
      </w:r>
      <w:proofErr w:type="spellEnd"/>
      <w:r w:rsidR="00BA1E24" w:rsidRPr="00901686">
        <w:rPr>
          <w:rStyle w:val="Emphasis"/>
          <w:rFonts w:ascii="Times New Roman" w:hAnsi="Times New Roman" w:cs="Times New Roman"/>
          <w:lang w:val="es-ES"/>
        </w:rPr>
        <w:t xml:space="preserve"> </w:t>
      </w:r>
      <w:proofErr w:type="spellStart"/>
      <w:r w:rsidR="00BA1E24" w:rsidRPr="00901686">
        <w:rPr>
          <w:rStyle w:val="Emphasis"/>
          <w:rFonts w:ascii="Times New Roman" w:hAnsi="Times New Roman" w:cs="Times New Roman"/>
          <w:lang w:val="es-ES"/>
        </w:rPr>
        <w:t>Third</w:t>
      </w:r>
      <w:proofErr w:type="spellEnd"/>
      <w:r w:rsidR="00BA1E24" w:rsidRPr="00901686">
        <w:rPr>
          <w:rStyle w:val="Emphasis"/>
          <w:rFonts w:ascii="Times New Roman" w:hAnsi="Times New Roman" w:cs="Times New Roman"/>
          <w:lang w:val="es-ES"/>
        </w:rPr>
        <w:t xml:space="preserve"> Reich: A </w:t>
      </w:r>
      <w:proofErr w:type="spellStart"/>
      <w:r w:rsidR="00BA1E24" w:rsidRPr="00901686">
        <w:rPr>
          <w:rStyle w:val="Emphasis"/>
          <w:rFonts w:ascii="Times New Roman" w:hAnsi="Times New Roman" w:cs="Times New Roman"/>
          <w:lang w:val="es-ES"/>
        </w:rPr>
        <w:t>History</w:t>
      </w:r>
      <w:proofErr w:type="spellEnd"/>
      <w:r w:rsidR="00BA1E24" w:rsidRPr="00901686">
        <w:rPr>
          <w:rStyle w:val="Emphasis"/>
          <w:rFonts w:ascii="Times New Roman" w:hAnsi="Times New Roman" w:cs="Times New Roman"/>
          <w:lang w:val="es-ES"/>
        </w:rPr>
        <w:t xml:space="preserve"> of Nazi </w:t>
      </w:r>
      <w:proofErr w:type="spellStart"/>
      <w:r w:rsidR="00BA1E24" w:rsidRPr="00901686">
        <w:rPr>
          <w:rStyle w:val="Emphasis"/>
          <w:rFonts w:ascii="Times New Roman" w:hAnsi="Times New Roman" w:cs="Times New Roman"/>
          <w:lang w:val="es-ES"/>
        </w:rPr>
        <w:t>Germany</w:t>
      </w:r>
      <w:proofErr w:type="spellEnd"/>
      <w:r w:rsidR="00BA1E24" w:rsidRPr="00901686">
        <w:rPr>
          <w:rFonts w:ascii="Times New Roman" w:hAnsi="Times New Roman" w:cs="Times New Roman"/>
          <w:lang w:val="es-ES"/>
        </w:rPr>
        <w:t xml:space="preserve"> (1960) y Richard J. Evans, </w:t>
      </w:r>
      <w:proofErr w:type="spellStart"/>
      <w:r w:rsidR="00BA1E24" w:rsidRPr="00901686">
        <w:rPr>
          <w:rStyle w:val="Emphasis"/>
          <w:rFonts w:ascii="Times New Roman" w:hAnsi="Times New Roman" w:cs="Times New Roman"/>
          <w:lang w:val="es-ES"/>
        </w:rPr>
        <w:t>The</w:t>
      </w:r>
      <w:proofErr w:type="spellEnd"/>
      <w:r w:rsidR="00BA1E24" w:rsidRPr="00901686">
        <w:rPr>
          <w:rStyle w:val="Emphasis"/>
          <w:rFonts w:ascii="Times New Roman" w:hAnsi="Times New Roman" w:cs="Times New Roman"/>
          <w:lang w:val="es-ES"/>
        </w:rPr>
        <w:t xml:space="preserve"> </w:t>
      </w:r>
      <w:proofErr w:type="spellStart"/>
      <w:r w:rsidR="00BA1E24" w:rsidRPr="00901686">
        <w:rPr>
          <w:rStyle w:val="Emphasis"/>
          <w:rFonts w:ascii="Times New Roman" w:hAnsi="Times New Roman" w:cs="Times New Roman"/>
          <w:lang w:val="es-ES"/>
        </w:rPr>
        <w:t>Coming</w:t>
      </w:r>
      <w:proofErr w:type="spellEnd"/>
      <w:r w:rsidR="00BA1E24" w:rsidRPr="00901686">
        <w:rPr>
          <w:rStyle w:val="Emphasis"/>
          <w:rFonts w:ascii="Times New Roman" w:hAnsi="Times New Roman" w:cs="Times New Roman"/>
          <w:lang w:val="es-ES"/>
        </w:rPr>
        <w:t xml:space="preserve"> of </w:t>
      </w:r>
      <w:proofErr w:type="spellStart"/>
      <w:r w:rsidR="00BA1E24" w:rsidRPr="00901686">
        <w:rPr>
          <w:rStyle w:val="Emphasis"/>
          <w:rFonts w:ascii="Times New Roman" w:hAnsi="Times New Roman" w:cs="Times New Roman"/>
          <w:lang w:val="es-ES"/>
        </w:rPr>
        <w:t>the</w:t>
      </w:r>
      <w:proofErr w:type="spellEnd"/>
      <w:r w:rsidR="00BA1E24" w:rsidRPr="00901686">
        <w:rPr>
          <w:rStyle w:val="Emphasis"/>
          <w:rFonts w:ascii="Times New Roman" w:hAnsi="Times New Roman" w:cs="Times New Roman"/>
          <w:lang w:val="es-ES"/>
        </w:rPr>
        <w:t xml:space="preserve"> </w:t>
      </w:r>
      <w:proofErr w:type="spellStart"/>
      <w:r w:rsidR="00BA1E24" w:rsidRPr="00901686">
        <w:rPr>
          <w:rStyle w:val="Emphasis"/>
          <w:rFonts w:ascii="Times New Roman" w:hAnsi="Times New Roman" w:cs="Times New Roman"/>
          <w:lang w:val="es-ES"/>
        </w:rPr>
        <w:t>Third</w:t>
      </w:r>
      <w:proofErr w:type="spellEnd"/>
      <w:r w:rsidR="00BA1E24" w:rsidRPr="00901686">
        <w:rPr>
          <w:rStyle w:val="Emphasis"/>
          <w:rFonts w:ascii="Times New Roman" w:hAnsi="Times New Roman" w:cs="Times New Roman"/>
          <w:lang w:val="es-ES"/>
        </w:rPr>
        <w:t xml:space="preserve"> Reich</w:t>
      </w:r>
      <w:r w:rsidR="00BA1E24" w:rsidRPr="00901686">
        <w:rPr>
          <w:rFonts w:ascii="Times New Roman" w:hAnsi="Times New Roman" w:cs="Times New Roman"/>
          <w:lang w:val="es-ES"/>
        </w:rPr>
        <w:t xml:space="preserve"> (2004); véase también Jason Stanley, </w:t>
      </w:r>
      <w:proofErr w:type="spellStart"/>
      <w:r w:rsidR="00BA1E24" w:rsidRPr="00901686">
        <w:rPr>
          <w:rStyle w:val="Emphasis"/>
          <w:rFonts w:ascii="Times New Roman" w:hAnsi="Times New Roman" w:cs="Times New Roman"/>
          <w:lang w:val="es-ES"/>
        </w:rPr>
        <w:t>America</w:t>
      </w:r>
      <w:proofErr w:type="spellEnd"/>
      <w:r w:rsidR="00BA1E24" w:rsidRPr="00901686">
        <w:rPr>
          <w:rStyle w:val="Emphasis"/>
          <w:rFonts w:ascii="Times New Roman" w:hAnsi="Times New Roman" w:cs="Times New Roman"/>
          <w:lang w:val="es-ES"/>
        </w:rPr>
        <w:t xml:space="preserve"> </w:t>
      </w:r>
      <w:proofErr w:type="spellStart"/>
      <w:r w:rsidR="00BA1E24" w:rsidRPr="00901686">
        <w:rPr>
          <w:rStyle w:val="Emphasis"/>
          <w:rFonts w:ascii="Times New Roman" w:hAnsi="Times New Roman" w:cs="Times New Roman"/>
          <w:lang w:val="es-ES"/>
        </w:rPr>
        <w:t>Is</w:t>
      </w:r>
      <w:proofErr w:type="spellEnd"/>
      <w:r w:rsidR="00BA1E24" w:rsidRPr="00901686">
        <w:rPr>
          <w:rStyle w:val="Emphasis"/>
          <w:rFonts w:ascii="Times New Roman" w:hAnsi="Times New Roman" w:cs="Times New Roman"/>
          <w:lang w:val="es-ES"/>
        </w:rPr>
        <w:t xml:space="preserve"> </w:t>
      </w:r>
      <w:proofErr w:type="spellStart"/>
      <w:r w:rsidR="00BA1E24" w:rsidRPr="00901686">
        <w:rPr>
          <w:rStyle w:val="Emphasis"/>
          <w:rFonts w:ascii="Times New Roman" w:hAnsi="Times New Roman" w:cs="Times New Roman"/>
          <w:lang w:val="es-ES"/>
        </w:rPr>
        <w:t>Now</w:t>
      </w:r>
      <w:proofErr w:type="spellEnd"/>
      <w:r w:rsidR="00BA1E24" w:rsidRPr="00901686">
        <w:rPr>
          <w:rStyle w:val="Emphasis"/>
          <w:rFonts w:ascii="Times New Roman" w:hAnsi="Times New Roman" w:cs="Times New Roman"/>
          <w:lang w:val="es-ES"/>
        </w:rPr>
        <w:t xml:space="preserve"> in </w:t>
      </w:r>
      <w:proofErr w:type="spellStart"/>
      <w:r w:rsidR="00BA1E24" w:rsidRPr="00901686">
        <w:rPr>
          <w:rStyle w:val="Emphasis"/>
          <w:rFonts w:ascii="Times New Roman" w:hAnsi="Times New Roman" w:cs="Times New Roman"/>
          <w:lang w:val="es-ES"/>
        </w:rPr>
        <w:t>Fascism’s</w:t>
      </w:r>
      <w:proofErr w:type="spellEnd"/>
      <w:r w:rsidR="00BA1E24" w:rsidRPr="00901686">
        <w:rPr>
          <w:rStyle w:val="Emphasis"/>
          <w:rFonts w:ascii="Times New Roman" w:hAnsi="Times New Roman" w:cs="Times New Roman"/>
          <w:lang w:val="es-ES"/>
        </w:rPr>
        <w:t xml:space="preserve"> Legal </w:t>
      </w:r>
      <w:proofErr w:type="spellStart"/>
      <w:r w:rsidR="00BA1E24" w:rsidRPr="00901686">
        <w:rPr>
          <w:rStyle w:val="Emphasis"/>
          <w:rFonts w:ascii="Times New Roman" w:hAnsi="Times New Roman" w:cs="Times New Roman"/>
          <w:lang w:val="es-ES"/>
        </w:rPr>
        <w:t>Phase</w:t>
      </w:r>
      <w:proofErr w:type="spellEnd"/>
      <w:r w:rsidR="00BA1E24" w:rsidRPr="00901686">
        <w:rPr>
          <w:rFonts w:ascii="Times New Roman" w:hAnsi="Times New Roman" w:cs="Times New Roman"/>
          <w:lang w:val="es-ES"/>
        </w:rPr>
        <w:t xml:space="preserve">, </w:t>
      </w:r>
      <w:proofErr w:type="spellStart"/>
      <w:r w:rsidR="00BA1E24" w:rsidRPr="00901686">
        <w:rPr>
          <w:rStyle w:val="Emphasis"/>
          <w:rFonts w:ascii="Times New Roman" w:hAnsi="Times New Roman" w:cs="Times New Roman"/>
          <w:lang w:val="es-ES"/>
        </w:rPr>
        <w:t>The</w:t>
      </w:r>
      <w:proofErr w:type="spellEnd"/>
      <w:r w:rsidR="00BA1E24" w:rsidRPr="00901686">
        <w:rPr>
          <w:rStyle w:val="Emphasis"/>
          <w:rFonts w:ascii="Times New Roman" w:hAnsi="Times New Roman" w:cs="Times New Roman"/>
          <w:lang w:val="es-ES"/>
        </w:rPr>
        <w:t xml:space="preserve"> Guardian</w:t>
      </w:r>
      <w:r w:rsidR="00BA1E24" w:rsidRPr="00901686">
        <w:rPr>
          <w:rFonts w:ascii="Times New Roman" w:hAnsi="Times New Roman" w:cs="Times New Roman"/>
          <w:lang w:val="es-ES"/>
        </w:rPr>
        <w:t xml:space="preserve"> (22 de diciembre de 2021), </w:t>
      </w:r>
      <w:r w:rsidR="002E00A9">
        <w:fldChar w:fldCharType="begin"/>
      </w:r>
      <w:r w:rsidR="002E00A9">
        <w:instrText xml:space="preserve"> HYPERLINK "https://www.theguardian.com/world/2021/dec/22/america-fascism-legal-phase" \t "_new" </w:instrText>
      </w:r>
      <w:r w:rsidR="002E00A9">
        <w:fldChar w:fldCharType="separate"/>
      </w:r>
      <w:r w:rsidR="00BA1E24" w:rsidRPr="00901686">
        <w:rPr>
          <w:rStyle w:val="Hyperlink"/>
          <w:rFonts w:ascii="Times New Roman" w:hAnsi="Times New Roman" w:cs="Times New Roman"/>
          <w:lang w:val="es-ES"/>
        </w:rPr>
        <w:t>https://www.theguardian.com/world/2021/dec/22/america-fascism-legal-phase</w:t>
      </w:r>
      <w:r w:rsidR="002E00A9">
        <w:rPr>
          <w:rStyle w:val="Hyperlink"/>
          <w:rFonts w:ascii="Times New Roman" w:hAnsi="Times New Roman" w:cs="Times New Roman"/>
          <w:lang w:val="es-ES"/>
        </w:rPr>
        <w:fldChar w:fldCharType="end"/>
      </w:r>
      <w:r w:rsidR="00BA1E24" w:rsidRPr="00901686">
        <w:rPr>
          <w:rFonts w:ascii="Times New Roman" w:hAnsi="Times New Roman" w:cs="Times New Roman"/>
          <w:lang w:val="es-ES"/>
        </w:rPr>
        <w:t>.</w:t>
      </w:r>
    </w:p>
  </w:footnote>
  <w:footnote w:id="6">
    <w:p w14:paraId="4873C745" w14:textId="6F94E884" w:rsidR="00C835C3" w:rsidRPr="00901686" w:rsidRDefault="00C835C3" w:rsidP="00C835C3">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6</w:t>
      </w:r>
      <w:r w:rsidRPr="00901686">
        <w:rPr>
          <w:rFonts w:ascii="Times New Roman" w:hAnsi="Times New Roman" w:cs="Times New Roman"/>
          <w:lang w:val="es-ES"/>
        </w:rPr>
        <w:t xml:space="preserve"> </w:t>
      </w:r>
      <w:r w:rsidR="00BA1E24" w:rsidRPr="00901686">
        <w:rPr>
          <w:rFonts w:ascii="Times New Roman" w:hAnsi="Times New Roman" w:cs="Times New Roman"/>
          <w:lang w:val="es-ES"/>
        </w:rPr>
        <w:t xml:space="preserve">Zack Stanton, </w:t>
      </w:r>
      <w:proofErr w:type="spellStart"/>
      <w:r w:rsidR="00BA1E24" w:rsidRPr="00901686">
        <w:rPr>
          <w:rStyle w:val="Emphasis"/>
          <w:rFonts w:ascii="Times New Roman" w:hAnsi="Times New Roman" w:cs="Times New Roman"/>
          <w:lang w:val="es-ES"/>
        </w:rPr>
        <w:t>How</w:t>
      </w:r>
      <w:proofErr w:type="spellEnd"/>
      <w:r w:rsidR="00BA1E24" w:rsidRPr="00901686">
        <w:rPr>
          <w:rStyle w:val="Emphasis"/>
          <w:rFonts w:ascii="Times New Roman" w:hAnsi="Times New Roman" w:cs="Times New Roman"/>
          <w:lang w:val="es-ES"/>
        </w:rPr>
        <w:t xml:space="preserve"> </w:t>
      </w:r>
      <w:proofErr w:type="spellStart"/>
      <w:r w:rsidR="00BA1E24" w:rsidRPr="00901686">
        <w:rPr>
          <w:rStyle w:val="Emphasis"/>
          <w:rFonts w:ascii="Times New Roman" w:hAnsi="Times New Roman" w:cs="Times New Roman"/>
          <w:lang w:val="es-ES"/>
        </w:rPr>
        <w:t>the</w:t>
      </w:r>
      <w:proofErr w:type="spellEnd"/>
      <w:r w:rsidR="00BA1E24" w:rsidRPr="00901686">
        <w:rPr>
          <w:rStyle w:val="Emphasis"/>
          <w:rFonts w:ascii="Times New Roman" w:hAnsi="Times New Roman" w:cs="Times New Roman"/>
          <w:lang w:val="es-ES"/>
        </w:rPr>
        <w:t xml:space="preserve"> ‘Culture </w:t>
      </w:r>
      <w:proofErr w:type="spellStart"/>
      <w:r w:rsidR="00BA1E24" w:rsidRPr="00901686">
        <w:rPr>
          <w:rStyle w:val="Emphasis"/>
          <w:rFonts w:ascii="Times New Roman" w:hAnsi="Times New Roman" w:cs="Times New Roman"/>
          <w:lang w:val="es-ES"/>
        </w:rPr>
        <w:t>War</w:t>
      </w:r>
      <w:proofErr w:type="spellEnd"/>
      <w:r w:rsidR="00BA1E24" w:rsidRPr="00901686">
        <w:rPr>
          <w:rStyle w:val="Emphasis"/>
          <w:rFonts w:ascii="Times New Roman" w:hAnsi="Times New Roman" w:cs="Times New Roman"/>
          <w:lang w:val="es-ES"/>
        </w:rPr>
        <w:t xml:space="preserve">’ </w:t>
      </w:r>
      <w:proofErr w:type="spellStart"/>
      <w:r w:rsidR="00BA1E24" w:rsidRPr="00901686">
        <w:rPr>
          <w:rStyle w:val="Emphasis"/>
          <w:rFonts w:ascii="Times New Roman" w:hAnsi="Times New Roman" w:cs="Times New Roman"/>
          <w:lang w:val="es-ES"/>
        </w:rPr>
        <w:t>Could</w:t>
      </w:r>
      <w:proofErr w:type="spellEnd"/>
      <w:r w:rsidR="00BA1E24" w:rsidRPr="00901686">
        <w:rPr>
          <w:rStyle w:val="Emphasis"/>
          <w:rFonts w:ascii="Times New Roman" w:hAnsi="Times New Roman" w:cs="Times New Roman"/>
          <w:lang w:val="es-ES"/>
        </w:rPr>
        <w:t xml:space="preserve"> Break </w:t>
      </w:r>
      <w:proofErr w:type="spellStart"/>
      <w:r w:rsidR="00BA1E24" w:rsidRPr="00901686">
        <w:rPr>
          <w:rStyle w:val="Emphasis"/>
          <w:rFonts w:ascii="Times New Roman" w:hAnsi="Times New Roman" w:cs="Times New Roman"/>
          <w:lang w:val="es-ES"/>
        </w:rPr>
        <w:t>Democracy</w:t>
      </w:r>
      <w:proofErr w:type="spellEnd"/>
      <w:r w:rsidR="00BA1E24" w:rsidRPr="00901686">
        <w:rPr>
          <w:rFonts w:ascii="Times New Roman" w:hAnsi="Times New Roman" w:cs="Times New Roman"/>
          <w:lang w:val="es-ES"/>
        </w:rPr>
        <w:t xml:space="preserve">, </w:t>
      </w:r>
      <w:proofErr w:type="spellStart"/>
      <w:r w:rsidR="00BA1E24" w:rsidRPr="00901686">
        <w:rPr>
          <w:rStyle w:val="Emphasis"/>
          <w:rFonts w:ascii="Times New Roman" w:hAnsi="Times New Roman" w:cs="Times New Roman"/>
          <w:lang w:val="es-ES"/>
        </w:rPr>
        <w:t>Politico</w:t>
      </w:r>
      <w:proofErr w:type="spellEnd"/>
      <w:r w:rsidR="00BA1E24" w:rsidRPr="00901686">
        <w:rPr>
          <w:rFonts w:ascii="Times New Roman" w:hAnsi="Times New Roman" w:cs="Times New Roman"/>
          <w:lang w:val="es-ES"/>
        </w:rPr>
        <w:t xml:space="preserve"> (20 de mayo de 2021, 5:30 p.m.), </w:t>
      </w:r>
      <w:r w:rsidR="002E00A9">
        <w:fldChar w:fldCharType="begin"/>
      </w:r>
      <w:r w:rsidR="002E00A9">
        <w:instrText xml:space="preserve"> HYPERLINK "https://www.politico.com/news/magazine/2021/05/20/culture-war-politics-2021-democracy-analysis-489900" \t "_new" </w:instrText>
      </w:r>
      <w:r w:rsidR="002E00A9">
        <w:fldChar w:fldCharType="separate"/>
      </w:r>
      <w:r w:rsidR="00BA1E24" w:rsidRPr="00901686">
        <w:rPr>
          <w:rStyle w:val="Hyperlink"/>
          <w:rFonts w:ascii="Times New Roman" w:hAnsi="Times New Roman" w:cs="Times New Roman"/>
          <w:lang w:val="es-ES"/>
        </w:rPr>
        <w:t>https://www.politico.com/news/magazine/2021/05/20/culture-war-politics-2021-democracy-analysis-489900</w:t>
      </w:r>
      <w:r w:rsidR="002E00A9">
        <w:rPr>
          <w:rStyle w:val="Hyperlink"/>
          <w:rFonts w:ascii="Times New Roman" w:hAnsi="Times New Roman" w:cs="Times New Roman"/>
          <w:lang w:val="es-ES"/>
        </w:rPr>
        <w:fldChar w:fldCharType="end"/>
      </w:r>
      <w:r w:rsidR="00BA1E24" w:rsidRPr="00901686">
        <w:rPr>
          <w:rFonts w:ascii="Times New Roman" w:hAnsi="Times New Roman" w:cs="Times New Roman"/>
          <w:lang w:val="es-ES"/>
        </w:rPr>
        <w:t>.</w:t>
      </w:r>
      <w:r w:rsidR="00BA1E24" w:rsidRPr="00901686">
        <w:rPr>
          <w:rFonts w:ascii="Times New Roman" w:hAnsi="Times New Roman" w:cs="Times New Roman"/>
          <w:lang w:val="es-ES"/>
        </w:rPr>
        <w:br/>
        <w:t xml:space="preserve">Al igual que las guerras culturales de la década de 2020, este “culto a la violencia” también es unilateral: se practica exclusivamente por parte de figuras del Partido Republicano, personas activistas, operadores y otras personas simpatizantes. </w:t>
      </w:r>
      <w:r w:rsidR="00BA1E24" w:rsidRPr="00901686">
        <w:rPr>
          <w:rFonts w:ascii="Times New Roman" w:hAnsi="Times New Roman" w:cs="Times New Roman"/>
          <w:i/>
          <w:iCs/>
          <w:lang w:val="es-ES"/>
        </w:rPr>
        <w:t xml:space="preserve">Véase </w:t>
      </w:r>
      <w:r w:rsidR="00BA1E24" w:rsidRPr="00901686">
        <w:rPr>
          <w:rFonts w:ascii="Times New Roman" w:hAnsi="Times New Roman" w:cs="Times New Roman"/>
          <w:lang w:val="es-ES"/>
        </w:rPr>
        <w:t xml:space="preserve">David </w:t>
      </w:r>
      <w:proofErr w:type="spellStart"/>
      <w:r w:rsidR="00BA1E24" w:rsidRPr="00901686">
        <w:rPr>
          <w:rFonts w:ascii="Times New Roman" w:hAnsi="Times New Roman" w:cs="Times New Roman"/>
          <w:lang w:val="es-ES"/>
        </w:rPr>
        <w:t>Frum</w:t>
      </w:r>
      <w:proofErr w:type="spellEnd"/>
      <w:r w:rsidR="00BA1E24" w:rsidRPr="00901686">
        <w:rPr>
          <w:rFonts w:ascii="Times New Roman" w:hAnsi="Times New Roman" w:cs="Times New Roman"/>
          <w:lang w:val="es-ES"/>
        </w:rPr>
        <w:t xml:space="preserve">, </w:t>
      </w:r>
      <w:proofErr w:type="spellStart"/>
      <w:r w:rsidR="00BA1E24" w:rsidRPr="00901686">
        <w:rPr>
          <w:rStyle w:val="Emphasis"/>
          <w:rFonts w:ascii="Times New Roman" w:hAnsi="Times New Roman" w:cs="Times New Roman"/>
          <w:lang w:val="es-ES"/>
        </w:rPr>
        <w:t>Only</w:t>
      </w:r>
      <w:proofErr w:type="spellEnd"/>
      <w:r w:rsidR="00BA1E24" w:rsidRPr="00901686">
        <w:rPr>
          <w:rStyle w:val="Emphasis"/>
          <w:rFonts w:ascii="Times New Roman" w:hAnsi="Times New Roman" w:cs="Times New Roman"/>
          <w:lang w:val="es-ES"/>
        </w:rPr>
        <w:t xml:space="preserve"> </w:t>
      </w:r>
      <w:proofErr w:type="spellStart"/>
      <w:r w:rsidR="00BA1E24" w:rsidRPr="00901686">
        <w:rPr>
          <w:rStyle w:val="Emphasis"/>
          <w:rFonts w:ascii="Times New Roman" w:hAnsi="Times New Roman" w:cs="Times New Roman"/>
          <w:lang w:val="es-ES"/>
        </w:rPr>
        <w:t>the</w:t>
      </w:r>
      <w:proofErr w:type="spellEnd"/>
      <w:r w:rsidR="00BA1E24" w:rsidRPr="00901686">
        <w:rPr>
          <w:rStyle w:val="Emphasis"/>
          <w:rFonts w:ascii="Times New Roman" w:hAnsi="Times New Roman" w:cs="Times New Roman"/>
          <w:lang w:val="es-ES"/>
        </w:rPr>
        <w:t xml:space="preserve"> GOP </w:t>
      </w:r>
      <w:proofErr w:type="spellStart"/>
      <w:r w:rsidR="00BA1E24" w:rsidRPr="00901686">
        <w:rPr>
          <w:rStyle w:val="Emphasis"/>
          <w:rFonts w:ascii="Times New Roman" w:hAnsi="Times New Roman" w:cs="Times New Roman"/>
          <w:lang w:val="es-ES"/>
        </w:rPr>
        <w:t>Celebrates</w:t>
      </w:r>
      <w:proofErr w:type="spellEnd"/>
      <w:r w:rsidR="00BA1E24" w:rsidRPr="00901686">
        <w:rPr>
          <w:rStyle w:val="Emphasis"/>
          <w:rFonts w:ascii="Times New Roman" w:hAnsi="Times New Roman" w:cs="Times New Roman"/>
          <w:lang w:val="es-ES"/>
        </w:rPr>
        <w:t xml:space="preserve"> </w:t>
      </w:r>
      <w:proofErr w:type="spellStart"/>
      <w:r w:rsidR="00BA1E24" w:rsidRPr="00901686">
        <w:rPr>
          <w:rStyle w:val="Emphasis"/>
          <w:rFonts w:ascii="Times New Roman" w:hAnsi="Times New Roman" w:cs="Times New Roman"/>
          <w:lang w:val="es-ES"/>
        </w:rPr>
        <w:t>Political</w:t>
      </w:r>
      <w:proofErr w:type="spellEnd"/>
      <w:r w:rsidR="00BA1E24" w:rsidRPr="00901686">
        <w:rPr>
          <w:rStyle w:val="Emphasis"/>
          <w:rFonts w:ascii="Times New Roman" w:hAnsi="Times New Roman" w:cs="Times New Roman"/>
          <w:lang w:val="es-ES"/>
        </w:rPr>
        <w:t xml:space="preserve"> </w:t>
      </w:r>
      <w:proofErr w:type="spellStart"/>
      <w:r w:rsidR="00BA1E24" w:rsidRPr="00901686">
        <w:rPr>
          <w:rStyle w:val="Emphasis"/>
          <w:rFonts w:ascii="Times New Roman" w:hAnsi="Times New Roman" w:cs="Times New Roman"/>
          <w:lang w:val="es-ES"/>
        </w:rPr>
        <w:t>Violence</w:t>
      </w:r>
      <w:proofErr w:type="spellEnd"/>
      <w:r w:rsidR="00BA1E24" w:rsidRPr="00901686">
        <w:rPr>
          <w:rFonts w:ascii="Times New Roman" w:hAnsi="Times New Roman" w:cs="Times New Roman"/>
          <w:lang w:val="es-ES"/>
        </w:rPr>
        <w:t xml:space="preserve">, </w:t>
      </w:r>
      <w:proofErr w:type="spellStart"/>
      <w:r w:rsidR="00BA1E24" w:rsidRPr="00901686">
        <w:rPr>
          <w:rStyle w:val="Emphasis"/>
          <w:rFonts w:ascii="Times New Roman" w:hAnsi="Times New Roman" w:cs="Times New Roman"/>
          <w:lang w:val="es-ES"/>
        </w:rPr>
        <w:t>The</w:t>
      </w:r>
      <w:proofErr w:type="spellEnd"/>
      <w:r w:rsidR="00BA1E24" w:rsidRPr="00901686">
        <w:rPr>
          <w:rStyle w:val="Emphasis"/>
          <w:rFonts w:ascii="Times New Roman" w:hAnsi="Times New Roman" w:cs="Times New Roman"/>
          <w:lang w:val="es-ES"/>
        </w:rPr>
        <w:t xml:space="preserve"> Atlantic</w:t>
      </w:r>
      <w:r w:rsidR="00BA1E24" w:rsidRPr="00901686">
        <w:rPr>
          <w:rFonts w:ascii="Times New Roman" w:hAnsi="Times New Roman" w:cs="Times New Roman"/>
          <w:lang w:val="es-ES"/>
        </w:rPr>
        <w:t xml:space="preserve"> (29 de octubre de 2022), https://www.theatlantic.com/ideas/archive/2022/10/pelosi-republicans-partisan-political-violence/671934/.</w:t>
      </w:r>
      <w:r w:rsidR="00BA1E24" w:rsidRPr="00901686">
        <w:rPr>
          <w:rFonts w:ascii="Times New Roman" w:hAnsi="Times New Roman" w:cs="Times New Roman"/>
          <w:lang w:val="es-ES"/>
        </w:rPr>
        <w:br/>
        <w:t xml:space="preserve">“No existe equivalente demócrata de Donald Trump, quien regularmente elogia y alienta la violencia como una herramienta normal de la política... No se detendrá, pero debe detenerse.” </w:t>
      </w:r>
      <w:r w:rsidR="00BA1E24" w:rsidRPr="00901686">
        <w:rPr>
          <w:rStyle w:val="Emphasis"/>
          <w:rFonts w:ascii="Times New Roman" w:hAnsi="Times New Roman" w:cs="Times New Roman"/>
          <w:lang w:val="es-ES"/>
        </w:rPr>
        <w:t>Id.</w:t>
      </w:r>
    </w:p>
  </w:footnote>
  <w:footnote w:id="7">
    <w:p w14:paraId="61019FCC" w14:textId="730B2710" w:rsidR="00C835C3" w:rsidRPr="00901686" w:rsidRDefault="00C835C3" w:rsidP="00C835C3">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7</w:t>
      </w:r>
      <w:r w:rsidRPr="00901686">
        <w:rPr>
          <w:rFonts w:ascii="Times New Roman" w:hAnsi="Times New Roman" w:cs="Times New Roman"/>
          <w:lang w:val="es-ES"/>
        </w:rPr>
        <w:t xml:space="preserve"> </w:t>
      </w:r>
      <w:r w:rsidR="00454947" w:rsidRPr="00901686">
        <w:rPr>
          <w:rFonts w:ascii="Times New Roman" w:hAnsi="Times New Roman" w:cs="Times New Roman"/>
          <w:lang w:val="es-ES"/>
        </w:rPr>
        <w:t xml:space="preserve">Las advertencias repetidas y directas del Departamento de Seguridad Nacional y del FBI, que señalaron al extremismo blanco y derechista violento como el peligro nacional más inmediato, se hicieron públicas justo después del ataque al Capitolio de los Estados Unidos, del 6 de enero de 2021, sin dejar dudas sobre la evaluación de inteligencia. </w:t>
      </w:r>
      <w:r w:rsidR="00454947" w:rsidRPr="00901686">
        <w:rPr>
          <w:rFonts w:ascii="Times New Roman" w:hAnsi="Times New Roman" w:cs="Times New Roman"/>
          <w:i/>
          <w:iCs/>
          <w:lang w:val="es-ES"/>
        </w:rPr>
        <w:t>Véase</w:t>
      </w:r>
      <w:r w:rsidR="00454947" w:rsidRPr="00901686">
        <w:rPr>
          <w:rFonts w:ascii="Times New Roman" w:hAnsi="Times New Roman" w:cs="Times New Roman"/>
          <w:lang w:val="es-ES"/>
        </w:rPr>
        <w:t xml:space="preserve"> </w:t>
      </w:r>
      <w:r w:rsidR="00454947" w:rsidRPr="00901686">
        <w:rPr>
          <w:rStyle w:val="Emphasis"/>
          <w:rFonts w:ascii="Times New Roman" w:hAnsi="Times New Roman" w:cs="Times New Roman"/>
          <w:lang w:val="es-ES"/>
        </w:rPr>
        <w:t xml:space="preserve">U.S. </w:t>
      </w:r>
      <w:proofErr w:type="spellStart"/>
      <w:r w:rsidR="00454947" w:rsidRPr="00901686">
        <w:rPr>
          <w:rStyle w:val="Emphasis"/>
          <w:rFonts w:ascii="Times New Roman" w:hAnsi="Times New Roman" w:cs="Times New Roman"/>
          <w:lang w:val="es-ES"/>
        </w:rPr>
        <w:t>Department</w:t>
      </w:r>
      <w:proofErr w:type="spellEnd"/>
      <w:r w:rsidR="00454947" w:rsidRPr="00901686">
        <w:rPr>
          <w:rStyle w:val="Emphasis"/>
          <w:rFonts w:ascii="Times New Roman" w:hAnsi="Times New Roman" w:cs="Times New Roman"/>
          <w:lang w:val="es-ES"/>
        </w:rPr>
        <w:t xml:space="preserve"> of </w:t>
      </w:r>
      <w:proofErr w:type="spellStart"/>
      <w:r w:rsidR="00454947" w:rsidRPr="00901686">
        <w:rPr>
          <w:rStyle w:val="Emphasis"/>
          <w:rFonts w:ascii="Times New Roman" w:hAnsi="Times New Roman" w:cs="Times New Roman"/>
          <w:lang w:val="es-ES"/>
        </w:rPr>
        <w:t>Homeland</w:t>
      </w:r>
      <w:proofErr w:type="spellEnd"/>
      <w:r w:rsidR="00454947" w:rsidRPr="00901686">
        <w:rPr>
          <w:rStyle w:val="Emphasis"/>
          <w:rFonts w:ascii="Times New Roman" w:hAnsi="Times New Roman" w:cs="Times New Roman"/>
          <w:lang w:val="es-ES"/>
        </w:rPr>
        <w:t xml:space="preserve"> Security, </w:t>
      </w:r>
      <w:proofErr w:type="spellStart"/>
      <w:r w:rsidR="00454947" w:rsidRPr="00901686">
        <w:rPr>
          <w:rStyle w:val="Emphasis"/>
          <w:rFonts w:ascii="Times New Roman" w:hAnsi="Times New Roman" w:cs="Times New Roman"/>
          <w:lang w:val="es-ES"/>
        </w:rPr>
        <w:t>National</w:t>
      </w:r>
      <w:proofErr w:type="spellEnd"/>
      <w:r w:rsidR="00454947" w:rsidRPr="00901686">
        <w:rPr>
          <w:rStyle w:val="Emphasis"/>
          <w:rFonts w:ascii="Times New Roman" w:hAnsi="Times New Roman" w:cs="Times New Roman"/>
          <w:lang w:val="es-ES"/>
        </w:rPr>
        <w:t xml:space="preserve"> </w:t>
      </w:r>
      <w:proofErr w:type="spellStart"/>
      <w:r w:rsidR="00454947" w:rsidRPr="00901686">
        <w:rPr>
          <w:rStyle w:val="Emphasis"/>
          <w:rFonts w:ascii="Times New Roman" w:hAnsi="Times New Roman" w:cs="Times New Roman"/>
          <w:lang w:val="es-ES"/>
        </w:rPr>
        <w:t>Terrorism</w:t>
      </w:r>
      <w:proofErr w:type="spellEnd"/>
      <w:r w:rsidR="00454947" w:rsidRPr="00901686">
        <w:rPr>
          <w:rStyle w:val="Emphasis"/>
          <w:rFonts w:ascii="Times New Roman" w:hAnsi="Times New Roman" w:cs="Times New Roman"/>
          <w:lang w:val="es-ES"/>
        </w:rPr>
        <w:t xml:space="preserve"> </w:t>
      </w:r>
      <w:proofErr w:type="spellStart"/>
      <w:r w:rsidR="00454947" w:rsidRPr="00901686">
        <w:rPr>
          <w:rStyle w:val="Emphasis"/>
          <w:rFonts w:ascii="Times New Roman" w:hAnsi="Times New Roman" w:cs="Times New Roman"/>
          <w:lang w:val="es-ES"/>
        </w:rPr>
        <w:t>Advisory</w:t>
      </w:r>
      <w:proofErr w:type="spellEnd"/>
      <w:r w:rsidR="00454947" w:rsidRPr="00901686">
        <w:rPr>
          <w:rStyle w:val="Emphasis"/>
          <w:rFonts w:ascii="Times New Roman" w:hAnsi="Times New Roman" w:cs="Times New Roman"/>
          <w:lang w:val="es-ES"/>
        </w:rPr>
        <w:t xml:space="preserve"> </w:t>
      </w:r>
      <w:proofErr w:type="spellStart"/>
      <w:r w:rsidR="00454947" w:rsidRPr="00901686">
        <w:rPr>
          <w:rStyle w:val="Emphasis"/>
          <w:rFonts w:ascii="Times New Roman" w:hAnsi="Times New Roman" w:cs="Times New Roman"/>
          <w:lang w:val="es-ES"/>
        </w:rPr>
        <w:t>System</w:t>
      </w:r>
      <w:proofErr w:type="spellEnd"/>
      <w:r w:rsidR="00454947" w:rsidRPr="00901686">
        <w:rPr>
          <w:rStyle w:val="Emphasis"/>
          <w:rFonts w:ascii="Times New Roman" w:hAnsi="Times New Roman" w:cs="Times New Roman"/>
          <w:lang w:val="es-ES"/>
        </w:rPr>
        <w:t xml:space="preserve"> </w:t>
      </w:r>
      <w:proofErr w:type="spellStart"/>
      <w:r w:rsidR="00454947" w:rsidRPr="00901686">
        <w:rPr>
          <w:rStyle w:val="Emphasis"/>
          <w:rFonts w:ascii="Times New Roman" w:hAnsi="Times New Roman" w:cs="Times New Roman"/>
          <w:lang w:val="es-ES"/>
        </w:rPr>
        <w:t>Bulletin</w:t>
      </w:r>
      <w:proofErr w:type="spellEnd"/>
      <w:r w:rsidR="00454947" w:rsidRPr="00901686">
        <w:rPr>
          <w:rStyle w:val="Emphasis"/>
          <w:rFonts w:ascii="Times New Roman" w:hAnsi="Times New Roman" w:cs="Times New Roman"/>
          <w:lang w:val="es-ES"/>
        </w:rPr>
        <w:t xml:space="preserve">, </w:t>
      </w:r>
      <w:proofErr w:type="spellStart"/>
      <w:r w:rsidR="00454947" w:rsidRPr="00901686">
        <w:rPr>
          <w:rStyle w:val="Emphasis"/>
          <w:rFonts w:ascii="Times New Roman" w:hAnsi="Times New Roman" w:cs="Times New Roman"/>
          <w:lang w:val="es-ES"/>
        </w:rPr>
        <w:t>Summary</w:t>
      </w:r>
      <w:proofErr w:type="spellEnd"/>
      <w:r w:rsidR="00454947" w:rsidRPr="00901686">
        <w:rPr>
          <w:rStyle w:val="Emphasis"/>
          <w:rFonts w:ascii="Times New Roman" w:hAnsi="Times New Roman" w:cs="Times New Roman"/>
          <w:lang w:val="es-ES"/>
        </w:rPr>
        <w:t xml:space="preserve"> of </w:t>
      </w:r>
      <w:proofErr w:type="spellStart"/>
      <w:r w:rsidR="00454947" w:rsidRPr="00901686">
        <w:rPr>
          <w:rStyle w:val="Emphasis"/>
          <w:rFonts w:ascii="Times New Roman" w:hAnsi="Times New Roman" w:cs="Times New Roman"/>
          <w:lang w:val="es-ES"/>
        </w:rPr>
        <w:t>the</w:t>
      </w:r>
      <w:proofErr w:type="spellEnd"/>
      <w:r w:rsidR="00454947" w:rsidRPr="00901686">
        <w:rPr>
          <w:rStyle w:val="Emphasis"/>
          <w:rFonts w:ascii="Times New Roman" w:hAnsi="Times New Roman" w:cs="Times New Roman"/>
          <w:lang w:val="es-ES"/>
        </w:rPr>
        <w:t xml:space="preserve"> </w:t>
      </w:r>
      <w:proofErr w:type="spellStart"/>
      <w:r w:rsidR="00454947" w:rsidRPr="00901686">
        <w:rPr>
          <w:rStyle w:val="Emphasis"/>
          <w:rFonts w:ascii="Times New Roman" w:hAnsi="Times New Roman" w:cs="Times New Roman"/>
          <w:lang w:val="es-ES"/>
        </w:rPr>
        <w:t>Terrorism</w:t>
      </w:r>
      <w:proofErr w:type="spellEnd"/>
      <w:r w:rsidR="00454947" w:rsidRPr="00901686">
        <w:rPr>
          <w:rStyle w:val="Emphasis"/>
          <w:rFonts w:ascii="Times New Roman" w:hAnsi="Times New Roman" w:cs="Times New Roman"/>
          <w:lang w:val="es-ES"/>
        </w:rPr>
        <w:t xml:space="preserve"> </w:t>
      </w:r>
      <w:proofErr w:type="spellStart"/>
      <w:r w:rsidR="00454947" w:rsidRPr="00901686">
        <w:rPr>
          <w:rStyle w:val="Emphasis"/>
          <w:rFonts w:ascii="Times New Roman" w:hAnsi="Times New Roman" w:cs="Times New Roman"/>
          <w:lang w:val="es-ES"/>
        </w:rPr>
        <w:t>Threat</w:t>
      </w:r>
      <w:proofErr w:type="spellEnd"/>
      <w:r w:rsidR="00454947" w:rsidRPr="00901686">
        <w:rPr>
          <w:rStyle w:val="Emphasis"/>
          <w:rFonts w:ascii="Times New Roman" w:hAnsi="Times New Roman" w:cs="Times New Roman"/>
          <w:lang w:val="es-ES"/>
        </w:rPr>
        <w:t xml:space="preserve"> </w:t>
      </w:r>
      <w:proofErr w:type="spellStart"/>
      <w:r w:rsidR="00454947" w:rsidRPr="00901686">
        <w:rPr>
          <w:rStyle w:val="Emphasis"/>
          <w:rFonts w:ascii="Times New Roman" w:hAnsi="Times New Roman" w:cs="Times New Roman"/>
          <w:lang w:val="es-ES"/>
        </w:rPr>
        <w:t>to</w:t>
      </w:r>
      <w:proofErr w:type="spellEnd"/>
      <w:r w:rsidR="00454947" w:rsidRPr="00901686">
        <w:rPr>
          <w:rStyle w:val="Emphasis"/>
          <w:rFonts w:ascii="Times New Roman" w:hAnsi="Times New Roman" w:cs="Times New Roman"/>
          <w:lang w:val="es-ES"/>
        </w:rPr>
        <w:t xml:space="preserve"> </w:t>
      </w:r>
      <w:proofErr w:type="spellStart"/>
      <w:r w:rsidR="00454947" w:rsidRPr="00901686">
        <w:rPr>
          <w:rStyle w:val="Emphasis"/>
          <w:rFonts w:ascii="Times New Roman" w:hAnsi="Times New Roman" w:cs="Times New Roman"/>
          <w:lang w:val="es-ES"/>
        </w:rPr>
        <w:t>the</w:t>
      </w:r>
      <w:proofErr w:type="spellEnd"/>
      <w:r w:rsidR="00454947" w:rsidRPr="00901686">
        <w:rPr>
          <w:rStyle w:val="Emphasis"/>
          <w:rFonts w:ascii="Times New Roman" w:hAnsi="Times New Roman" w:cs="Times New Roman"/>
          <w:lang w:val="es-ES"/>
        </w:rPr>
        <w:t xml:space="preserve"> </w:t>
      </w:r>
      <w:proofErr w:type="spellStart"/>
      <w:r w:rsidR="00454947" w:rsidRPr="00901686">
        <w:rPr>
          <w:rStyle w:val="Emphasis"/>
          <w:rFonts w:ascii="Times New Roman" w:hAnsi="Times New Roman" w:cs="Times New Roman"/>
          <w:lang w:val="es-ES"/>
        </w:rPr>
        <w:t>United</w:t>
      </w:r>
      <w:proofErr w:type="spellEnd"/>
      <w:r w:rsidR="00454947" w:rsidRPr="00901686">
        <w:rPr>
          <w:rStyle w:val="Emphasis"/>
          <w:rFonts w:ascii="Times New Roman" w:hAnsi="Times New Roman" w:cs="Times New Roman"/>
          <w:lang w:val="es-ES"/>
        </w:rPr>
        <w:t xml:space="preserve"> </w:t>
      </w:r>
      <w:proofErr w:type="spellStart"/>
      <w:r w:rsidR="00454947" w:rsidRPr="00901686">
        <w:rPr>
          <w:rStyle w:val="Emphasis"/>
          <w:rFonts w:ascii="Times New Roman" w:hAnsi="Times New Roman" w:cs="Times New Roman"/>
          <w:lang w:val="es-ES"/>
        </w:rPr>
        <w:t>States</w:t>
      </w:r>
      <w:proofErr w:type="spellEnd"/>
      <w:r w:rsidR="00454947" w:rsidRPr="00901686">
        <w:rPr>
          <w:rFonts w:ascii="Times New Roman" w:hAnsi="Times New Roman" w:cs="Times New Roman"/>
          <w:lang w:val="es-ES"/>
        </w:rPr>
        <w:t xml:space="preserve"> (27 de enero de 2021); </w:t>
      </w:r>
      <w:r w:rsidR="00AF1200" w:rsidRPr="00901686">
        <w:rPr>
          <w:rStyle w:val="Emphasis"/>
          <w:rFonts w:ascii="Times New Roman" w:hAnsi="Times New Roman" w:cs="Times New Roman"/>
          <w:lang w:val="es-ES"/>
        </w:rPr>
        <w:t xml:space="preserve">U.S. </w:t>
      </w:r>
      <w:proofErr w:type="spellStart"/>
      <w:r w:rsidR="00AF1200" w:rsidRPr="00901686">
        <w:rPr>
          <w:rStyle w:val="Emphasis"/>
          <w:rFonts w:ascii="Times New Roman" w:hAnsi="Times New Roman" w:cs="Times New Roman"/>
          <w:lang w:val="es-ES"/>
        </w:rPr>
        <w:t>Department</w:t>
      </w:r>
      <w:proofErr w:type="spellEnd"/>
      <w:r w:rsidR="00AF1200" w:rsidRPr="00901686">
        <w:rPr>
          <w:rStyle w:val="Emphasis"/>
          <w:rFonts w:ascii="Times New Roman" w:hAnsi="Times New Roman" w:cs="Times New Roman"/>
          <w:lang w:val="es-ES"/>
        </w:rPr>
        <w:t xml:space="preserve"> of </w:t>
      </w:r>
      <w:proofErr w:type="spellStart"/>
      <w:r w:rsidR="00AF1200" w:rsidRPr="00901686">
        <w:rPr>
          <w:rStyle w:val="Emphasis"/>
          <w:rFonts w:ascii="Times New Roman" w:hAnsi="Times New Roman" w:cs="Times New Roman"/>
          <w:lang w:val="es-ES"/>
        </w:rPr>
        <w:t>Homeland</w:t>
      </w:r>
      <w:proofErr w:type="spellEnd"/>
      <w:r w:rsidR="00AF1200" w:rsidRPr="00901686">
        <w:rPr>
          <w:rStyle w:val="Emphasis"/>
          <w:rFonts w:ascii="Times New Roman" w:hAnsi="Times New Roman" w:cs="Times New Roman"/>
          <w:lang w:val="es-ES"/>
        </w:rPr>
        <w:t xml:space="preserve"> Security, </w:t>
      </w:r>
      <w:proofErr w:type="spellStart"/>
      <w:r w:rsidR="00AF1200" w:rsidRPr="00901686">
        <w:rPr>
          <w:rStyle w:val="Emphasis"/>
          <w:rFonts w:ascii="Times New Roman" w:hAnsi="Times New Roman" w:cs="Times New Roman"/>
          <w:lang w:val="es-ES"/>
        </w:rPr>
        <w:t>National</w:t>
      </w:r>
      <w:proofErr w:type="spellEnd"/>
      <w:r w:rsidR="00AF1200" w:rsidRPr="00901686">
        <w:rPr>
          <w:rStyle w:val="Emphasis"/>
          <w:rFonts w:ascii="Times New Roman" w:hAnsi="Times New Roman" w:cs="Times New Roman"/>
          <w:lang w:val="es-ES"/>
        </w:rPr>
        <w:t xml:space="preserve"> </w:t>
      </w:r>
      <w:proofErr w:type="spellStart"/>
      <w:r w:rsidR="00AF1200" w:rsidRPr="00901686">
        <w:rPr>
          <w:rStyle w:val="Emphasis"/>
          <w:rFonts w:ascii="Times New Roman" w:hAnsi="Times New Roman" w:cs="Times New Roman"/>
          <w:lang w:val="es-ES"/>
        </w:rPr>
        <w:t>Terrorism</w:t>
      </w:r>
      <w:proofErr w:type="spellEnd"/>
      <w:r w:rsidR="00AF1200" w:rsidRPr="00901686">
        <w:rPr>
          <w:rStyle w:val="Emphasis"/>
          <w:rFonts w:ascii="Times New Roman" w:hAnsi="Times New Roman" w:cs="Times New Roman"/>
          <w:lang w:val="es-ES"/>
        </w:rPr>
        <w:t xml:space="preserve"> </w:t>
      </w:r>
      <w:proofErr w:type="spellStart"/>
      <w:r w:rsidR="00AF1200" w:rsidRPr="00901686">
        <w:rPr>
          <w:rStyle w:val="Emphasis"/>
          <w:rFonts w:ascii="Times New Roman" w:hAnsi="Times New Roman" w:cs="Times New Roman"/>
          <w:lang w:val="es-ES"/>
        </w:rPr>
        <w:t>Advisory</w:t>
      </w:r>
      <w:proofErr w:type="spellEnd"/>
      <w:r w:rsidR="00AF1200" w:rsidRPr="00901686">
        <w:rPr>
          <w:rStyle w:val="Emphasis"/>
          <w:rFonts w:ascii="Times New Roman" w:hAnsi="Times New Roman" w:cs="Times New Roman"/>
          <w:lang w:val="es-ES"/>
        </w:rPr>
        <w:t xml:space="preserve"> </w:t>
      </w:r>
      <w:proofErr w:type="spellStart"/>
      <w:r w:rsidR="00AF1200" w:rsidRPr="00901686">
        <w:rPr>
          <w:rStyle w:val="Emphasis"/>
          <w:rFonts w:ascii="Times New Roman" w:hAnsi="Times New Roman" w:cs="Times New Roman"/>
          <w:lang w:val="es-ES"/>
        </w:rPr>
        <w:t>System</w:t>
      </w:r>
      <w:proofErr w:type="spellEnd"/>
      <w:r w:rsidR="00AF1200" w:rsidRPr="00901686">
        <w:rPr>
          <w:rStyle w:val="Emphasis"/>
          <w:rFonts w:ascii="Times New Roman" w:hAnsi="Times New Roman" w:cs="Times New Roman"/>
          <w:lang w:val="es-ES"/>
        </w:rPr>
        <w:t xml:space="preserve"> </w:t>
      </w:r>
      <w:proofErr w:type="spellStart"/>
      <w:r w:rsidR="00AF1200" w:rsidRPr="00901686">
        <w:rPr>
          <w:rStyle w:val="Emphasis"/>
          <w:rFonts w:ascii="Times New Roman" w:hAnsi="Times New Roman" w:cs="Times New Roman"/>
          <w:lang w:val="es-ES"/>
        </w:rPr>
        <w:t>Bulletin</w:t>
      </w:r>
      <w:proofErr w:type="spellEnd"/>
      <w:r w:rsidR="00AF1200" w:rsidRPr="00901686">
        <w:rPr>
          <w:rStyle w:val="Emphasis"/>
          <w:rFonts w:ascii="Times New Roman" w:hAnsi="Times New Roman" w:cs="Times New Roman"/>
          <w:lang w:val="es-ES"/>
        </w:rPr>
        <w:t xml:space="preserve">, </w:t>
      </w:r>
      <w:proofErr w:type="spellStart"/>
      <w:r w:rsidR="00AF1200" w:rsidRPr="00901686">
        <w:rPr>
          <w:rStyle w:val="Emphasis"/>
          <w:rFonts w:ascii="Times New Roman" w:hAnsi="Times New Roman" w:cs="Times New Roman"/>
          <w:lang w:val="es-ES"/>
        </w:rPr>
        <w:t>Summary</w:t>
      </w:r>
      <w:proofErr w:type="spellEnd"/>
      <w:r w:rsidR="00AF1200" w:rsidRPr="00901686">
        <w:rPr>
          <w:rStyle w:val="Emphasis"/>
          <w:rFonts w:ascii="Times New Roman" w:hAnsi="Times New Roman" w:cs="Times New Roman"/>
          <w:lang w:val="es-ES"/>
        </w:rPr>
        <w:t xml:space="preserve"> of </w:t>
      </w:r>
      <w:proofErr w:type="spellStart"/>
      <w:r w:rsidR="00AF1200" w:rsidRPr="00901686">
        <w:rPr>
          <w:rStyle w:val="Emphasis"/>
          <w:rFonts w:ascii="Times New Roman" w:hAnsi="Times New Roman" w:cs="Times New Roman"/>
          <w:lang w:val="es-ES"/>
        </w:rPr>
        <w:t>the</w:t>
      </w:r>
      <w:proofErr w:type="spellEnd"/>
      <w:r w:rsidR="00AF1200" w:rsidRPr="00901686">
        <w:rPr>
          <w:rStyle w:val="Emphasis"/>
          <w:rFonts w:ascii="Times New Roman" w:hAnsi="Times New Roman" w:cs="Times New Roman"/>
          <w:lang w:val="es-ES"/>
        </w:rPr>
        <w:t xml:space="preserve"> </w:t>
      </w:r>
      <w:proofErr w:type="spellStart"/>
      <w:r w:rsidR="00AF1200" w:rsidRPr="00901686">
        <w:rPr>
          <w:rStyle w:val="Emphasis"/>
          <w:rFonts w:ascii="Times New Roman" w:hAnsi="Times New Roman" w:cs="Times New Roman"/>
          <w:lang w:val="es-ES"/>
        </w:rPr>
        <w:t>Terrorism</w:t>
      </w:r>
      <w:proofErr w:type="spellEnd"/>
      <w:r w:rsidR="00AF1200" w:rsidRPr="00901686">
        <w:rPr>
          <w:rStyle w:val="Emphasis"/>
          <w:rFonts w:ascii="Times New Roman" w:hAnsi="Times New Roman" w:cs="Times New Roman"/>
          <w:lang w:val="es-ES"/>
        </w:rPr>
        <w:t xml:space="preserve"> </w:t>
      </w:r>
      <w:proofErr w:type="spellStart"/>
      <w:r w:rsidR="00AF1200" w:rsidRPr="00901686">
        <w:rPr>
          <w:rStyle w:val="Emphasis"/>
          <w:rFonts w:ascii="Times New Roman" w:hAnsi="Times New Roman" w:cs="Times New Roman"/>
          <w:lang w:val="es-ES"/>
        </w:rPr>
        <w:t>Threat</w:t>
      </w:r>
      <w:proofErr w:type="spellEnd"/>
      <w:r w:rsidR="00AF1200" w:rsidRPr="00901686">
        <w:rPr>
          <w:rStyle w:val="Emphasis"/>
          <w:rFonts w:ascii="Times New Roman" w:hAnsi="Times New Roman" w:cs="Times New Roman"/>
          <w:lang w:val="es-ES"/>
        </w:rPr>
        <w:t xml:space="preserve"> </w:t>
      </w:r>
      <w:proofErr w:type="spellStart"/>
      <w:r w:rsidR="00AF1200" w:rsidRPr="00901686">
        <w:rPr>
          <w:rStyle w:val="Emphasis"/>
          <w:rFonts w:ascii="Times New Roman" w:hAnsi="Times New Roman" w:cs="Times New Roman"/>
          <w:lang w:val="es-ES"/>
        </w:rPr>
        <w:t>to</w:t>
      </w:r>
      <w:proofErr w:type="spellEnd"/>
      <w:r w:rsidR="00AF1200" w:rsidRPr="00901686">
        <w:rPr>
          <w:rStyle w:val="Emphasis"/>
          <w:rFonts w:ascii="Times New Roman" w:hAnsi="Times New Roman" w:cs="Times New Roman"/>
          <w:lang w:val="es-ES"/>
        </w:rPr>
        <w:t xml:space="preserve"> </w:t>
      </w:r>
      <w:proofErr w:type="spellStart"/>
      <w:r w:rsidR="00AF1200" w:rsidRPr="00901686">
        <w:rPr>
          <w:rStyle w:val="Emphasis"/>
          <w:rFonts w:ascii="Times New Roman" w:hAnsi="Times New Roman" w:cs="Times New Roman"/>
          <w:lang w:val="es-ES"/>
        </w:rPr>
        <w:t>the</w:t>
      </w:r>
      <w:proofErr w:type="spellEnd"/>
      <w:r w:rsidR="00AF1200" w:rsidRPr="00901686">
        <w:rPr>
          <w:rStyle w:val="Emphasis"/>
          <w:rFonts w:ascii="Times New Roman" w:hAnsi="Times New Roman" w:cs="Times New Roman"/>
          <w:lang w:val="es-ES"/>
        </w:rPr>
        <w:t xml:space="preserve"> </w:t>
      </w:r>
      <w:proofErr w:type="spellStart"/>
      <w:r w:rsidR="00AF1200" w:rsidRPr="00901686">
        <w:rPr>
          <w:rStyle w:val="Emphasis"/>
          <w:rFonts w:ascii="Times New Roman" w:hAnsi="Times New Roman" w:cs="Times New Roman"/>
          <w:lang w:val="es-ES"/>
        </w:rPr>
        <w:t>United</w:t>
      </w:r>
      <w:proofErr w:type="spellEnd"/>
      <w:r w:rsidR="00AF1200" w:rsidRPr="00901686">
        <w:rPr>
          <w:rStyle w:val="Emphasis"/>
          <w:rFonts w:ascii="Times New Roman" w:hAnsi="Times New Roman" w:cs="Times New Roman"/>
          <w:lang w:val="es-ES"/>
        </w:rPr>
        <w:t xml:space="preserve"> </w:t>
      </w:r>
      <w:proofErr w:type="spellStart"/>
      <w:r w:rsidR="00AF1200" w:rsidRPr="00901686">
        <w:rPr>
          <w:rStyle w:val="Emphasis"/>
          <w:rFonts w:ascii="Times New Roman" w:hAnsi="Times New Roman" w:cs="Times New Roman"/>
          <w:lang w:val="es-ES"/>
        </w:rPr>
        <w:t>States</w:t>
      </w:r>
      <w:proofErr w:type="spellEnd"/>
      <w:r w:rsidR="00454947" w:rsidRPr="00901686">
        <w:rPr>
          <w:rFonts w:ascii="Times New Roman" w:hAnsi="Times New Roman" w:cs="Times New Roman"/>
          <w:lang w:val="es-ES"/>
        </w:rPr>
        <w:t xml:space="preserve"> (7 de febrero de 2022); </w:t>
      </w:r>
      <w:r w:rsidR="00AF1200" w:rsidRPr="00901686">
        <w:rPr>
          <w:rStyle w:val="Emphasis"/>
          <w:rFonts w:ascii="Times New Roman" w:hAnsi="Times New Roman" w:cs="Times New Roman"/>
          <w:lang w:val="es-ES"/>
        </w:rPr>
        <w:t xml:space="preserve">U.S. </w:t>
      </w:r>
      <w:proofErr w:type="spellStart"/>
      <w:r w:rsidR="00AF1200" w:rsidRPr="00901686">
        <w:rPr>
          <w:rStyle w:val="Emphasis"/>
          <w:rFonts w:ascii="Times New Roman" w:hAnsi="Times New Roman" w:cs="Times New Roman"/>
          <w:lang w:val="es-ES"/>
        </w:rPr>
        <w:t>Department</w:t>
      </w:r>
      <w:proofErr w:type="spellEnd"/>
      <w:r w:rsidR="00AF1200" w:rsidRPr="00901686">
        <w:rPr>
          <w:rStyle w:val="Emphasis"/>
          <w:rFonts w:ascii="Times New Roman" w:hAnsi="Times New Roman" w:cs="Times New Roman"/>
          <w:lang w:val="es-ES"/>
        </w:rPr>
        <w:t xml:space="preserve"> of </w:t>
      </w:r>
      <w:proofErr w:type="spellStart"/>
      <w:r w:rsidR="00AF1200" w:rsidRPr="00901686">
        <w:rPr>
          <w:rStyle w:val="Emphasis"/>
          <w:rFonts w:ascii="Times New Roman" w:hAnsi="Times New Roman" w:cs="Times New Roman"/>
          <w:lang w:val="es-ES"/>
        </w:rPr>
        <w:t>Homeland</w:t>
      </w:r>
      <w:proofErr w:type="spellEnd"/>
      <w:r w:rsidR="00AF1200" w:rsidRPr="00901686">
        <w:rPr>
          <w:rStyle w:val="Emphasis"/>
          <w:rFonts w:ascii="Times New Roman" w:hAnsi="Times New Roman" w:cs="Times New Roman"/>
          <w:lang w:val="es-ES"/>
        </w:rPr>
        <w:t xml:space="preserve"> Security, </w:t>
      </w:r>
      <w:proofErr w:type="spellStart"/>
      <w:r w:rsidR="00AF1200" w:rsidRPr="00901686">
        <w:rPr>
          <w:rStyle w:val="Emphasis"/>
          <w:rFonts w:ascii="Times New Roman" w:hAnsi="Times New Roman" w:cs="Times New Roman"/>
          <w:lang w:val="es-ES"/>
        </w:rPr>
        <w:t>National</w:t>
      </w:r>
      <w:proofErr w:type="spellEnd"/>
      <w:r w:rsidR="00AF1200" w:rsidRPr="00901686">
        <w:rPr>
          <w:rStyle w:val="Emphasis"/>
          <w:rFonts w:ascii="Times New Roman" w:hAnsi="Times New Roman" w:cs="Times New Roman"/>
          <w:lang w:val="es-ES"/>
        </w:rPr>
        <w:t xml:space="preserve"> </w:t>
      </w:r>
      <w:proofErr w:type="spellStart"/>
      <w:r w:rsidR="00AF1200" w:rsidRPr="00901686">
        <w:rPr>
          <w:rStyle w:val="Emphasis"/>
          <w:rFonts w:ascii="Times New Roman" w:hAnsi="Times New Roman" w:cs="Times New Roman"/>
          <w:lang w:val="es-ES"/>
        </w:rPr>
        <w:t>Terrorism</w:t>
      </w:r>
      <w:proofErr w:type="spellEnd"/>
      <w:r w:rsidR="00AF1200" w:rsidRPr="00901686">
        <w:rPr>
          <w:rStyle w:val="Emphasis"/>
          <w:rFonts w:ascii="Times New Roman" w:hAnsi="Times New Roman" w:cs="Times New Roman"/>
          <w:lang w:val="es-ES"/>
        </w:rPr>
        <w:t xml:space="preserve"> </w:t>
      </w:r>
      <w:proofErr w:type="spellStart"/>
      <w:r w:rsidR="00AF1200" w:rsidRPr="00901686">
        <w:rPr>
          <w:rStyle w:val="Emphasis"/>
          <w:rFonts w:ascii="Times New Roman" w:hAnsi="Times New Roman" w:cs="Times New Roman"/>
          <w:lang w:val="es-ES"/>
        </w:rPr>
        <w:t>Advisory</w:t>
      </w:r>
      <w:proofErr w:type="spellEnd"/>
      <w:r w:rsidR="00AF1200" w:rsidRPr="00901686">
        <w:rPr>
          <w:rStyle w:val="Emphasis"/>
          <w:rFonts w:ascii="Times New Roman" w:hAnsi="Times New Roman" w:cs="Times New Roman"/>
          <w:lang w:val="es-ES"/>
        </w:rPr>
        <w:t xml:space="preserve"> </w:t>
      </w:r>
      <w:proofErr w:type="spellStart"/>
      <w:r w:rsidR="00AF1200" w:rsidRPr="00901686">
        <w:rPr>
          <w:rStyle w:val="Emphasis"/>
          <w:rFonts w:ascii="Times New Roman" w:hAnsi="Times New Roman" w:cs="Times New Roman"/>
          <w:lang w:val="es-ES"/>
        </w:rPr>
        <w:t>System</w:t>
      </w:r>
      <w:proofErr w:type="spellEnd"/>
      <w:r w:rsidR="00AF1200" w:rsidRPr="00901686">
        <w:rPr>
          <w:rStyle w:val="Emphasis"/>
          <w:rFonts w:ascii="Times New Roman" w:hAnsi="Times New Roman" w:cs="Times New Roman"/>
          <w:lang w:val="es-ES"/>
        </w:rPr>
        <w:t xml:space="preserve"> </w:t>
      </w:r>
      <w:proofErr w:type="spellStart"/>
      <w:r w:rsidR="00AF1200" w:rsidRPr="00901686">
        <w:rPr>
          <w:rStyle w:val="Emphasis"/>
          <w:rFonts w:ascii="Times New Roman" w:hAnsi="Times New Roman" w:cs="Times New Roman"/>
          <w:lang w:val="es-ES"/>
        </w:rPr>
        <w:t>Bulletin</w:t>
      </w:r>
      <w:proofErr w:type="spellEnd"/>
      <w:r w:rsidR="00AF1200" w:rsidRPr="00901686">
        <w:rPr>
          <w:rStyle w:val="Emphasis"/>
          <w:rFonts w:ascii="Times New Roman" w:hAnsi="Times New Roman" w:cs="Times New Roman"/>
          <w:lang w:val="es-ES"/>
        </w:rPr>
        <w:t xml:space="preserve">, </w:t>
      </w:r>
      <w:proofErr w:type="spellStart"/>
      <w:r w:rsidR="00AF1200" w:rsidRPr="00901686">
        <w:rPr>
          <w:rStyle w:val="Emphasis"/>
          <w:rFonts w:ascii="Times New Roman" w:hAnsi="Times New Roman" w:cs="Times New Roman"/>
          <w:lang w:val="es-ES"/>
        </w:rPr>
        <w:t>Summary</w:t>
      </w:r>
      <w:proofErr w:type="spellEnd"/>
      <w:r w:rsidR="00AF1200" w:rsidRPr="00901686">
        <w:rPr>
          <w:rStyle w:val="Emphasis"/>
          <w:rFonts w:ascii="Times New Roman" w:hAnsi="Times New Roman" w:cs="Times New Roman"/>
          <w:lang w:val="es-ES"/>
        </w:rPr>
        <w:t xml:space="preserve"> of </w:t>
      </w:r>
      <w:proofErr w:type="spellStart"/>
      <w:r w:rsidR="00AF1200" w:rsidRPr="00901686">
        <w:rPr>
          <w:rStyle w:val="Emphasis"/>
          <w:rFonts w:ascii="Times New Roman" w:hAnsi="Times New Roman" w:cs="Times New Roman"/>
          <w:lang w:val="es-ES"/>
        </w:rPr>
        <w:t>the</w:t>
      </w:r>
      <w:proofErr w:type="spellEnd"/>
      <w:r w:rsidR="00AF1200" w:rsidRPr="00901686">
        <w:rPr>
          <w:rStyle w:val="Emphasis"/>
          <w:rFonts w:ascii="Times New Roman" w:hAnsi="Times New Roman" w:cs="Times New Roman"/>
          <w:lang w:val="es-ES"/>
        </w:rPr>
        <w:t xml:space="preserve"> </w:t>
      </w:r>
      <w:proofErr w:type="spellStart"/>
      <w:r w:rsidR="00AF1200" w:rsidRPr="00901686">
        <w:rPr>
          <w:rStyle w:val="Emphasis"/>
          <w:rFonts w:ascii="Times New Roman" w:hAnsi="Times New Roman" w:cs="Times New Roman"/>
          <w:lang w:val="es-ES"/>
        </w:rPr>
        <w:t>Terrorism</w:t>
      </w:r>
      <w:proofErr w:type="spellEnd"/>
      <w:r w:rsidR="00AF1200" w:rsidRPr="00901686">
        <w:rPr>
          <w:rStyle w:val="Emphasis"/>
          <w:rFonts w:ascii="Times New Roman" w:hAnsi="Times New Roman" w:cs="Times New Roman"/>
          <w:lang w:val="es-ES"/>
        </w:rPr>
        <w:t xml:space="preserve"> </w:t>
      </w:r>
      <w:proofErr w:type="spellStart"/>
      <w:r w:rsidR="00AF1200" w:rsidRPr="00901686">
        <w:rPr>
          <w:rStyle w:val="Emphasis"/>
          <w:rFonts w:ascii="Times New Roman" w:hAnsi="Times New Roman" w:cs="Times New Roman"/>
          <w:lang w:val="es-ES"/>
        </w:rPr>
        <w:t>Threat</w:t>
      </w:r>
      <w:proofErr w:type="spellEnd"/>
      <w:r w:rsidR="00AF1200" w:rsidRPr="00901686">
        <w:rPr>
          <w:rStyle w:val="Emphasis"/>
          <w:rFonts w:ascii="Times New Roman" w:hAnsi="Times New Roman" w:cs="Times New Roman"/>
          <w:lang w:val="es-ES"/>
        </w:rPr>
        <w:t xml:space="preserve"> </w:t>
      </w:r>
      <w:proofErr w:type="spellStart"/>
      <w:r w:rsidR="00AF1200" w:rsidRPr="00901686">
        <w:rPr>
          <w:rStyle w:val="Emphasis"/>
          <w:rFonts w:ascii="Times New Roman" w:hAnsi="Times New Roman" w:cs="Times New Roman"/>
          <w:lang w:val="es-ES"/>
        </w:rPr>
        <w:t>to</w:t>
      </w:r>
      <w:proofErr w:type="spellEnd"/>
      <w:r w:rsidR="00AF1200" w:rsidRPr="00901686">
        <w:rPr>
          <w:rStyle w:val="Emphasis"/>
          <w:rFonts w:ascii="Times New Roman" w:hAnsi="Times New Roman" w:cs="Times New Roman"/>
          <w:lang w:val="es-ES"/>
        </w:rPr>
        <w:t xml:space="preserve"> </w:t>
      </w:r>
      <w:proofErr w:type="spellStart"/>
      <w:r w:rsidR="00AF1200" w:rsidRPr="00901686">
        <w:rPr>
          <w:rStyle w:val="Emphasis"/>
          <w:rFonts w:ascii="Times New Roman" w:hAnsi="Times New Roman" w:cs="Times New Roman"/>
          <w:lang w:val="es-ES"/>
        </w:rPr>
        <w:t>the</w:t>
      </w:r>
      <w:proofErr w:type="spellEnd"/>
      <w:r w:rsidR="00AF1200" w:rsidRPr="00901686">
        <w:rPr>
          <w:rStyle w:val="Emphasis"/>
          <w:rFonts w:ascii="Times New Roman" w:hAnsi="Times New Roman" w:cs="Times New Roman"/>
          <w:lang w:val="es-ES"/>
        </w:rPr>
        <w:t xml:space="preserve"> </w:t>
      </w:r>
      <w:proofErr w:type="spellStart"/>
      <w:r w:rsidR="00AF1200" w:rsidRPr="00901686">
        <w:rPr>
          <w:rStyle w:val="Emphasis"/>
          <w:rFonts w:ascii="Times New Roman" w:hAnsi="Times New Roman" w:cs="Times New Roman"/>
          <w:lang w:val="es-ES"/>
        </w:rPr>
        <w:t>United</w:t>
      </w:r>
      <w:proofErr w:type="spellEnd"/>
      <w:r w:rsidR="00AF1200" w:rsidRPr="00901686">
        <w:rPr>
          <w:rStyle w:val="Emphasis"/>
          <w:rFonts w:ascii="Times New Roman" w:hAnsi="Times New Roman" w:cs="Times New Roman"/>
          <w:lang w:val="es-ES"/>
        </w:rPr>
        <w:t xml:space="preserve"> </w:t>
      </w:r>
      <w:proofErr w:type="spellStart"/>
      <w:r w:rsidR="00AF1200" w:rsidRPr="00901686">
        <w:rPr>
          <w:rStyle w:val="Emphasis"/>
          <w:rFonts w:ascii="Times New Roman" w:hAnsi="Times New Roman" w:cs="Times New Roman"/>
          <w:lang w:val="es-ES"/>
        </w:rPr>
        <w:t>States</w:t>
      </w:r>
      <w:proofErr w:type="spellEnd"/>
      <w:r w:rsidR="00454947" w:rsidRPr="00901686">
        <w:rPr>
          <w:rFonts w:ascii="Times New Roman" w:hAnsi="Times New Roman" w:cs="Times New Roman"/>
          <w:lang w:val="es-ES"/>
        </w:rPr>
        <w:t xml:space="preserve"> (7 de junio de 2022).</w:t>
      </w:r>
      <w:r w:rsidR="00AF1200" w:rsidRPr="00901686">
        <w:rPr>
          <w:rFonts w:ascii="Times New Roman" w:hAnsi="Times New Roman" w:cs="Times New Roman"/>
          <w:lang w:val="es-ES"/>
        </w:rPr>
        <w:t xml:space="preserve"> </w:t>
      </w:r>
      <w:r w:rsidR="00454947" w:rsidRPr="00901686">
        <w:rPr>
          <w:rFonts w:ascii="Times New Roman" w:hAnsi="Times New Roman" w:cs="Times New Roman"/>
          <w:i/>
          <w:iCs/>
          <w:lang w:val="es-ES"/>
        </w:rPr>
        <w:t>Véase</w:t>
      </w:r>
      <w:r w:rsidR="00454947" w:rsidRPr="00901686">
        <w:rPr>
          <w:rFonts w:ascii="Times New Roman" w:hAnsi="Times New Roman" w:cs="Times New Roman"/>
          <w:lang w:val="es-ES"/>
        </w:rPr>
        <w:t xml:space="preserve">, en general, Rachel </w:t>
      </w:r>
      <w:proofErr w:type="spellStart"/>
      <w:r w:rsidR="00454947" w:rsidRPr="00901686">
        <w:rPr>
          <w:rFonts w:ascii="Times New Roman" w:hAnsi="Times New Roman" w:cs="Times New Roman"/>
          <w:lang w:val="es-ES"/>
        </w:rPr>
        <w:t>Kleinfeld</w:t>
      </w:r>
      <w:proofErr w:type="spellEnd"/>
      <w:r w:rsidR="00454947" w:rsidRPr="00901686">
        <w:rPr>
          <w:rFonts w:ascii="Times New Roman" w:hAnsi="Times New Roman" w:cs="Times New Roman"/>
          <w:lang w:val="es-ES"/>
        </w:rPr>
        <w:t xml:space="preserve">, </w:t>
      </w:r>
      <w:proofErr w:type="spellStart"/>
      <w:r w:rsidR="00454947" w:rsidRPr="00901686">
        <w:rPr>
          <w:rStyle w:val="Emphasis"/>
          <w:rFonts w:ascii="Times New Roman" w:hAnsi="Times New Roman" w:cs="Times New Roman"/>
          <w:lang w:val="es-ES"/>
        </w:rPr>
        <w:t>The</w:t>
      </w:r>
      <w:proofErr w:type="spellEnd"/>
      <w:r w:rsidR="00454947" w:rsidRPr="00901686">
        <w:rPr>
          <w:rStyle w:val="Emphasis"/>
          <w:rFonts w:ascii="Times New Roman" w:hAnsi="Times New Roman" w:cs="Times New Roman"/>
          <w:lang w:val="es-ES"/>
        </w:rPr>
        <w:t xml:space="preserve"> </w:t>
      </w:r>
      <w:proofErr w:type="spellStart"/>
      <w:r w:rsidR="00454947" w:rsidRPr="00901686">
        <w:rPr>
          <w:rStyle w:val="Emphasis"/>
          <w:rFonts w:ascii="Times New Roman" w:hAnsi="Times New Roman" w:cs="Times New Roman"/>
          <w:lang w:val="es-ES"/>
        </w:rPr>
        <w:t>Rise</w:t>
      </w:r>
      <w:proofErr w:type="spellEnd"/>
      <w:r w:rsidR="00454947" w:rsidRPr="00901686">
        <w:rPr>
          <w:rStyle w:val="Emphasis"/>
          <w:rFonts w:ascii="Times New Roman" w:hAnsi="Times New Roman" w:cs="Times New Roman"/>
          <w:lang w:val="es-ES"/>
        </w:rPr>
        <w:t xml:space="preserve"> of </w:t>
      </w:r>
      <w:proofErr w:type="spellStart"/>
      <w:r w:rsidR="00454947" w:rsidRPr="00901686">
        <w:rPr>
          <w:rStyle w:val="Emphasis"/>
          <w:rFonts w:ascii="Times New Roman" w:hAnsi="Times New Roman" w:cs="Times New Roman"/>
          <w:lang w:val="es-ES"/>
        </w:rPr>
        <w:t>Political</w:t>
      </w:r>
      <w:proofErr w:type="spellEnd"/>
      <w:r w:rsidR="00454947" w:rsidRPr="00901686">
        <w:rPr>
          <w:rStyle w:val="Emphasis"/>
          <w:rFonts w:ascii="Times New Roman" w:hAnsi="Times New Roman" w:cs="Times New Roman"/>
          <w:lang w:val="es-ES"/>
        </w:rPr>
        <w:t xml:space="preserve"> </w:t>
      </w:r>
      <w:proofErr w:type="spellStart"/>
      <w:r w:rsidR="00454947" w:rsidRPr="00901686">
        <w:rPr>
          <w:rStyle w:val="Emphasis"/>
          <w:rFonts w:ascii="Times New Roman" w:hAnsi="Times New Roman" w:cs="Times New Roman"/>
          <w:lang w:val="es-ES"/>
        </w:rPr>
        <w:t>Violence</w:t>
      </w:r>
      <w:proofErr w:type="spellEnd"/>
      <w:r w:rsidR="00454947" w:rsidRPr="00901686">
        <w:rPr>
          <w:rStyle w:val="Emphasis"/>
          <w:rFonts w:ascii="Times New Roman" w:hAnsi="Times New Roman" w:cs="Times New Roman"/>
          <w:lang w:val="es-ES"/>
        </w:rPr>
        <w:t xml:space="preserve"> in </w:t>
      </w:r>
      <w:proofErr w:type="spellStart"/>
      <w:r w:rsidR="00454947" w:rsidRPr="00901686">
        <w:rPr>
          <w:rStyle w:val="Emphasis"/>
          <w:rFonts w:ascii="Times New Roman" w:hAnsi="Times New Roman" w:cs="Times New Roman"/>
          <w:lang w:val="es-ES"/>
        </w:rPr>
        <w:t>the</w:t>
      </w:r>
      <w:proofErr w:type="spellEnd"/>
      <w:r w:rsidR="00454947" w:rsidRPr="00901686">
        <w:rPr>
          <w:rStyle w:val="Emphasis"/>
          <w:rFonts w:ascii="Times New Roman" w:hAnsi="Times New Roman" w:cs="Times New Roman"/>
          <w:lang w:val="es-ES"/>
        </w:rPr>
        <w:t xml:space="preserve"> </w:t>
      </w:r>
      <w:proofErr w:type="spellStart"/>
      <w:r w:rsidR="00454947" w:rsidRPr="00901686">
        <w:rPr>
          <w:rStyle w:val="Emphasis"/>
          <w:rFonts w:ascii="Times New Roman" w:hAnsi="Times New Roman" w:cs="Times New Roman"/>
          <w:lang w:val="es-ES"/>
        </w:rPr>
        <w:t>United</w:t>
      </w:r>
      <w:proofErr w:type="spellEnd"/>
      <w:r w:rsidR="00454947" w:rsidRPr="00901686">
        <w:rPr>
          <w:rStyle w:val="Emphasis"/>
          <w:rFonts w:ascii="Times New Roman" w:hAnsi="Times New Roman" w:cs="Times New Roman"/>
          <w:lang w:val="es-ES"/>
        </w:rPr>
        <w:t xml:space="preserve"> </w:t>
      </w:r>
      <w:proofErr w:type="spellStart"/>
      <w:r w:rsidR="00454947" w:rsidRPr="00901686">
        <w:rPr>
          <w:rStyle w:val="Emphasis"/>
          <w:rFonts w:ascii="Times New Roman" w:hAnsi="Times New Roman" w:cs="Times New Roman"/>
          <w:lang w:val="es-ES"/>
        </w:rPr>
        <w:t>States</w:t>
      </w:r>
      <w:proofErr w:type="spellEnd"/>
      <w:r w:rsidR="00454947" w:rsidRPr="00901686">
        <w:rPr>
          <w:rFonts w:ascii="Times New Roman" w:hAnsi="Times New Roman" w:cs="Times New Roman"/>
          <w:lang w:val="es-ES"/>
        </w:rPr>
        <w:t xml:space="preserve">, 32 </w:t>
      </w:r>
      <w:proofErr w:type="spellStart"/>
      <w:r w:rsidR="00454947" w:rsidRPr="00901686">
        <w:rPr>
          <w:rStyle w:val="Emphasis"/>
          <w:rFonts w:ascii="Times New Roman" w:hAnsi="Times New Roman" w:cs="Times New Roman"/>
          <w:lang w:val="es-ES"/>
        </w:rPr>
        <w:t>Journal</w:t>
      </w:r>
      <w:proofErr w:type="spellEnd"/>
      <w:r w:rsidR="00454947" w:rsidRPr="00901686">
        <w:rPr>
          <w:rStyle w:val="Emphasis"/>
          <w:rFonts w:ascii="Times New Roman" w:hAnsi="Times New Roman" w:cs="Times New Roman"/>
          <w:lang w:val="es-ES"/>
        </w:rPr>
        <w:t xml:space="preserve"> of </w:t>
      </w:r>
      <w:proofErr w:type="spellStart"/>
      <w:r w:rsidR="00454947" w:rsidRPr="00901686">
        <w:rPr>
          <w:rStyle w:val="Emphasis"/>
          <w:rFonts w:ascii="Times New Roman" w:hAnsi="Times New Roman" w:cs="Times New Roman"/>
          <w:lang w:val="es-ES"/>
        </w:rPr>
        <w:t>Democracy</w:t>
      </w:r>
      <w:proofErr w:type="spellEnd"/>
      <w:r w:rsidR="00454947" w:rsidRPr="00901686">
        <w:rPr>
          <w:rFonts w:ascii="Times New Roman" w:hAnsi="Times New Roman" w:cs="Times New Roman"/>
          <w:lang w:val="es-ES"/>
        </w:rPr>
        <w:t xml:space="preserve"> 160 (2021).</w:t>
      </w:r>
    </w:p>
  </w:footnote>
  <w:footnote w:id="8">
    <w:p w14:paraId="51C84A38" w14:textId="77777777" w:rsidR="009E7679" w:rsidRPr="00901686" w:rsidRDefault="009E7679" w:rsidP="009E7679">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8</w:t>
      </w:r>
      <w:r w:rsidRPr="00901686">
        <w:rPr>
          <w:rFonts w:ascii="Times New Roman" w:hAnsi="Times New Roman" w:cs="Times New Roman"/>
          <w:lang w:val="es-ES"/>
        </w:rPr>
        <w:t xml:space="preserve"> Presidente Franklin D. Roosevelt, </w:t>
      </w:r>
      <w:proofErr w:type="spellStart"/>
      <w:r w:rsidRPr="00901686">
        <w:rPr>
          <w:rStyle w:val="Emphasis"/>
          <w:rFonts w:ascii="Times New Roman" w:hAnsi="Times New Roman" w:cs="Times New Roman"/>
          <w:lang w:val="es-ES"/>
        </w:rPr>
        <w:t>Fireside</w:t>
      </w:r>
      <w:proofErr w:type="spellEnd"/>
      <w:r w:rsidRPr="00901686">
        <w:rPr>
          <w:rStyle w:val="Emphasis"/>
          <w:rFonts w:ascii="Times New Roman" w:hAnsi="Times New Roman" w:cs="Times New Roman"/>
          <w:lang w:val="es-ES"/>
        </w:rPr>
        <w:t xml:space="preserve"> Chat #28—State of </w:t>
      </w:r>
      <w:proofErr w:type="spellStart"/>
      <w:r w:rsidRPr="00901686">
        <w:rPr>
          <w:rStyle w:val="Emphasis"/>
          <w:rFonts w:ascii="Times New Roman" w:hAnsi="Times New Roman" w:cs="Times New Roman"/>
          <w:lang w:val="es-ES"/>
        </w:rPr>
        <w:t>the</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Union</w:t>
      </w:r>
      <w:proofErr w:type="spellEnd"/>
      <w:r w:rsidRPr="00901686">
        <w:rPr>
          <w:rFonts w:ascii="Times New Roman" w:hAnsi="Times New Roman" w:cs="Times New Roman"/>
          <w:lang w:val="es-ES"/>
        </w:rPr>
        <w:t xml:space="preserve"> (11 de enero de 1944) (citando “a uno de los grandes industriales estadounidenses de [su] época”).</w:t>
      </w:r>
    </w:p>
  </w:footnote>
  <w:footnote w:id="9">
    <w:p w14:paraId="2488F112" w14:textId="77777777" w:rsidR="009E7679" w:rsidRPr="00901686" w:rsidRDefault="009E7679" w:rsidP="009E7679">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9</w:t>
      </w:r>
      <w:r w:rsidRPr="00901686">
        <w:rPr>
          <w:rFonts w:ascii="Times New Roman" w:hAnsi="Times New Roman" w:cs="Times New Roman"/>
          <w:lang w:val="es-ES"/>
        </w:rPr>
        <w:t xml:space="preserve"> </w:t>
      </w:r>
      <w:r w:rsidRPr="00901686">
        <w:rPr>
          <w:rFonts w:ascii="Times New Roman" w:hAnsi="Times New Roman" w:cs="Times New Roman"/>
          <w:i/>
          <w:lang w:val="es-ES"/>
        </w:rPr>
        <w:t xml:space="preserve">Id. </w:t>
      </w:r>
    </w:p>
  </w:footnote>
  <w:footnote w:id="10">
    <w:p w14:paraId="0F6E3AFF" w14:textId="77777777" w:rsidR="00D84115" w:rsidRPr="00901686" w:rsidRDefault="00D84115" w:rsidP="00D84115">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10</w:t>
      </w:r>
      <w:r w:rsidRPr="00901686">
        <w:rPr>
          <w:rFonts w:ascii="Times New Roman" w:hAnsi="Times New Roman" w:cs="Times New Roman"/>
          <w:lang w:val="es-ES"/>
        </w:rPr>
        <w:t xml:space="preserve"> </w:t>
      </w:r>
      <w:r w:rsidRPr="00901686">
        <w:rPr>
          <w:rFonts w:ascii="Times New Roman" w:hAnsi="Times New Roman" w:cs="Times New Roman"/>
          <w:i/>
          <w:iCs/>
          <w:lang w:val="es-ES"/>
        </w:rPr>
        <w:t>Véase</w:t>
      </w:r>
      <w:r w:rsidRPr="00901686">
        <w:rPr>
          <w:rFonts w:ascii="Times New Roman" w:hAnsi="Times New Roman" w:cs="Times New Roman"/>
          <w:lang w:val="es-ES"/>
        </w:rPr>
        <w:t xml:space="preserve"> Valdés, nota 1 </w:t>
      </w:r>
      <w:r w:rsidRPr="00901686">
        <w:rPr>
          <w:rFonts w:ascii="Times New Roman" w:hAnsi="Times New Roman" w:cs="Times New Roman"/>
          <w:i/>
          <w:iCs/>
          <w:lang w:val="es-ES"/>
        </w:rPr>
        <w:t>supra</w:t>
      </w:r>
      <w:r w:rsidRPr="00901686">
        <w:rPr>
          <w:rFonts w:ascii="Times New Roman" w:hAnsi="Times New Roman" w:cs="Times New Roman"/>
          <w:lang w:val="es-ES"/>
        </w:rPr>
        <w:t>, p. 1415.</w:t>
      </w:r>
    </w:p>
  </w:footnote>
  <w:footnote w:id="11">
    <w:p w14:paraId="20B69A85" w14:textId="79FAD478" w:rsidR="00381636" w:rsidRPr="00901686" w:rsidRDefault="00381636" w:rsidP="00381636">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11</w:t>
      </w:r>
      <w:r w:rsidRPr="00901686">
        <w:rPr>
          <w:rFonts w:ascii="Times New Roman" w:hAnsi="Times New Roman" w:cs="Times New Roman"/>
          <w:lang w:val="es-ES"/>
        </w:rPr>
        <w:t xml:space="preserve"> </w:t>
      </w:r>
      <w:r w:rsidR="008D364E" w:rsidRPr="00901686">
        <w:rPr>
          <w:rFonts w:ascii="Times New Roman" w:hAnsi="Times New Roman" w:cs="Times New Roman"/>
          <w:lang w:val="es-ES"/>
        </w:rPr>
        <w:t xml:space="preserve">Para una visión general, </w:t>
      </w:r>
      <w:r w:rsidR="008D364E" w:rsidRPr="00901686">
        <w:rPr>
          <w:rFonts w:ascii="Times New Roman" w:hAnsi="Times New Roman" w:cs="Times New Roman"/>
          <w:i/>
          <w:iCs/>
          <w:lang w:val="es-ES"/>
        </w:rPr>
        <w:t>véase</w:t>
      </w:r>
      <w:r w:rsidR="008D364E" w:rsidRPr="00901686">
        <w:rPr>
          <w:rFonts w:ascii="Times New Roman" w:hAnsi="Times New Roman" w:cs="Times New Roman"/>
          <w:lang w:val="es-ES"/>
        </w:rPr>
        <w:t xml:space="preserve"> </w:t>
      </w:r>
      <w:proofErr w:type="spellStart"/>
      <w:r w:rsidR="008D364E" w:rsidRPr="00901686">
        <w:rPr>
          <w:rStyle w:val="Emphasis"/>
          <w:rFonts w:ascii="Times New Roman" w:hAnsi="Times New Roman" w:cs="Times New Roman"/>
          <w:lang w:val="es-ES"/>
        </w:rPr>
        <w:t>Critical</w:t>
      </w:r>
      <w:proofErr w:type="spellEnd"/>
      <w:r w:rsidR="008D364E" w:rsidRPr="00901686">
        <w:rPr>
          <w:rStyle w:val="Emphasis"/>
          <w:rFonts w:ascii="Times New Roman" w:hAnsi="Times New Roman" w:cs="Times New Roman"/>
          <w:lang w:val="es-ES"/>
        </w:rPr>
        <w:t xml:space="preserve"> </w:t>
      </w:r>
      <w:proofErr w:type="spellStart"/>
      <w:r w:rsidR="008D364E" w:rsidRPr="00901686">
        <w:rPr>
          <w:rStyle w:val="Emphasis"/>
          <w:rFonts w:ascii="Times New Roman" w:hAnsi="Times New Roman" w:cs="Times New Roman"/>
          <w:lang w:val="es-ES"/>
        </w:rPr>
        <w:t>Justice</w:t>
      </w:r>
      <w:proofErr w:type="spellEnd"/>
      <w:r w:rsidR="008D364E" w:rsidRPr="00901686">
        <w:rPr>
          <w:rStyle w:val="Emphasis"/>
          <w:rFonts w:ascii="Times New Roman" w:hAnsi="Times New Roman" w:cs="Times New Roman"/>
          <w:lang w:val="es-ES"/>
        </w:rPr>
        <w:t xml:space="preserve">: </w:t>
      </w:r>
      <w:proofErr w:type="spellStart"/>
      <w:r w:rsidR="008D364E" w:rsidRPr="00901686">
        <w:rPr>
          <w:rStyle w:val="Emphasis"/>
          <w:rFonts w:ascii="Times New Roman" w:hAnsi="Times New Roman" w:cs="Times New Roman"/>
          <w:lang w:val="es-ES"/>
        </w:rPr>
        <w:t>Systemic</w:t>
      </w:r>
      <w:proofErr w:type="spellEnd"/>
      <w:r w:rsidR="008D364E" w:rsidRPr="00901686">
        <w:rPr>
          <w:rStyle w:val="Emphasis"/>
          <w:rFonts w:ascii="Times New Roman" w:hAnsi="Times New Roman" w:cs="Times New Roman"/>
          <w:lang w:val="es-ES"/>
        </w:rPr>
        <w:t xml:space="preserve"> </w:t>
      </w:r>
      <w:proofErr w:type="spellStart"/>
      <w:r w:rsidR="008D364E" w:rsidRPr="00901686">
        <w:rPr>
          <w:rStyle w:val="Emphasis"/>
          <w:rFonts w:ascii="Times New Roman" w:hAnsi="Times New Roman" w:cs="Times New Roman"/>
          <w:lang w:val="es-ES"/>
        </w:rPr>
        <w:t>Advocacy</w:t>
      </w:r>
      <w:proofErr w:type="spellEnd"/>
      <w:r w:rsidR="008D364E" w:rsidRPr="00901686">
        <w:rPr>
          <w:rStyle w:val="Emphasis"/>
          <w:rFonts w:ascii="Times New Roman" w:hAnsi="Times New Roman" w:cs="Times New Roman"/>
          <w:lang w:val="es-ES"/>
        </w:rPr>
        <w:t xml:space="preserve"> in Law and </w:t>
      </w:r>
      <w:proofErr w:type="spellStart"/>
      <w:r w:rsidR="008D364E" w:rsidRPr="00901686">
        <w:rPr>
          <w:rStyle w:val="Emphasis"/>
          <w:rFonts w:ascii="Times New Roman" w:hAnsi="Times New Roman" w:cs="Times New Roman"/>
          <w:lang w:val="es-ES"/>
        </w:rPr>
        <w:t>Society</w:t>
      </w:r>
      <w:proofErr w:type="spellEnd"/>
      <w:r w:rsidR="008D364E" w:rsidRPr="00901686">
        <w:rPr>
          <w:rFonts w:ascii="Times New Roman" w:hAnsi="Times New Roman" w:cs="Times New Roman"/>
          <w:lang w:val="es-ES"/>
        </w:rPr>
        <w:t xml:space="preserve"> (Francisco Valdés, Steven W. Bender y Jennifer H. Hill, eds., 2021).</w:t>
      </w:r>
    </w:p>
  </w:footnote>
  <w:footnote w:id="12">
    <w:p w14:paraId="28A91836" w14:textId="33CACC30" w:rsidR="00334334" w:rsidRPr="00901686" w:rsidRDefault="00334334" w:rsidP="00334334">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12</w:t>
      </w:r>
      <w:r w:rsidRPr="00901686">
        <w:rPr>
          <w:rFonts w:ascii="Times New Roman" w:hAnsi="Times New Roman" w:cs="Times New Roman"/>
          <w:lang w:val="es-ES"/>
        </w:rPr>
        <w:t xml:space="preserve"> </w:t>
      </w:r>
      <w:r w:rsidR="008D364E" w:rsidRPr="00901686">
        <w:rPr>
          <w:rFonts w:ascii="Times New Roman" w:hAnsi="Times New Roman" w:cs="Times New Roman"/>
          <w:i/>
          <w:iCs/>
          <w:lang w:val="es-ES"/>
        </w:rPr>
        <w:t>Véase</w:t>
      </w:r>
      <w:r w:rsidR="008D364E" w:rsidRPr="00901686">
        <w:rPr>
          <w:rFonts w:ascii="Times New Roman" w:hAnsi="Times New Roman" w:cs="Times New Roman"/>
          <w:lang w:val="es-ES"/>
        </w:rPr>
        <w:t xml:space="preserve"> </w:t>
      </w:r>
      <w:r w:rsidR="008D364E" w:rsidRPr="00901686">
        <w:rPr>
          <w:rStyle w:val="Emphasis"/>
          <w:rFonts w:ascii="Times New Roman" w:hAnsi="Times New Roman" w:cs="Times New Roman"/>
          <w:lang w:val="es-ES"/>
        </w:rPr>
        <w:t xml:space="preserve">Executive </w:t>
      </w:r>
      <w:proofErr w:type="spellStart"/>
      <w:r w:rsidR="008D364E" w:rsidRPr="00901686">
        <w:rPr>
          <w:rStyle w:val="Emphasis"/>
          <w:rFonts w:ascii="Times New Roman" w:hAnsi="Times New Roman" w:cs="Times New Roman"/>
          <w:lang w:val="es-ES"/>
        </w:rPr>
        <w:t>Order</w:t>
      </w:r>
      <w:proofErr w:type="spellEnd"/>
      <w:r w:rsidR="008D364E" w:rsidRPr="00901686">
        <w:rPr>
          <w:rStyle w:val="Emphasis"/>
          <w:rFonts w:ascii="Times New Roman" w:hAnsi="Times New Roman" w:cs="Times New Roman"/>
          <w:lang w:val="es-ES"/>
        </w:rPr>
        <w:t xml:space="preserve"> No. 13950</w:t>
      </w:r>
      <w:r w:rsidR="008D364E" w:rsidRPr="00901686">
        <w:rPr>
          <w:rFonts w:ascii="Times New Roman" w:hAnsi="Times New Roman" w:cs="Times New Roman"/>
          <w:lang w:val="es-ES"/>
        </w:rPr>
        <w:t xml:space="preserve">, 85 </w:t>
      </w:r>
      <w:r w:rsidR="008D364E" w:rsidRPr="00901686">
        <w:rPr>
          <w:rStyle w:val="Emphasis"/>
          <w:rFonts w:ascii="Times New Roman" w:hAnsi="Times New Roman" w:cs="Times New Roman"/>
          <w:lang w:val="es-ES"/>
        </w:rPr>
        <w:t xml:space="preserve">Federal </w:t>
      </w:r>
      <w:proofErr w:type="spellStart"/>
      <w:r w:rsidR="008D364E" w:rsidRPr="00901686">
        <w:rPr>
          <w:rStyle w:val="Emphasis"/>
          <w:rFonts w:ascii="Times New Roman" w:hAnsi="Times New Roman" w:cs="Times New Roman"/>
          <w:lang w:val="es-ES"/>
        </w:rPr>
        <w:t>Register</w:t>
      </w:r>
      <w:proofErr w:type="spellEnd"/>
      <w:r w:rsidR="008D364E" w:rsidRPr="00901686">
        <w:rPr>
          <w:rFonts w:ascii="Times New Roman" w:hAnsi="Times New Roman" w:cs="Times New Roman"/>
          <w:lang w:val="es-ES"/>
        </w:rPr>
        <w:t xml:space="preserve"> 60,683 (22 de septiembre de 2020).</w:t>
      </w:r>
    </w:p>
  </w:footnote>
  <w:footnote w:id="13">
    <w:p w14:paraId="5DCFDE0B" w14:textId="3475ABB3" w:rsidR="00AA77B7" w:rsidRPr="00901686" w:rsidRDefault="00AA77B7" w:rsidP="00AA77B7">
      <w:pPr>
        <w:pStyle w:val="FootnoteText"/>
        <w:rPr>
          <w:rFonts w:ascii="Times New Roman" w:hAnsi="Times New Roman" w:cs="Times New Roman"/>
          <w:color w:val="FF0000"/>
          <w:lang w:val="es-ES"/>
        </w:rPr>
      </w:pPr>
      <w:r w:rsidRPr="00901686">
        <w:rPr>
          <w:rStyle w:val="FootnoteReference"/>
          <w:rFonts w:ascii="Times New Roman" w:hAnsi="Times New Roman" w:cs="Times New Roman"/>
          <w:lang w:val="es-ES"/>
        </w:rPr>
        <w:t>13</w:t>
      </w:r>
      <w:r w:rsidRPr="00901686">
        <w:rPr>
          <w:rFonts w:ascii="Times New Roman" w:hAnsi="Times New Roman" w:cs="Times New Roman"/>
          <w:color w:val="FF0000"/>
          <w:lang w:val="es-ES"/>
        </w:rPr>
        <w:t xml:space="preserve"> </w:t>
      </w:r>
      <w:r w:rsidR="00D51D0F" w:rsidRPr="00901686">
        <w:rPr>
          <w:rFonts w:ascii="Times New Roman" w:hAnsi="Times New Roman" w:cs="Times New Roman"/>
          <w:lang w:val="es-ES"/>
        </w:rPr>
        <w:t>Para solo dos de los muchos análisis incisivos de esa época,</w:t>
      </w:r>
      <w:r w:rsidR="00D51D0F" w:rsidRPr="00901686">
        <w:rPr>
          <w:rFonts w:ascii="Times New Roman" w:hAnsi="Times New Roman" w:cs="Times New Roman"/>
          <w:i/>
          <w:iCs/>
          <w:lang w:val="es-ES"/>
        </w:rPr>
        <w:t xml:space="preserve"> véase</w:t>
      </w:r>
      <w:r w:rsidR="00D51D0F" w:rsidRPr="00901686">
        <w:rPr>
          <w:rFonts w:ascii="Times New Roman" w:hAnsi="Times New Roman" w:cs="Times New Roman"/>
          <w:lang w:val="es-ES"/>
        </w:rPr>
        <w:t xml:space="preserve"> Bob Woodward y Robert Costa, </w:t>
      </w:r>
      <w:proofErr w:type="spellStart"/>
      <w:r w:rsidR="00D51D0F" w:rsidRPr="00901686">
        <w:rPr>
          <w:rStyle w:val="Emphasis"/>
          <w:rFonts w:ascii="Times New Roman" w:hAnsi="Times New Roman" w:cs="Times New Roman"/>
          <w:lang w:val="es-ES"/>
        </w:rPr>
        <w:t>Peril</w:t>
      </w:r>
      <w:proofErr w:type="spellEnd"/>
      <w:r w:rsidR="00D51D0F" w:rsidRPr="00901686">
        <w:rPr>
          <w:rFonts w:ascii="Times New Roman" w:hAnsi="Times New Roman" w:cs="Times New Roman"/>
          <w:lang w:val="es-ES"/>
        </w:rPr>
        <w:t xml:space="preserve"> (2021); Peter Baker y Susan Glasser, </w:t>
      </w:r>
      <w:proofErr w:type="spellStart"/>
      <w:r w:rsidR="00D51D0F" w:rsidRPr="00901686">
        <w:rPr>
          <w:rStyle w:val="Emphasis"/>
          <w:rFonts w:ascii="Times New Roman" w:hAnsi="Times New Roman" w:cs="Times New Roman"/>
          <w:lang w:val="es-ES"/>
        </w:rPr>
        <w:t>The</w:t>
      </w:r>
      <w:proofErr w:type="spellEnd"/>
      <w:r w:rsidR="00D51D0F" w:rsidRPr="00901686">
        <w:rPr>
          <w:rStyle w:val="Emphasis"/>
          <w:rFonts w:ascii="Times New Roman" w:hAnsi="Times New Roman" w:cs="Times New Roman"/>
          <w:lang w:val="es-ES"/>
        </w:rPr>
        <w:t xml:space="preserve"> </w:t>
      </w:r>
      <w:proofErr w:type="spellStart"/>
      <w:r w:rsidR="00D51D0F" w:rsidRPr="00901686">
        <w:rPr>
          <w:rStyle w:val="Emphasis"/>
          <w:rFonts w:ascii="Times New Roman" w:hAnsi="Times New Roman" w:cs="Times New Roman"/>
          <w:lang w:val="es-ES"/>
        </w:rPr>
        <w:t>Divider</w:t>
      </w:r>
      <w:proofErr w:type="spellEnd"/>
      <w:r w:rsidR="00D51D0F" w:rsidRPr="00901686">
        <w:rPr>
          <w:rStyle w:val="Emphasis"/>
          <w:rFonts w:ascii="Times New Roman" w:hAnsi="Times New Roman" w:cs="Times New Roman"/>
          <w:lang w:val="es-ES"/>
        </w:rPr>
        <w:t xml:space="preserve">: Trump in </w:t>
      </w:r>
      <w:proofErr w:type="spellStart"/>
      <w:r w:rsidR="00D51D0F" w:rsidRPr="00901686">
        <w:rPr>
          <w:rStyle w:val="Emphasis"/>
          <w:rFonts w:ascii="Times New Roman" w:hAnsi="Times New Roman" w:cs="Times New Roman"/>
          <w:lang w:val="es-ES"/>
        </w:rPr>
        <w:t>the</w:t>
      </w:r>
      <w:proofErr w:type="spellEnd"/>
      <w:r w:rsidR="00D51D0F" w:rsidRPr="00901686">
        <w:rPr>
          <w:rStyle w:val="Emphasis"/>
          <w:rFonts w:ascii="Times New Roman" w:hAnsi="Times New Roman" w:cs="Times New Roman"/>
          <w:lang w:val="es-ES"/>
        </w:rPr>
        <w:t xml:space="preserve"> White House, 2017–2021</w:t>
      </w:r>
      <w:r w:rsidR="00D51D0F" w:rsidRPr="00901686">
        <w:rPr>
          <w:rFonts w:ascii="Times New Roman" w:hAnsi="Times New Roman" w:cs="Times New Roman"/>
          <w:lang w:val="es-ES"/>
        </w:rPr>
        <w:t xml:space="preserve"> (2022). Tal vez lo más revelador sea el audiolibro de las grabaciones de Trump—conversaciones extensas y sin editar desde la Casa Blanca con Bob Woodward, realizadas durante varios años. </w:t>
      </w:r>
      <w:r w:rsidR="00D51D0F" w:rsidRPr="00901686">
        <w:rPr>
          <w:rFonts w:ascii="Times New Roman" w:hAnsi="Times New Roman" w:cs="Times New Roman"/>
          <w:i/>
          <w:iCs/>
          <w:lang w:val="es-ES"/>
        </w:rPr>
        <w:t>Véase</w:t>
      </w:r>
      <w:r w:rsidR="00D51D0F" w:rsidRPr="00901686">
        <w:rPr>
          <w:rFonts w:ascii="Times New Roman" w:hAnsi="Times New Roman" w:cs="Times New Roman"/>
          <w:lang w:val="es-ES"/>
        </w:rPr>
        <w:t xml:space="preserve"> Bob Woodward, </w:t>
      </w:r>
      <w:proofErr w:type="spellStart"/>
      <w:r w:rsidR="00D51D0F" w:rsidRPr="00901686">
        <w:rPr>
          <w:rStyle w:val="Emphasis"/>
          <w:rFonts w:ascii="Times New Roman" w:hAnsi="Times New Roman" w:cs="Times New Roman"/>
          <w:lang w:val="es-ES"/>
        </w:rPr>
        <w:t>The</w:t>
      </w:r>
      <w:proofErr w:type="spellEnd"/>
      <w:r w:rsidR="00D51D0F" w:rsidRPr="00901686">
        <w:rPr>
          <w:rStyle w:val="Emphasis"/>
          <w:rFonts w:ascii="Times New Roman" w:hAnsi="Times New Roman" w:cs="Times New Roman"/>
          <w:lang w:val="es-ES"/>
        </w:rPr>
        <w:t xml:space="preserve"> Trump Tapes: Bob </w:t>
      </w:r>
      <w:proofErr w:type="spellStart"/>
      <w:r w:rsidR="00D51D0F" w:rsidRPr="00901686">
        <w:rPr>
          <w:rStyle w:val="Emphasis"/>
          <w:rFonts w:ascii="Times New Roman" w:hAnsi="Times New Roman" w:cs="Times New Roman"/>
          <w:lang w:val="es-ES"/>
        </w:rPr>
        <w:t>Woodward’s</w:t>
      </w:r>
      <w:proofErr w:type="spellEnd"/>
      <w:r w:rsidR="00D51D0F" w:rsidRPr="00901686">
        <w:rPr>
          <w:rStyle w:val="Emphasis"/>
          <w:rFonts w:ascii="Times New Roman" w:hAnsi="Times New Roman" w:cs="Times New Roman"/>
          <w:lang w:val="es-ES"/>
        </w:rPr>
        <w:t xml:space="preserve"> </w:t>
      </w:r>
      <w:proofErr w:type="spellStart"/>
      <w:r w:rsidR="00D51D0F" w:rsidRPr="00901686">
        <w:rPr>
          <w:rStyle w:val="Emphasis"/>
          <w:rFonts w:ascii="Times New Roman" w:hAnsi="Times New Roman" w:cs="Times New Roman"/>
          <w:lang w:val="es-ES"/>
        </w:rPr>
        <w:t>Twenty</w:t>
      </w:r>
      <w:proofErr w:type="spellEnd"/>
      <w:r w:rsidR="00D51D0F" w:rsidRPr="00901686">
        <w:rPr>
          <w:rStyle w:val="Emphasis"/>
          <w:rFonts w:ascii="Times New Roman" w:hAnsi="Times New Roman" w:cs="Times New Roman"/>
          <w:lang w:val="es-ES"/>
        </w:rPr>
        <w:t xml:space="preserve"> Interviews </w:t>
      </w:r>
      <w:proofErr w:type="spellStart"/>
      <w:r w:rsidR="00D51D0F" w:rsidRPr="00901686">
        <w:rPr>
          <w:rStyle w:val="Emphasis"/>
          <w:rFonts w:ascii="Times New Roman" w:hAnsi="Times New Roman" w:cs="Times New Roman"/>
          <w:lang w:val="es-ES"/>
        </w:rPr>
        <w:t>with</w:t>
      </w:r>
      <w:proofErr w:type="spellEnd"/>
      <w:r w:rsidR="00D51D0F" w:rsidRPr="00901686">
        <w:rPr>
          <w:rStyle w:val="Emphasis"/>
          <w:rFonts w:ascii="Times New Roman" w:hAnsi="Times New Roman" w:cs="Times New Roman"/>
          <w:lang w:val="es-ES"/>
        </w:rPr>
        <w:t xml:space="preserve"> </w:t>
      </w:r>
      <w:proofErr w:type="spellStart"/>
      <w:r w:rsidR="00D51D0F" w:rsidRPr="00901686">
        <w:rPr>
          <w:rStyle w:val="Emphasis"/>
          <w:rFonts w:ascii="Times New Roman" w:hAnsi="Times New Roman" w:cs="Times New Roman"/>
          <w:lang w:val="es-ES"/>
        </w:rPr>
        <w:t>President</w:t>
      </w:r>
      <w:proofErr w:type="spellEnd"/>
      <w:r w:rsidR="00D51D0F" w:rsidRPr="00901686">
        <w:rPr>
          <w:rStyle w:val="Emphasis"/>
          <w:rFonts w:ascii="Times New Roman" w:hAnsi="Times New Roman" w:cs="Times New Roman"/>
          <w:lang w:val="es-ES"/>
        </w:rPr>
        <w:t xml:space="preserve"> Donald Trump</w:t>
      </w:r>
      <w:r w:rsidR="00D51D0F" w:rsidRPr="00901686">
        <w:rPr>
          <w:rFonts w:ascii="Times New Roman" w:hAnsi="Times New Roman" w:cs="Times New Roman"/>
          <w:lang w:val="es-ES"/>
        </w:rPr>
        <w:t xml:space="preserve"> (2022).</w:t>
      </w:r>
    </w:p>
  </w:footnote>
  <w:footnote w:id="14">
    <w:p w14:paraId="00FF0A45" w14:textId="483AF8A7" w:rsidR="00083992" w:rsidRPr="00901686" w:rsidRDefault="00083992" w:rsidP="00083992">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14</w:t>
      </w:r>
      <w:r w:rsidRPr="00901686">
        <w:rPr>
          <w:rFonts w:ascii="Times New Roman" w:hAnsi="Times New Roman" w:cs="Times New Roman"/>
          <w:lang w:val="es-ES"/>
        </w:rPr>
        <w:t xml:space="preserve"> </w:t>
      </w:r>
      <w:proofErr w:type="spellStart"/>
      <w:r w:rsidR="008507EC" w:rsidRPr="00901686">
        <w:rPr>
          <w:rStyle w:val="Emphasis"/>
          <w:rFonts w:ascii="Times New Roman" w:hAnsi="Times New Roman" w:cs="Times New Roman"/>
          <w:i w:val="0"/>
          <w:iCs w:val="0"/>
          <w:lang w:val="es-ES"/>
        </w:rPr>
        <w:t>Resurreccción</w:t>
      </w:r>
      <w:proofErr w:type="spellEnd"/>
      <w:r w:rsidR="008507EC" w:rsidRPr="00901686">
        <w:rPr>
          <w:rFonts w:ascii="Times New Roman" w:hAnsi="Times New Roman" w:cs="Times New Roman"/>
          <w:i/>
          <w:iCs/>
          <w:lang w:val="es-ES"/>
        </w:rPr>
        <w:t xml:space="preserve"> es</w:t>
      </w:r>
      <w:r w:rsidR="008507EC" w:rsidRPr="00901686">
        <w:rPr>
          <w:rFonts w:ascii="Times New Roman" w:hAnsi="Times New Roman" w:cs="Times New Roman"/>
          <w:lang w:val="es-ES"/>
        </w:rPr>
        <w:t xml:space="preserve"> el término específico que utilizan sus defensores. </w:t>
      </w:r>
      <w:r w:rsidR="008507EC" w:rsidRPr="00901686">
        <w:rPr>
          <w:rFonts w:ascii="Times New Roman" w:hAnsi="Times New Roman" w:cs="Times New Roman"/>
          <w:i/>
          <w:iCs/>
          <w:lang w:val="es-ES"/>
        </w:rPr>
        <w:t>Véase</w:t>
      </w:r>
      <w:r w:rsidR="008507EC" w:rsidRPr="00901686">
        <w:rPr>
          <w:rFonts w:ascii="Times New Roman" w:hAnsi="Times New Roman" w:cs="Times New Roman"/>
          <w:lang w:val="es-ES"/>
        </w:rPr>
        <w:t xml:space="preserve">, por ejemplo, William W. </w:t>
      </w:r>
      <w:r w:rsidR="008507EC" w:rsidRPr="00901686">
        <w:rPr>
          <w:rFonts w:ascii="Times New Roman" w:hAnsi="Times New Roman" w:cs="Times New Roman"/>
          <w:lang w:val="es-ES"/>
        </w:rPr>
        <w:t xml:space="preserve">Van </w:t>
      </w:r>
      <w:proofErr w:type="spellStart"/>
      <w:r w:rsidR="008507EC" w:rsidRPr="00901686">
        <w:rPr>
          <w:rFonts w:ascii="Times New Roman" w:hAnsi="Times New Roman" w:cs="Times New Roman"/>
          <w:lang w:val="es-ES"/>
        </w:rPr>
        <w:t>Alstyne</w:t>
      </w:r>
      <w:proofErr w:type="spellEnd"/>
      <w:r w:rsidR="008507EC" w:rsidRPr="00901686">
        <w:rPr>
          <w:rFonts w:ascii="Times New Roman" w:hAnsi="Times New Roman" w:cs="Times New Roman"/>
          <w:lang w:val="es-ES"/>
        </w:rPr>
        <w:t xml:space="preserve">, </w:t>
      </w:r>
      <w:proofErr w:type="spellStart"/>
      <w:r w:rsidR="008507EC" w:rsidRPr="00901686">
        <w:rPr>
          <w:rStyle w:val="Emphasis"/>
          <w:rFonts w:ascii="Times New Roman" w:hAnsi="Times New Roman" w:cs="Times New Roman"/>
          <w:lang w:val="es-ES"/>
        </w:rPr>
        <w:t>The</w:t>
      </w:r>
      <w:proofErr w:type="spellEnd"/>
      <w:r w:rsidR="008507EC" w:rsidRPr="00901686">
        <w:rPr>
          <w:rStyle w:val="Emphasis"/>
          <w:rFonts w:ascii="Times New Roman" w:hAnsi="Times New Roman" w:cs="Times New Roman"/>
          <w:lang w:val="es-ES"/>
        </w:rPr>
        <w:t xml:space="preserve"> </w:t>
      </w:r>
      <w:proofErr w:type="spellStart"/>
      <w:r w:rsidR="008507EC" w:rsidRPr="00901686">
        <w:rPr>
          <w:rStyle w:val="Emphasis"/>
          <w:rFonts w:ascii="Times New Roman" w:hAnsi="Times New Roman" w:cs="Times New Roman"/>
          <w:lang w:val="es-ES"/>
        </w:rPr>
        <w:t>Constitution</w:t>
      </w:r>
      <w:proofErr w:type="spellEnd"/>
      <w:r w:rsidR="008507EC" w:rsidRPr="00901686">
        <w:rPr>
          <w:rStyle w:val="Emphasis"/>
          <w:rFonts w:ascii="Times New Roman" w:hAnsi="Times New Roman" w:cs="Times New Roman"/>
          <w:lang w:val="es-ES"/>
        </w:rPr>
        <w:t xml:space="preserve"> in Exile: </w:t>
      </w:r>
      <w:proofErr w:type="spellStart"/>
      <w:r w:rsidR="008507EC" w:rsidRPr="00901686">
        <w:rPr>
          <w:rStyle w:val="Emphasis"/>
          <w:rFonts w:ascii="Times New Roman" w:hAnsi="Times New Roman" w:cs="Times New Roman"/>
          <w:lang w:val="es-ES"/>
        </w:rPr>
        <w:t>Is</w:t>
      </w:r>
      <w:proofErr w:type="spellEnd"/>
      <w:r w:rsidR="008507EC" w:rsidRPr="00901686">
        <w:rPr>
          <w:rStyle w:val="Emphasis"/>
          <w:rFonts w:ascii="Times New Roman" w:hAnsi="Times New Roman" w:cs="Times New Roman"/>
          <w:lang w:val="es-ES"/>
        </w:rPr>
        <w:t xml:space="preserve"> </w:t>
      </w:r>
      <w:proofErr w:type="spellStart"/>
      <w:r w:rsidR="008507EC" w:rsidRPr="00901686">
        <w:rPr>
          <w:rStyle w:val="Emphasis"/>
          <w:rFonts w:ascii="Times New Roman" w:hAnsi="Times New Roman" w:cs="Times New Roman"/>
          <w:lang w:val="es-ES"/>
        </w:rPr>
        <w:t>It</w:t>
      </w:r>
      <w:proofErr w:type="spellEnd"/>
      <w:r w:rsidR="008507EC" w:rsidRPr="00901686">
        <w:rPr>
          <w:rStyle w:val="Emphasis"/>
          <w:rFonts w:ascii="Times New Roman" w:hAnsi="Times New Roman" w:cs="Times New Roman"/>
          <w:lang w:val="es-ES"/>
        </w:rPr>
        <w:t xml:space="preserve"> Time </w:t>
      </w:r>
      <w:proofErr w:type="spellStart"/>
      <w:r w:rsidR="008507EC" w:rsidRPr="00901686">
        <w:rPr>
          <w:rStyle w:val="Emphasis"/>
          <w:rFonts w:ascii="Times New Roman" w:hAnsi="Times New Roman" w:cs="Times New Roman"/>
          <w:lang w:val="es-ES"/>
        </w:rPr>
        <w:t>to</w:t>
      </w:r>
      <w:proofErr w:type="spellEnd"/>
      <w:r w:rsidR="008507EC" w:rsidRPr="00901686">
        <w:rPr>
          <w:rStyle w:val="Emphasis"/>
          <w:rFonts w:ascii="Times New Roman" w:hAnsi="Times New Roman" w:cs="Times New Roman"/>
          <w:lang w:val="es-ES"/>
        </w:rPr>
        <w:t xml:space="preserve"> </w:t>
      </w:r>
      <w:proofErr w:type="spellStart"/>
      <w:r w:rsidR="008507EC" w:rsidRPr="00901686">
        <w:rPr>
          <w:rStyle w:val="Emphasis"/>
          <w:rFonts w:ascii="Times New Roman" w:hAnsi="Times New Roman" w:cs="Times New Roman"/>
          <w:lang w:val="es-ES"/>
        </w:rPr>
        <w:t>Bring</w:t>
      </w:r>
      <w:proofErr w:type="spellEnd"/>
      <w:r w:rsidR="008507EC" w:rsidRPr="00901686">
        <w:rPr>
          <w:rStyle w:val="Emphasis"/>
          <w:rFonts w:ascii="Times New Roman" w:hAnsi="Times New Roman" w:cs="Times New Roman"/>
          <w:lang w:val="es-ES"/>
        </w:rPr>
        <w:t xml:space="preserve"> </w:t>
      </w:r>
      <w:proofErr w:type="spellStart"/>
      <w:r w:rsidR="008507EC" w:rsidRPr="00901686">
        <w:rPr>
          <w:rStyle w:val="Emphasis"/>
          <w:rFonts w:ascii="Times New Roman" w:hAnsi="Times New Roman" w:cs="Times New Roman"/>
          <w:lang w:val="es-ES"/>
        </w:rPr>
        <w:t>It</w:t>
      </w:r>
      <w:proofErr w:type="spellEnd"/>
      <w:r w:rsidR="008507EC" w:rsidRPr="00901686">
        <w:rPr>
          <w:rStyle w:val="Emphasis"/>
          <w:rFonts w:ascii="Times New Roman" w:hAnsi="Times New Roman" w:cs="Times New Roman"/>
          <w:lang w:val="es-ES"/>
        </w:rPr>
        <w:t xml:space="preserve"> In </w:t>
      </w:r>
      <w:proofErr w:type="spellStart"/>
      <w:r w:rsidR="008507EC" w:rsidRPr="00901686">
        <w:rPr>
          <w:rStyle w:val="Emphasis"/>
          <w:rFonts w:ascii="Times New Roman" w:hAnsi="Times New Roman" w:cs="Times New Roman"/>
          <w:lang w:val="es-ES"/>
        </w:rPr>
        <w:t>From</w:t>
      </w:r>
      <w:proofErr w:type="spellEnd"/>
      <w:r w:rsidR="008507EC" w:rsidRPr="00901686">
        <w:rPr>
          <w:rStyle w:val="Emphasis"/>
          <w:rFonts w:ascii="Times New Roman" w:hAnsi="Times New Roman" w:cs="Times New Roman"/>
          <w:lang w:val="es-ES"/>
        </w:rPr>
        <w:t xml:space="preserve"> </w:t>
      </w:r>
      <w:proofErr w:type="spellStart"/>
      <w:r w:rsidR="008507EC" w:rsidRPr="00901686">
        <w:rPr>
          <w:rStyle w:val="Emphasis"/>
          <w:rFonts w:ascii="Times New Roman" w:hAnsi="Times New Roman" w:cs="Times New Roman"/>
          <w:lang w:val="es-ES"/>
        </w:rPr>
        <w:t>the</w:t>
      </w:r>
      <w:proofErr w:type="spellEnd"/>
      <w:r w:rsidR="008507EC" w:rsidRPr="00901686">
        <w:rPr>
          <w:rStyle w:val="Emphasis"/>
          <w:rFonts w:ascii="Times New Roman" w:hAnsi="Times New Roman" w:cs="Times New Roman"/>
          <w:lang w:val="es-ES"/>
        </w:rPr>
        <w:t xml:space="preserve"> </w:t>
      </w:r>
      <w:proofErr w:type="spellStart"/>
      <w:r w:rsidR="008507EC" w:rsidRPr="00901686">
        <w:rPr>
          <w:rStyle w:val="Emphasis"/>
          <w:rFonts w:ascii="Times New Roman" w:hAnsi="Times New Roman" w:cs="Times New Roman"/>
          <w:lang w:val="es-ES"/>
        </w:rPr>
        <w:t>Cold</w:t>
      </w:r>
      <w:proofErr w:type="spellEnd"/>
      <w:r w:rsidR="008507EC" w:rsidRPr="00901686">
        <w:rPr>
          <w:rStyle w:val="Emphasis"/>
          <w:rFonts w:ascii="Times New Roman" w:hAnsi="Times New Roman" w:cs="Times New Roman"/>
          <w:lang w:val="es-ES"/>
        </w:rPr>
        <w:t>?</w:t>
      </w:r>
      <w:r w:rsidR="008507EC" w:rsidRPr="00901686">
        <w:rPr>
          <w:rFonts w:ascii="Times New Roman" w:hAnsi="Times New Roman" w:cs="Times New Roman"/>
          <w:lang w:val="es-ES"/>
        </w:rPr>
        <w:t xml:space="preserve">, 51 </w:t>
      </w:r>
      <w:r w:rsidR="008507EC" w:rsidRPr="00901686">
        <w:rPr>
          <w:rStyle w:val="Emphasis"/>
          <w:rFonts w:ascii="Times New Roman" w:hAnsi="Times New Roman" w:cs="Times New Roman"/>
          <w:lang w:val="es-ES"/>
        </w:rPr>
        <w:t xml:space="preserve">Duke Law </w:t>
      </w:r>
      <w:proofErr w:type="spellStart"/>
      <w:r w:rsidR="008507EC" w:rsidRPr="00901686">
        <w:rPr>
          <w:rStyle w:val="Emphasis"/>
          <w:rFonts w:ascii="Times New Roman" w:hAnsi="Times New Roman" w:cs="Times New Roman"/>
          <w:lang w:val="es-ES"/>
        </w:rPr>
        <w:t>Journal</w:t>
      </w:r>
      <w:proofErr w:type="spellEnd"/>
      <w:r w:rsidR="008507EC" w:rsidRPr="00901686">
        <w:rPr>
          <w:rFonts w:ascii="Times New Roman" w:hAnsi="Times New Roman" w:cs="Times New Roman"/>
          <w:lang w:val="es-ES"/>
        </w:rPr>
        <w:t xml:space="preserve"> 1 (2001).</w:t>
      </w:r>
    </w:p>
  </w:footnote>
  <w:footnote w:id="15">
    <w:p w14:paraId="2630A4F6" w14:textId="7F749DEB" w:rsidR="00083992" w:rsidRPr="00901686" w:rsidRDefault="00083992" w:rsidP="00083992">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15</w:t>
      </w:r>
      <w:r w:rsidRPr="00901686">
        <w:rPr>
          <w:rFonts w:ascii="Times New Roman" w:hAnsi="Times New Roman" w:cs="Times New Roman"/>
          <w:lang w:val="es-ES"/>
        </w:rPr>
        <w:t xml:space="preserve"> </w:t>
      </w:r>
      <w:r w:rsidR="00622A94" w:rsidRPr="00901686">
        <w:rPr>
          <w:rFonts w:ascii="Times New Roman" w:hAnsi="Times New Roman" w:cs="Times New Roman"/>
          <w:lang w:val="es-ES"/>
        </w:rPr>
        <w:t xml:space="preserve">Para una versión reciente de esta “Gran teoría del reemplazo”, desde los Estados Unidos, </w:t>
      </w:r>
      <w:r w:rsidR="00622A94" w:rsidRPr="00901686">
        <w:rPr>
          <w:rFonts w:ascii="Times New Roman" w:hAnsi="Times New Roman" w:cs="Times New Roman"/>
          <w:i/>
          <w:iCs/>
          <w:lang w:val="es-ES"/>
        </w:rPr>
        <w:t>véase</w:t>
      </w:r>
      <w:r w:rsidR="00622A94" w:rsidRPr="00901686">
        <w:rPr>
          <w:rFonts w:ascii="Times New Roman" w:hAnsi="Times New Roman" w:cs="Times New Roman"/>
          <w:lang w:val="es-ES"/>
        </w:rPr>
        <w:t xml:space="preserve"> el “manifiesto” supremacista blanco del autor de la masacre de </w:t>
      </w:r>
      <w:proofErr w:type="spellStart"/>
      <w:r w:rsidR="00622A94" w:rsidRPr="00901686">
        <w:rPr>
          <w:rFonts w:ascii="Times New Roman" w:hAnsi="Times New Roman" w:cs="Times New Roman"/>
          <w:lang w:val="es-ES"/>
        </w:rPr>
        <w:t>Buffalo</w:t>
      </w:r>
      <w:proofErr w:type="spellEnd"/>
      <w:r w:rsidR="00622A94" w:rsidRPr="00901686">
        <w:rPr>
          <w:rFonts w:ascii="Times New Roman" w:hAnsi="Times New Roman" w:cs="Times New Roman"/>
          <w:lang w:val="es-ES"/>
        </w:rPr>
        <w:t xml:space="preserve">, de mayo de 2022. Nicholas </w:t>
      </w:r>
      <w:proofErr w:type="spellStart"/>
      <w:r w:rsidR="00622A94" w:rsidRPr="00901686">
        <w:rPr>
          <w:rFonts w:ascii="Times New Roman" w:hAnsi="Times New Roman" w:cs="Times New Roman"/>
          <w:lang w:val="es-ES"/>
        </w:rPr>
        <w:t>Confessore</w:t>
      </w:r>
      <w:proofErr w:type="spellEnd"/>
      <w:r w:rsidR="00622A94" w:rsidRPr="00901686">
        <w:rPr>
          <w:rFonts w:ascii="Times New Roman" w:hAnsi="Times New Roman" w:cs="Times New Roman"/>
          <w:lang w:val="es-ES"/>
        </w:rPr>
        <w:t xml:space="preserve"> y Karen </w:t>
      </w:r>
      <w:proofErr w:type="spellStart"/>
      <w:r w:rsidR="00622A94" w:rsidRPr="00901686">
        <w:rPr>
          <w:rFonts w:ascii="Times New Roman" w:hAnsi="Times New Roman" w:cs="Times New Roman"/>
          <w:lang w:val="es-ES"/>
        </w:rPr>
        <w:t>Yourish</w:t>
      </w:r>
      <w:proofErr w:type="spellEnd"/>
      <w:r w:rsidR="00622A94" w:rsidRPr="00901686">
        <w:rPr>
          <w:rFonts w:ascii="Times New Roman" w:hAnsi="Times New Roman" w:cs="Times New Roman"/>
          <w:lang w:val="es-ES"/>
        </w:rPr>
        <w:t xml:space="preserve">, </w:t>
      </w:r>
      <w:r w:rsidR="00622A94" w:rsidRPr="00901686">
        <w:rPr>
          <w:rStyle w:val="Emphasis"/>
          <w:rFonts w:ascii="Times New Roman" w:hAnsi="Times New Roman" w:cs="Times New Roman"/>
          <w:lang w:val="es-ES"/>
        </w:rPr>
        <w:t xml:space="preserve">A </w:t>
      </w:r>
      <w:proofErr w:type="spellStart"/>
      <w:r w:rsidR="00622A94" w:rsidRPr="00901686">
        <w:rPr>
          <w:rStyle w:val="Emphasis"/>
          <w:rFonts w:ascii="Times New Roman" w:hAnsi="Times New Roman" w:cs="Times New Roman"/>
          <w:lang w:val="es-ES"/>
        </w:rPr>
        <w:t>Fringe</w:t>
      </w:r>
      <w:proofErr w:type="spellEnd"/>
      <w:r w:rsidR="00622A94" w:rsidRPr="00901686">
        <w:rPr>
          <w:rStyle w:val="Emphasis"/>
          <w:rFonts w:ascii="Times New Roman" w:hAnsi="Times New Roman" w:cs="Times New Roman"/>
          <w:lang w:val="es-ES"/>
        </w:rPr>
        <w:t xml:space="preserve"> </w:t>
      </w:r>
      <w:proofErr w:type="spellStart"/>
      <w:r w:rsidR="00622A94" w:rsidRPr="00901686">
        <w:rPr>
          <w:rStyle w:val="Emphasis"/>
          <w:rFonts w:ascii="Times New Roman" w:hAnsi="Times New Roman" w:cs="Times New Roman"/>
          <w:lang w:val="es-ES"/>
        </w:rPr>
        <w:t>Conspiracy</w:t>
      </w:r>
      <w:proofErr w:type="spellEnd"/>
      <w:r w:rsidR="00622A94" w:rsidRPr="00901686">
        <w:rPr>
          <w:rStyle w:val="Emphasis"/>
          <w:rFonts w:ascii="Times New Roman" w:hAnsi="Times New Roman" w:cs="Times New Roman"/>
          <w:lang w:val="es-ES"/>
        </w:rPr>
        <w:t xml:space="preserve"> </w:t>
      </w:r>
      <w:proofErr w:type="spellStart"/>
      <w:r w:rsidR="00622A94" w:rsidRPr="00901686">
        <w:rPr>
          <w:rStyle w:val="Emphasis"/>
          <w:rFonts w:ascii="Times New Roman" w:hAnsi="Times New Roman" w:cs="Times New Roman"/>
          <w:lang w:val="es-ES"/>
        </w:rPr>
        <w:t>Theory</w:t>
      </w:r>
      <w:proofErr w:type="spellEnd"/>
      <w:r w:rsidR="00622A94" w:rsidRPr="00901686">
        <w:rPr>
          <w:rStyle w:val="Emphasis"/>
          <w:rFonts w:ascii="Times New Roman" w:hAnsi="Times New Roman" w:cs="Times New Roman"/>
          <w:lang w:val="es-ES"/>
        </w:rPr>
        <w:t xml:space="preserve">, </w:t>
      </w:r>
      <w:proofErr w:type="spellStart"/>
      <w:r w:rsidR="00622A94" w:rsidRPr="00901686">
        <w:rPr>
          <w:rStyle w:val="Emphasis"/>
          <w:rFonts w:ascii="Times New Roman" w:hAnsi="Times New Roman" w:cs="Times New Roman"/>
          <w:lang w:val="es-ES"/>
        </w:rPr>
        <w:t>Fostered</w:t>
      </w:r>
      <w:proofErr w:type="spellEnd"/>
      <w:r w:rsidR="00622A94" w:rsidRPr="00901686">
        <w:rPr>
          <w:rStyle w:val="Emphasis"/>
          <w:rFonts w:ascii="Times New Roman" w:hAnsi="Times New Roman" w:cs="Times New Roman"/>
          <w:lang w:val="es-ES"/>
        </w:rPr>
        <w:t xml:space="preserve"> Online, </w:t>
      </w:r>
      <w:proofErr w:type="spellStart"/>
      <w:r w:rsidR="00622A94" w:rsidRPr="00901686">
        <w:rPr>
          <w:rStyle w:val="Emphasis"/>
          <w:rFonts w:ascii="Times New Roman" w:hAnsi="Times New Roman" w:cs="Times New Roman"/>
          <w:lang w:val="es-ES"/>
        </w:rPr>
        <w:t>Is</w:t>
      </w:r>
      <w:proofErr w:type="spellEnd"/>
      <w:r w:rsidR="00622A94" w:rsidRPr="00901686">
        <w:rPr>
          <w:rStyle w:val="Emphasis"/>
          <w:rFonts w:ascii="Times New Roman" w:hAnsi="Times New Roman" w:cs="Times New Roman"/>
          <w:lang w:val="es-ES"/>
        </w:rPr>
        <w:t xml:space="preserve"> </w:t>
      </w:r>
      <w:proofErr w:type="spellStart"/>
      <w:r w:rsidR="00622A94" w:rsidRPr="00901686">
        <w:rPr>
          <w:rStyle w:val="Emphasis"/>
          <w:rFonts w:ascii="Times New Roman" w:hAnsi="Times New Roman" w:cs="Times New Roman"/>
          <w:lang w:val="es-ES"/>
        </w:rPr>
        <w:t>Refashioned</w:t>
      </w:r>
      <w:proofErr w:type="spellEnd"/>
      <w:r w:rsidR="00622A94" w:rsidRPr="00901686">
        <w:rPr>
          <w:rStyle w:val="Emphasis"/>
          <w:rFonts w:ascii="Times New Roman" w:hAnsi="Times New Roman" w:cs="Times New Roman"/>
          <w:lang w:val="es-ES"/>
        </w:rPr>
        <w:t xml:space="preserve"> </w:t>
      </w:r>
      <w:proofErr w:type="spellStart"/>
      <w:r w:rsidR="00622A94" w:rsidRPr="00901686">
        <w:rPr>
          <w:rStyle w:val="Emphasis"/>
          <w:rFonts w:ascii="Times New Roman" w:hAnsi="Times New Roman" w:cs="Times New Roman"/>
          <w:lang w:val="es-ES"/>
        </w:rPr>
        <w:t>by</w:t>
      </w:r>
      <w:proofErr w:type="spellEnd"/>
      <w:r w:rsidR="00622A94" w:rsidRPr="00901686">
        <w:rPr>
          <w:rStyle w:val="Emphasis"/>
          <w:rFonts w:ascii="Times New Roman" w:hAnsi="Times New Roman" w:cs="Times New Roman"/>
          <w:lang w:val="es-ES"/>
        </w:rPr>
        <w:t xml:space="preserve"> </w:t>
      </w:r>
      <w:proofErr w:type="spellStart"/>
      <w:r w:rsidR="00622A94" w:rsidRPr="00901686">
        <w:rPr>
          <w:rStyle w:val="Emphasis"/>
          <w:rFonts w:ascii="Times New Roman" w:hAnsi="Times New Roman" w:cs="Times New Roman"/>
          <w:lang w:val="es-ES"/>
        </w:rPr>
        <w:t>the</w:t>
      </w:r>
      <w:proofErr w:type="spellEnd"/>
      <w:r w:rsidR="00622A94" w:rsidRPr="00901686">
        <w:rPr>
          <w:rStyle w:val="Emphasis"/>
          <w:rFonts w:ascii="Times New Roman" w:hAnsi="Times New Roman" w:cs="Times New Roman"/>
          <w:lang w:val="es-ES"/>
        </w:rPr>
        <w:t xml:space="preserve"> G.O.P.</w:t>
      </w:r>
      <w:r w:rsidR="00622A94" w:rsidRPr="00901686">
        <w:rPr>
          <w:rFonts w:ascii="Times New Roman" w:hAnsi="Times New Roman" w:cs="Times New Roman"/>
          <w:lang w:val="es-ES"/>
        </w:rPr>
        <w:t xml:space="preserve">, </w:t>
      </w:r>
      <w:r w:rsidR="00622A94" w:rsidRPr="00901686">
        <w:rPr>
          <w:rStyle w:val="Emphasis"/>
          <w:rFonts w:ascii="Times New Roman" w:hAnsi="Times New Roman" w:cs="Times New Roman"/>
          <w:lang w:val="es-ES"/>
        </w:rPr>
        <w:t>New York Times</w:t>
      </w:r>
      <w:r w:rsidR="00622A94" w:rsidRPr="00901686">
        <w:rPr>
          <w:rFonts w:ascii="Times New Roman" w:hAnsi="Times New Roman" w:cs="Times New Roman"/>
          <w:lang w:val="es-ES"/>
        </w:rPr>
        <w:t xml:space="preserve"> (15 de mayo de 2022), </w:t>
      </w:r>
      <w:r w:rsidR="002E00A9">
        <w:fldChar w:fldCharType="begin"/>
      </w:r>
      <w:r w:rsidR="002E00A9">
        <w:instrText xml:space="preserve"> HYPERLINK "https://www.nytimes.com/2022/05/15/us/replacement-theory-shooting-tucker-carlson.html" \t "_new" </w:instrText>
      </w:r>
      <w:r w:rsidR="002E00A9">
        <w:fldChar w:fldCharType="separate"/>
      </w:r>
      <w:r w:rsidR="00622A94" w:rsidRPr="00901686">
        <w:rPr>
          <w:rStyle w:val="Hyperlink"/>
          <w:rFonts w:ascii="Times New Roman" w:hAnsi="Times New Roman" w:cs="Times New Roman"/>
          <w:lang w:val="es-ES"/>
        </w:rPr>
        <w:t>https://www.nytimes.com/2022/05/15/us/replacement-theory-shooting-tucker-carlson.html</w:t>
      </w:r>
      <w:r w:rsidR="002E00A9">
        <w:rPr>
          <w:rStyle w:val="Hyperlink"/>
          <w:rFonts w:ascii="Times New Roman" w:hAnsi="Times New Roman" w:cs="Times New Roman"/>
          <w:lang w:val="es-ES"/>
        </w:rPr>
        <w:fldChar w:fldCharType="end"/>
      </w:r>
      <w:r w:rsidR="00622A94" w:rsidRPr="00901686">
        <w:rPr>
          <w:rFonts w:ascii="Times New Roman" w:hAnsi="Times New Roman" w:cs="Times New Roman"/>
          <w:lang w:val="es-ES"/>
        </w:rPr>
        <w:t xml:space="preserve">. Como demuestra ese manifiesto, este </w:t>
      </w:r>
      <w:r w:rsidR="008D02E7" w:rsidRPr="00901686">
        <w:rPr>
          <w:rFonts w:ascii="Times New Roman" w:hAnsi="Times New Roman" w:cs="Times New Roman"/>
          <w:i/>
          <w:iCs/>
          <w:lang w:val="es-ES"/>
        </w:rPr>
        <w:t>gran reemplazo</w:t>
      </w:r>
      <w:r w:rsidR="00622A94" w:rsidRPr="00901686">
        <w:rPr>
          <w:rFonts w:ascii="Times New Roman" w:hAnsi="Times New Roman" w:cs="Times New Roman"/>
          <w:lang w:val="es-ES"/>
        </w:rPr>
        <w:t xml:space="preserve"> es un ensamblaje reformulado de creencias supremacistas blancas tomadas de las eras de </w:t>
      </w:r>
      <w:r w:rsidR="00622A94" w:rsidRPr="00901686">
        <w:rPr>
          <w:rStyle w:val="Emphasis"/>
          <w:rFonts w:ascii="Times New Roman" w:hAnsi="Times New Roman" w:cs="Times New Roman"/>
          <w:lang w:val="es-ES"/>
        </w:rPr>
        <w:t xml:space="preserve">Jim </w:t>
      </w:r>
      <w:proofErr w:type="spellStart"/>
      <w:r w:rsidR="00622A94" w:rsidRPr="00901686">
        <w:rPr>
          <w:rStyle w:val="Emphasis"/>
          <w:rFonts w:ascii="Times New Roman" w:hAnsi="Times New Roman" w:cs="Times New Roman"/>
          <w:lang w:val="es-ES"/>
        </w:rPr>
        <w:t>Crow</w:t>
      </w:r>
      <w:proofErr w:type="spellEnd"/>
      <w:r w:rsidR="00622A94" w:rsidRPr="00901686">
        <w:rPr>
          <w:rFonts w:ascii="Times New Roman" w:hAnsi="Times New Roman" w:cs="Times New Roman"/>
          <w:lang w:val="es-ES"/>
        </w:rPr>
        <w:t xml:space="preserve"> y del nazismo.</w:t>
      </w:r>
      <w:r w:rsidR="008D02E7" w:rsidRPr="00901686">
        <w:rPr>
          <w:rFonts w:ascii="Times New Roman" w:hAnsi="Times New Roman" w:cs="Times New Roman"/>
          <w:lang w:val="es-ES"/>
        </w:rPr>
        <w:t xml:space="preserve"> </w:t>
      </w:r>
      <w:r w:rsidR="00622A94" w:rsidRPr="00901686">
        <w:rPr>
          <w:rFonts w:ascii="Times New Roman" w:hAnsi="Times New Roman" w:cs="Times New Roman"/>
          <w:lang w:val="es-ES"/>
        </w:rPr>
        <w:t>Para una formulación “jurídica” autorizada de esa visión ideológica</w:t>
      </w:r>
      <w:r w:rsidR="008D02E7" w:rsidRPr="00901686">
        <w:rPr>
          <w:rFonts w:ascii="Times New Roman" w:hAnsi="Times New Roman" w:cs="Times New Roman"/>
          <w:lang w:val="es-ES"/>
        </w:rPr>
        <w:t>,</w:t>
      </w:r>
      <w:r w:rsidR="00622A94" w:rsidRPr="00901686">
        <w:rPr>
          <w:rFonts w:ascii="Times New Roman" w:hAnsi="Times New Roman" w:cs="Times New Roman"/>
          <w:lang w:val="es-ES"/>
        </w:rPr>
        <w:t xml:space="preserve"> desde una perspectiva legislativa estadounidense, </w:t>
      </w:r>
      <w:r w:rsidR="00622A94" w:rsidRPr="00901686">
        <w:rPr>
          <w:rFonts w:ascii="Times New Roman" w:hAnsi="Times New Roman" w:cs="Times New Roman"/>
          <w:i/>
          <w:iCs/>
          <w:lang w:val="es-ES"/>
        </w:rPr>
        <w:t>véase</w:t>
      </w:r>
      <w:r w:rsidR="00622A94" w:rsidRPr="00901686">
        <w:rPr>
          <w:rFonts w:ascii="Times New Roman" w:hAnsi="Times New Roman" w:cs="Times New Roman"/>
          <w:lang w:val="es-ES"/>
        </w:rPr>
        <w:t xml:space="preserve"> el “</w:t>
      </w:r>
      <w:proofErr w:type="spellStart"/>
      <w:r w:rsidR="00622A94" w:rsidRPr="00901686">
        <w:rPr>
          <w:rStyle w:val="Emphasis"/>
          <w:rFonts w:ascii="Times New Roman" w:hAnsi="Times New Roman" w:cs="Times New Roman"/>
          <w:lang w:val="es-ES"/>
        </w:rPr>
        <w:t>Southern</w:t>
      </w:r>
      <w:proofErr w:type="spellEnd"/>
      <w:r w:rsidR="00622A94" w:rsidRPr="00901686">
        <w:rPr>
          <w:rStyle w:val="Emphasis"/>
          <w:rFonts w:ascii="Times New Roman" w:hAnsi="Times New Roman" w:cs="Times New Roman"/>
          <w:lang w:val="es-ES"/>
        </w:rPr>
        <w:t xml:space="preserve"> </w:t>
      </w:r>
      <w:proofErr w:type="spellStart"/>
      <w:r w:rsidR="00622A94" w:rsidRPr="00901686">
        <w:rPr>
          <w:rStyle w:val="Emphasis"/>
          <w:rFonts w:ascii="Times New Roman" w:hAnsi="Times New Roman" w:cs="Times New Roman"/>
          <w:lang w:val="es-ES"/>
        </w:rPr>
        <w:t>Manifesto</w:t>
      </w:r>
      <w:proofErr w:type="spellEnd"/>
      <w:r w:rsidR="00622A94" w:rsidRPr="00901686">
        <w:rPr>
          <w:rFonts w:ascii="Times New Roman" w:hAnsi="Times New Roman" w:cs="Times New Roman"/>
          <w:lang w:val="es-ES"/>
        </w:rPr>
        <w:t xml:space="preserve">” de 1956, publicado por miembros del Congreso tras </w:t>
      </w:r>
      <w:r w:rsidR="00622A94" w:rsidRPr="00901686">
        <w:rPr>
          <w:rStyle w:val="Emphasis"/>
          <w:rFonts w:ascii="Times New Roman" w:hAnsi="Times New Roman" w:cs="Times New Roman"/>
          <w:lang w:val="es-ES"/>
        </w:rPr>
        <w:t xml:space="preserve">Brown v. </w:t>
      </w:r>
      <w:proofErr w:type="spellStart"/>
      <w:r w:rsidR="00622A94" w:rsidRPr="00901686">
        <w:rPr>
          <w:rStyle w:val="Emphasis"/>
          <w:rFonts w:ascii="Times New Roman" w:hAnsi="Times New Roman" w:cs="Times New Roman"/>
          <w:lang w:val="es-ES"/>
        </w:rPr>
        <w:t>Board</w:t>
      </w:r>
      <w:proofErr w:type="spellEnd"/>
      <w:r w:rsidR="00622A94" w:rsidRPr="00901686">
        <w:rPr>
          <w:rStyle w:val="Emphasis"/>
          <w:rFonts w:ascii="Times New Roman" w:hAnsi="Times New Roman" w:cs="Times New Roman"/>
          <w:lang w:val="es-ES"/>
        </w:rPr>
        <w:t xml:space="preserve"> of </w:t>
      </w:r>
      <w:proofErr w:type="spellStart"/>
      <w:r w:rsidR="00622A94" w:rsidRPr="00901686">
        <w:rPr>
          <w:rStyle w:val="Emphasis"/>
          <w:rFonts w:ascii="Times New Roman" w:hAnsi="Times New Roman" w:cs="Times New Roman"/>
          <w:lang w:val="es-ES"/>
        </w:rPr>
        <w:t>Education</w:t>
      </w:r>
      <w:proofErr w:type="spellEnd"/>
      <w:r w:rsidR="00622A94" w:rsidRPr="00901686">
        <w:rPr>
          <w:rFonts w:ascii="Times New Roman" w:hAnsi="Times New Roman" w:cs="Times New Roman"/>
          <w:lang w:val="es-ES"/>
        </w:rPr>
        <w:t xml:space="preserve">, 102 </w:t>
      </w:r>
      <w:proofErr w:type="spellStart"/>
      <w:r w:rsidR="00622A94" w:rsidRPr="00901686">
        <w:rPr>
          <w:rStyle w:val="Emphasis"/>
          <w:rFonts w:ascii="Times New Roman" w:hAnsi="Times New Roman" w:cs="Times New Roman"/>
          <w:lang w:val="es-ES"/>
        </w:rPr>
        <w:t>Cong</w:t>
      </w:r>
      <w:proofErr w:type="spellEnd"/>
      <w:r w:rsidR="00622A94" w:rsidRPr="00901686">
        <w:rPr>
          <w:rStyle w:val="Emphasis"/>
          <w:rFonts w:ascii="Times New Roman" w:hAnsi="Times New Roman" w:cs="Times New Roman"/>
          <w:lang w:val="es-ES"/>
        </w:rPr>
        <w:t>. Rec.</w:t>
      </w:r>
      <w:r w:rsidR="00622A94" w:rsidRPr="00901686">
        <w:rPr>
          <w:rFonts w:ascii="Times New Roman" w:hAnsi="Times New Roman" w:cs="Times New Roman"/>
          <w:lang w:val="es-ES"/>
        </w:rPr>
        <w:t xml:space="preserve"> H3948, 4004 (ed. diaria, 12 de marzo de 1956).</w:t>
      </w:r>
      <w:r w:rsidR="008D02E7" w:rsidRPr="00901686">
        <w:rPr>
          <w:rFonts w:ascii="Times New Roman" w:hAnsi="Times New Roman" w:cs="Times New Roman"/>
          <w:lang w:val="es-ES"/>
        </w:rPr>
        <w:t xml:space="preserve"> </w:t>
      </w:r>
      <w:r w:rsidR="00622A94" w:rsidRPr="00901686">
        <w:rPr>
          <w:rFonts w:ascii="Times New Roman" w:hAnsi="Times New Roman" w:cs="Times New Roman"/>
          <w:lang w:val="es-ES"/>
        </w:rPr>
        <w:t>Comparar ambos manifiestos muestra cómo cada uno repite la misma cosmovisión ideológica racializada. Durante esos años, el auge del evangelismo cristiano blanco y</w:t>
      </w:r>
      <w:r w:rsidR="00CD329B" w:rsidRPr="00901686">
        <w:rPr>
          <w:rFonts w:ascii="Times New Roman" w:hAnsi="Times New Roman" w:cs="Times New Roman"/>
          <w:lang w:val="es-ES"/>
        </w:rPr>
        <w:t>,</w:t>
      </w:r>
      <w:r w:rsidR="00622A94" w:rsidRPr="00901686">
        <w:rPr>
          <w:rFonts w:ascii="Times New Roman" w:hAnsi="Times New Roman" w:cs="Times New Roman"/>
          <w:lang w:val="es-ES"/>
        </w:rPr>
        <w:t xml:space="preserve"> luego</w:t>
      </w:r>
      <w:r w:rsidR="00CD329B" w:rsidRPr="00901686">
        <w:rPr>
          <w:rFonts w:ascii="Times New Roman" w:hAnsi="Times New Roman" w:cs="Times New Roman"/>
          <w:lang w:val="es-ES"/>
        </w:rPr>
        <w:t>,</w:t>
      </w:r>
      <w:r w:rsidR="00622A94" w:rsidRPr="00901686">
        <w:rPr>
          <w:rFonts w:ascii="Times New Roman" w:hAnsi="Times New Roman" w:cs="Times New Roman"/>
          <w:lang w:val="es-ES"/>
        </w:rPr>
        <w:t xml:space="preserve"> del nacionalismo cristiano contribuyó a alimentar estas guerras culturales derechistas.</w:t>
      </w:r>
      <w:r w:rsidR="00CD329B" w:rsidRPr="00901686">
        <w:rPr>
          <w:rFonts w:ascii="Times New Roman" w:hAnsi="Times New Roman" w:cs="Times New Roman"/>
          <w:lang w:val="es-ES"/>
        </w:rPr>
        <w:t xml:space="preserve"> </w:t>
      </w:r>
      <w:r w:rsidR="00622A94" w:rsidRPr="00901686">
        <w:rPr>
          <w:rFonts w:ascii="Times New Roman" w:hAnsi="Times New Roman" w:cs="Times New Roman"/>
          <w:i/>
          <w:iCs/>
          <w:lang w:val="es-ES"/>
        </w:rPr>
        <w:t>Véase</w:t>
      </w:r>
      <w:r w:rsidR="00622A94" w:rsidRPr="00901686">
        <w:rPr>
          <w:rFonts w:ascii="Times New Roman" w:hAnsi="Times New Roman" w:cs="Times New Roman"/>
          <w:lang w:val="es-ES"/>
        </w:rPr>
        <w:t xml:space="preserve">, en general, Michelle Goldberg, </w:t>
      </w:r>
      <w:proofErr w:type="spellStart"/>
      <w:r w:rsidR="00622A94" w:rsidRPr="00901686">
        <w:rPr>
          <w:rStyle w:val="Emphasis"/>
          <w:rFonts w:ascii="Times New Roman" w:hAnsi="Times New Roman" w:cs="Times New Roman"/>
          <w:lang w:val="es-ES"/>
        </w:rPr>
        <w:t>Kingdom</w:t>
      </w:r>
      <w:proofErr w:type="spellEnd"/>
      <w:r w:rsidR="00622A94" w:rsidRPr="00901686">
        <w:rPr>
          <w:rStyle w:val="Emphasis"/>
          <w:rFonts w:ascii="Times New Roman" w:hAnsi="Times New Roman" w:cs="Times New Roman"/>
          <w:lang w:val="es-ES"/>
        </w:rPr>
        <w:t xml:space="preserve"> </w:t>
      </w:r>
      <w:proofErr w:type="spellStart"/>
      <w:r w:rsidR="00622A94" w:rsidRPr="00901686">
        <w:rPr>
          <w:rStyle w:val="Emphasis"/>
          <w:rFonts w:ascii="Times New Roman" w:hAnsi="Times New Roman" w:cs="Times New Roman"/>
          <w:lang w:val="es-ES"/>
        </w:rPr>
        <w:t>Coming</w:t>
      </w:r>
      <w:proofErr w:type="spellEnd"/>
      <w:r w:rsidR="00622A94" w:rsidRPr="00901686">
        <w:rPr>
          <w:rStyle w:val="Emphasis"/>
          <w:rFonts w:ascii="Times New Roman" w:hAnsi="Times New Roman" w:cs="Times New Roman"/>
          <w:lang w:val="es-ES"/>
        </w:rPr>
        <w:t xml:space="preserve">: </w:t>
      </w:r>
      <w:proofErr w:type="spellStart"/>
      <w:r w:rsidR="00622A94" w:rsidRPr="00901686">
        <w:rPr>
          <w:rStyle w:val="Emphasis"/>
          <w:rFonts w:ascii="Times New Roman" w:hAnsi="Times New Roman" w:cs="Times New Roman"/>
          <w:lang w:val="es-ES"/>
        </w:rPr>
        <w:t>The</w:t>
      </w:r>
      <w:proofErr w:type="spellEnd"/>
      <w:r w:rsidR="00622A94" w:rsidRPr="00901686">
        <w:rPr>
          <w:rStyle w:val="Emphasis"/>
          <w:rFonts w:ascii="Times New Roman" w:hAnsi="Times New Roman" w:cs="Times New Roman"/>
          <w:lang w:val="es-ES"/>
        </w:rPr>
        <w:t xml:space="preserve"> </w:t>
      </w:r>
      <w:proofErr w:type="spellStart"/>
      <w:r w:rsidR="00622A94" w:rsidRPr="00901686">
        <w:rPr>
          <w:rStyle w:val="Emphasis"/>
          <w:rFonts w:ascii="Times New Roman" w:hAnsi="Times New Roman" w:cs="Times New Roman"/>
          <w:lang w:val="es-ES"/>
        </w:rPr>
        <w:t>Rise</w:t>
      </w:r>
      <w:proofErr w:type="spellEnd"/>
      <w:r w:rsidR="00622A94" w:rsidRPr="00901686">
        <w:rPr>
          <w:rStyle w:val="Emphasis"/>
          <w:rFonts w:ascii="Times New Roman" w:hAnsi="Times New Roman" w:cs="Times New Roman"/>
          <w:lang w:val="es-ES"/>
        </w:rPr>
        <w:t xml:space="preserve"> of Christian </w:t>
      </w:r>
      <w:proofErr w:type="spellStart"/>
      <w:r w:rsidR="00622A94" w:rsidRPr="00901686">
        <w:rPr>
          <w:rStyle w:val="Emphasis"/>
          <w:rFonts w:ascii="Times New Roman" w:hAnsi="Times New Roman" w:cs="Times New Roman"/>
          <w:lang w:val="es-ES"/>
        </w:rPr>
        <w:t>Nationalism</w:t>
      </w:r>
      <w:proofErr w:type="spellEnd"/>
      <w:r w:rsidR="00622A94" w:rsidRPr="00901686">
        <w:rPr>
          <w:rFonts w:ascii="Times New Roman" w:hAnsi="Times New Roman" w:cs="Times New Roman"/>
          <w:lang w:val="es-ES"/>
        </w:rPr>
        <w:t xml:space="preserve"> (2007).</w:t>
      </w:r>
    </w:p>
  </w:footnote>
  <w:footnote w:id="16">
    <w:p w14:paraId="0530D173" w14:textId="77777777" w:rsidR="00A36BB7" w:rsidRPr="00901686" w:rsidRDefault="00A36BB7" w:rsidP="00A36BB7">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16</w:t>
      </w:r>
      <w:r w:rsidRPr="00901686">
        <w:rPr>
          <w:rFonts w:ascii="Times New Roman" w:hAnsi="Times New Roman" w:cs="Times New Roman"/>
          <w:lang w:val="es-ES"/>
        </w:rPr>
        <w:t xml:space="preserve"> Para un relato personal del protagonista, </w:t>
      </w:r>
      <w:r w:rsidRPr="00901686">
        <w:rPr>
          <w:rFonts w:ascii="Times New Roman" w:hAnsi="Times New Roman" w:cs="Times New Roman"/>
          <w:i/>
          <w:iCs/>
          <w:lang w:val="es-ES"/>
        </w:rPr>
        <w:t>véase</w:t>
      </w:r>
      <w:r w:rsidRPr="00901686">
        <w:rPr>
          <w:rFonts w:ascii="Times New Roman" w:hAnsi="Times New Roman" w:cs="Times New Roman"/>
          <w:lang w:val="es-ES"/>
        </w:rPr>
        <w:t xml:space="preserve"> Lyndon Baines Johnson, </w:t>
      </w:r>
      <w:proofErr w:type="spellStart"/>
      <w:r w:rsidRPr="00901686">
        <w:rPr>
          <w:rStyle w:val="Emphasis"/>
          <w:rFonts w:ascii="Times New Roman" w:hAnsi="Times New Roman" w:cs="Times New Roman"/>
          <w:lang w:val="es-ES"/>
        </w:rPr>
        <w:t>The</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Vantage</w:t>
      </w:r>
      <w:proofErr w:type="spellEnd"/>
      <w:r w:rsidRPr="00901686">
        <w:rPr>
          <w:rStyle w:val="Emphasis"/>
          <w:rFonts w:ascii="Times New Roman" w:hAnsi="Times New Roman" w:cs="Times New Roman"/>
          <w:lang w:val="es-ES"/>
        </w:rPr>
        <w:t xml:space="preserve"> Point: </w:t>
      </w:r>
      <w:proofErr w:type="spellStart"/>
      <w:r w:rsidRPr="00901686">
        <w:rPr>
          <w:rStyle w:val="Emphasis"/>
          <w:rFonts w:ascii="Times New Roman" w:hAnsi="Times New Roman" w:cs="Times New Roman"/>
          <w:lang w:val="es-ES"/>
        </w:rPr>
        <w:t>Perspectives</w:t>
      </w:r>
      <w:proofErr w:type="spellEnd"/>
      <w:r w:rsidRPr="00901686">
        <w:rPr>
          <w:rStyle w:val="Emphasis"/>
          <w:rFonts w:ascii="Times New Roman" w:hAnsi="Times New Roman" w:cs="Times New Roman"/>
          <w:lang w:val="es-ES"/>
        </w:rPr>
        <w:t xml:space="preserve"> of </w:t>
      </w:r>
      <w:proofErr w:type="spellStart"/>
      <w:r w:rsidRPr="00901686">
        <w:rPr>
          <w:rStyle w:val="Emphasis"/>
          <w:rFonts w:ascii="Times New Roman" w:hAnsi="Times New Roman" w:cs="Times New Roman"/>
          <w:lang w:val="es-ES"/>
        </w:rPr>
        <w:t>the</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Presidency</w:t>
      </w:r>
      <w:proofErr w:type="spellEnd"/>
      <w:r w:rsidRPr="00901686">
        <w:rPr>
          <w:rStyle w:val="Emphasis"/>
          <w:rFonts w:ascii="Times New Roman" w:hAnsi="Times New Roman" w:cs="Times New Roman"/>
          <w:lang w:val="es-ES"/>
        </w:rPr>
        <w:t>, 1963–1969</w:t>
      </w:r>
      <w:r w:rsidRPr="00901686">
        <w:rPr>
          <w:rFonts w:ascii="Times New Roman" w:hAnsi="Times New Roman" w:cs="Times New Roman"/>
          <w:lang w:val="es-ES"/>
        </w:rPr>
        <w:t xml:space="preserve"> (1971); </w:t>
      </w:r>
      <w:r w:rsidRPr="00901686">
        <w:rPr>
          <w:rFonts w:ascii="Times New Roman" w:hAnsi="Times New Roman" w:cs="Times New Roman"/>
          <w:i/>
          <w:iCs/>
          <w:lang w:val="es-ES"/>
        </w:rPr>
        <w:t>véase</w:t>
      </w:r>
      <w:r w:rsidRPr="00901686">
        <w:rPr>
          <w:rFonts w:ascii="Times New Roman" w:hAnsi="Times New Roman" w:cs="Times New Roman"/>
          <w:lang w:val="es-ES"/>
        </w:rPr>
        <w:t xml:space="preserve"> también Robert A. Caro, </w:t>
      </w:r>
      <w:proofErr w:type="spellStart"/>
      <w:r w:rsidRPr="00901686">
        <w:rPr>
          <w:rStyle w:val="Emphasis"/>
          <w:rFonts w:ascii="Times New Roman" w:hAnsi="Times New Roman" w:cs="Times New Roman"/>
          <w:lang w:val="es-ES"/>
        </w:rPr>
        <w:t>The</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Years</w:t>
      </w:r>
      <w:proofErr w:type="spellEnd"/>
      <w:r w:rsidRPr="00901686">
        <w:rPr>
          <w:rStyle w:val="Emphasis"/>
          <w:rFonts w:ascii="Times New Roman" w:hAnsi="Times New Roman" w:cs="Times New Roman"/>
          <w:lang w:val="es-ES"/>
        </w:rPr>
        <w:t xml:space="preserve"> of Lyndon Johnson: </w:t>
      </w:r>
      <w:proofErr w:type="spellStart"/>
      <w:r w:rsidRPr="00901686">
        <w:rPr>
          <w:rStyle w:val="Emphasis"/>
          <w:rFonts w:ascii="Times New Roman" w:hAnsi="Times New Roman" w:cs="Times New Roman"/>
          <w:lang w:val="es-ES"/>
        </w:rPr>
        <w:t>The</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Path</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to</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Power</w:t>
      </w:r>
      <w:proofErr w:type="spellEnd"/>
      <w:r w:rsidRPr="00901686">
        <w:rPr>
          <w:rFonts w:ascii="Times New Roman" w:hAnsi="Times New Roman" w:cs="Times New Roman"/>
          <w:lang w:val="es-ES"/>
        </w:rPr>
        <w:t xml:space="preserve"> (1990).</w:t>
      </w:r>
    </w:p>
  </w:footnote>
  <w:footnote w:id="17">
    <w:p w14:paraId="6548A0C9" w14:textId="77777777" w:rsidR="00EE5456" w:rsidRPr="00901686" w:rsidRDefault="00EE5456" w:rsidP="00EE5456">
      <w:pPr>
        <w:pStyle w:val="FootnoteText"/>
        <w:rPr>
          <w:rFonts w:ascii="Times New Roman" w:hAnsi="Times New Roman" w:cs="Times New Roman"/>
          <w:color w:val="FF0000"/>
          <w:lang w:val="es-ES"/>
        </w:rPr>
      </w:pPr>
      <w:r w:rsidRPr="00901686">
        <w:rPr>
          <w:rStyle w:val="FootnoteReference"/>
          <w:rFonts w:ascii="Times New Roman" w:hAnsi="Times New Roman" w:cs="Times New Roman"/>
          <w:lang w:val="es-ES"/>
        </w:rPr>
        <w:t>17</w:t>
      </w:r>
      <w:r w:rsidRPr="00901686">
        <w:rPr>
          <w:rFonts w:ascii="Times New Roman" w:hAnsi="Times New Roman" w:cs="Times New Roman"/>
          <w:lang w:val="es-ES"/>
        </w:rPr>
        <w:t xml:space="preserve"> Para el relato contemporáneo del estratega principal de esta “estrategia sureña” y su impacto a largo plazo, </w:t>
      </w:r>
      <w:r w:rsidRPr="00901686">
        <w:rPr>
          <w:rFonts w:ascii="Times New Roman" w:hAnsi="Times New Roman" w:cs="Times New Roman"/>
          <w:i/>
          <w:iCs/>
          <w:lang w:val="es-ES"/>
        </w:rPr>
        <w:t>véase</w:t>
      </w:r>
      <w:r w:rsidRPr="00901686">
        <w:rPr>
          <w:rFonts w:ascii="Times New Roman" w:hAnsi="Times New Roman" w:cs="Times New Roman"/>
          <w:lang w:val="es-ES"/>
        </w:rPr>
        <w:t xml:space="preserve"> Kevin Phillips, </w:t>
      </w:r>
      <w:proofErr w:type="spellStart"/>
      <w:r w:rsidRPr="00901686">
        <w:rPr>
          <w:rStyle w:val="Emphasis"/>
          <w:rFonts w:ascii="Times New Roman" w:hAnsi="Times New Roman" w:cs="Times New Roman"/>
          <w:lang w:val="es-ES"/>
        </w:rPr>
        <w:t>The</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Emerging</w:t>
      </w:r>
      <w:proofErr w:type="spellEnd"/>
      <w:r w:rsidRPr="00901686">
        <w:rPr>
          <w:rStyle w:val="Emphasis"/>
          <w:rFonts w:ascii="Times New Roman" w:hAnsi="Times New Roman" w:cs="Times New Roman"/>
          <w:lang w:val="es-ES"/>
        </w:rPr>
        <w:t xml:space="preserve"> Republican </w:t>
      </w:r>
      <w:proofErr w:type="spellStart"/>
      <w:r w:rsidRPr="00901686">
        <w:rPr>
          <w:rStyle w:val="Emphasis"/>
          <w:rFonts w:ascii="Times New Roman" w:hAnsi="Times New Roman" w:cs="Times New Roman"/>
          <w:lang w:val="es-ES"/>
        </w:rPr>
        <w:t>Majority</w:t>
      </w:r>
      <w:proofErr w:type="spellEnd"/>
      <w:r w:rsidRPr="00901686">
        <w:rPr>
          <w:rFonts w:ascii="Times New Roman" w:hAnsi="Times New Roman" w:cs="Times New Roman"/>
          <w:lang w:val="es-ES"/>
        </w:rPr>
        <w:t xml:space="preserve"> (1969). Poco después del cambio de siglo, Phillips, ya como </w:t>
      </w:r>
      <w:proofErr w:type="spellStart"/>
      <w:r w:rsidRPr="00901686">
        <w:rPr>
          <w:rFonts w:ascii="Times New Roman" w:hAnsi="Times New Roman" w:cs="Times New Roman"/>
          <w:lang w:val="es-ES"/>
        </w:rPr>
        <w:t>exestratega</w:t>
      </w:r>
      <w:proofErr w:type="spellEnd"/>
      <w:r w:rsidRPr="00901686">
        <w:rPr>
          <w:rFonts w:ascii="Times New Roman" w:hAnsi="Times New Roman" w:cs="Times New Roman"/>
          <w:lang w:val="es-ES"/>
        </w:rPr>
        <w:t xml:space="preserve"> republicano, expresó públicamente su pesar ante las condiciones sociales y el reordenamiento político que él mismo había ayudado a planificar e impulsar. </w:t>
      </w:r>
      <w:r w:rsidRPr="00901686">
        <w:rPr>
          <w:rFonts w:ascii="Times New Roman" w:hAnsi="Times New Roman" w:cs="Times New Roman"/>
          <w:i/>
          <w:iCs/>
          <w:lang w:val="es-ES"/>
        </w:rPr>
        <w:t>Véase</w:t>
      </w:r>
      <w:r w:rsidRPr="00901686">
        <w:rPr>
          <w:rFonts w:ascii="Times New Roman" w:hAnsi="Times New Roman" w:cs="Times New Roman"/>
          <w:lang w:val="es-ES"/>
        </w:rPr>
        <w:t xml:space="preserve"> Kevin Phillips, </w:t>
      </w:r>
      <w:r w:rsidRPr="00901686">
        <w:rPr>
          <w:rStyle w:val="Emphasis"/>
          <w:rFonts w:ascii="Times New Roman" w:hAnsi="Times New Roman" w:cs="Times New Roman"/>
          <w:lang w:val="es-ES"/>
        </w:rPr>
        <w:t xml:space="preserve">American </w:t>
      </w:r>
      <w:proofErr w:type="spellStart"/>
      <w:r w:rsidRPr="00901686">
        <w:rPr>
          <w:rStyle w:val="Emphasis"/>
          <w:rFonts w:ascii="Times New Roman" w:hAnsi="Times New Roman" w:cs="Times New Roman"/>
          <w:lang w:val="es-ES"/>
        </w:rPr>
        <w:t>Theocracy</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The</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Peril</w:t>
      </w:r>
      <w:proofErr w:type="spellEnd"/>
      <w:r w:rsidRPr="00901686">
        <w:rPr>
          <w:rStyle w:val="Emphasis"/>
          <w:rFonts w:ascii="Times New Roman" w:hAnsi="Times New Roman" w:cs="Times New Roman"/>
          <w:lang w:val="es-ES"/>
        </w:rPr>
        <w:t xml:space="preserve"> and </w:t>
      </w:r>
      <w:proofErr w:type="spellStart"/>
      <w:r w:rsidRPr="00901686">
        <w:rPr>
          <w:rStyle w:val="Emphasis"/>
          <w:rFonts w:ascii="Times New Roman" w:hAnsi="Times New Roman" w:cs="Times New Roman"/>
          <w:lang w:val="es-ES"/>
        </w:rPr>
        <w:t>Politics</w:t>
      </w:r>
      <w:proofErr w:type="spellEnd"/>
      <w:r w:rsidRPr="00901686">
        <w:rPr>
          <w:rStyle w:val="Emphasis"/>
          <w:rFonts w:ascii="Times New Roman" w:hAnsi="Times New Roman" w:cs="Times New Roman"/>
          <w:lang w:val="es-ES"/>
        </w:rPr>
        <w:t xml:space="preserve"> of Radical </w:t>
      </w:r>
      <w:proofErr w:type="spellStart"/>
      <w:r w:rsidRPr="00901686">
        <w:rPr>
          <w:rStyle w:val="Emphasis"/>
          <w:rFonts w:ascii="Times New Roman" w:hAnsi="Times New Roman" w:cs="Times New Roman"/>
          <w:lang w:val="es-ES"/>
        </w:rPr>
        <w:t>Religion</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Oil</w:t>
      </w:r>
      <w:proofErr w:type="spellEnd"/>
      <w:r w:rsidRPr="00901686">
        <w:rPr>
          <w:rStyle w:val="Emphasis"/>
          <w:rFonts w:ascii="Times New Roman" w:hAnsi="Times New Roman" w:cs="Times New Roman"/>
          <w:lang w:val="es-ES"/>
        </w:rPr>
        <w:t xml:space="preserve">, and </w:t>
      </w:r>
      <w:proofErr w:type="spellStart"/>
      <w:r w:rsidRPr="00901686">
        <w:rPr>
          <w:rStyle w:val="Emphasis"/>
          <w:rFonts w:ascii="Times New Roman" w:hAnsi="Times New Roman" w:cs="Times New Roman"/>
          <w:lang w:val="es-ES"/>
        </w:rPr>
        <w:t>Borrowed</w:t>
      </w:r>
      <w:proofErr w:type="spellEnd"/>
      <w:r w:rsidRPr="00901686">
        <w:rPr>
          <w:rStyle w:val="Emphasis"/>
          <w:rFonts w:ascii="Times New Roman" w:hAnsi="Times New Roman" w:cs="Times New Roman"/>
          <w:lang w:val="es-ES"/>
        </w:rPr>
        <w:t xml:space="preserve"> Money in </w:t>
      </w:r>
      <w:proofErr w:type="spellStart"/>
      <w:r w:rsidRPr="00901686">
        <w:rPr>
          <w:rStyle w:val="Emphasis"/>
          <w:rFonts w:ascii="Times New Roman" w:hAnsi="Times New Roman" w:cs="Times New Roman"/>
          <w:lang w:val="es-ES"/>
        </w:rPr>
        <w:t>the</w:t>
      </w:r>
      <w:proofErr w:type="spellEnd"/>
      <w:r w:rsidRPr="00901686">
        <w:rPr>
          <w:rStyle w:val="Emphasis"/>
          <w:rFonts w:ascii="Times New Roman" w:hAnsi="Times New Roman" w:cs="Times New Roman"/>
          <w:lang w:val="es-ES"/>
        </w:rPr>
        <w:t xml:space="preserve"> 21st Century</w:t>
      </w:r>
      <w:r w:rsidRPr="00901686">
        <w:rPr>
          <w:rFonts w:ascii="Times New Roman" w:hAnsi="Times New Roman" w:cs="Times New Roman"/>
          <w:lang w:val="es-ES"/>
        </w:rPr>
        <w:t xml:space="preserve"> (2006).</w:t>
      </w:r>
      <w:r w:rsidRPr="00901686">
        <w:rPr>
          <w:rFonts w:ascii="Times New Roman" w:hAnsi="Times New Roman" w:cs="Times New Roman"/>
          <w:lang w:val="es-ES"/>
        </w:rPr>
        <w:br/>
        <w:t xml:space="preserve">Para un análisis completo de los desarrollos políticos cruciales que condujeron al ascenso de Nixon y más allá, </w:t>
      </w:r>
      <w:r w:rsidRPr="00901686">
        <w:rPr>
          <w:rFonts w:ascii="Times New Roman" w:hAnsi="Times New Roman" w:cs="Times New Roman"/>
          <w:i/>
          <w:iCs/>
          <w:lang w:val="es-ES"/>
        </w:rPr>
        <w:t>véase</w:t>
      </w:r>
      <w:r w:rsidRPr="00901686">
        <w:rPr>
          <w:rFonts w:ascii="Times New Roman" w:hAnsi="Times New Roman" w:cs="Times New Roman"/>
          <w:lang w:val="es-ES"/>
        </w:rPr>
        <w:t xml:space="preserve"> Rick </w:t>
      </w:r>
      <w:proofErr w:type="spellStart"/>
      <w:r w:rsidRPr="00901686">
        <w:rPr>
          <w:rFonts w:ascii="Times New Roman" w:hAnsi="Times New Roman" w:cs="Times New Roman"/>
          <w:lang w:val="es-ES"/>
        </w:rPr>
        <w:t>Perlstein</w:t>
      </w:r>
      <w:proofErr w:type="spellEnd"/>
      <w:r w:rsidRPr="00901686">
        <w:rPr>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Before</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the</w:t>
      </w:r>
      <w:proofErr w:type="spellEnd"/>
      <w:r w:rsidRPr="00901686">
        <w:rPr>
          <w:rStyle w:val="Emphasis"/>
          <w:rFonts w:ascii="Times New Roman" w:hAnsi="Times New Roman" w:cs="Times New Roman"/>
          <w:lang w:val="es-ES"/>
        </w:rPr>
        <w:t xml:space="preserve"> Storm: Barry </w:t>
      </w:r>
      <w:proofErr w:type="spellStart"/>
      <w:r w:rsidRPr="00901686">
        <w:rPr>
          <w:rStyle w:val="Emphasis"/>
          <w:rFonts w:ascii="Times New Roman" w:hAnsi="Times New Roman" w:cs="Times New Roman"/>
          <w:lang w:val="es-ES"/>
        </w:rPr>
        <w:t>Goldwater</w:t>
      </w:r>
      <w:proofErr w:type="spellEnd"/>
      <w:r w:rsidRPr="00901686">
        <w:rPr>
          <w:rStyle w:val="Emphasis"/>
          <w:rFonts w:ascii="Times New Roman" w:hAnsi="Times New Roman" w:cs="Times New Roman"/>
          <w:lang w:val="es-ES"/>
        </w:rPr>
        <w:t xml:space="preserve"> and </w:t>
      </w:r>
      <w:proofErr w:type="spellStart"/>
      <w:r w:rsidRPr="00901686">
        <w:rPr>
          <w:rStyle w:val="Emphasis"/>
          <w:rFonts w:ascii="Times New Roman" w:hAnsi="Times New Roman" w:cs="Times New Roman"/>
          <w:lang w:val="es-ES"/>
        </w:rPr>
        <w:t>the</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Unmaking</w:t>
      </w:r>
      <w:proofErr w:type="spellEnd"/>
      <w:r w:rsidRPr="00901686">
        <w:rPr>
          <w:rStyle w:val="Emphasis"/>
          <w:rFonts w:ascii="Times New Roman" w:hAnsi="Times New Roman" w:cs="Times New Roman"/>
          <w:lang w:val="es-ES"/>
        </w:rPr>
        <w:t xml:space="preserve"> of </w:t>
      </w:r>
      <w:proofErr w:type="spellStart"/>
      <w:r w:rsidRPr="00901686">
        <w:rPr>
          <w:rStyle w:val="Emphasis"/>
          <w:rFonts w:ascii="Times New Roman" w:hAnsi="Times New Roman" w:cs="Times New Roman"/>
          <w:lang w:val="es-ES"/>
        </w:rPr>
        <w:t>the</w:t>
      </w:r>
      <w:proofErr w:type="spellEnd"/>
      <w:r w:rsidRPr="00901686">
        <w:rPr>
          <w:rStyle w:val="Emphasis"/>
          <w:rFonts w:ascii="Times New Roman" w:hAnsi="Times New Roman" w:cs="Times New Roman"/>
          <w:lang w:val="es-ES"/>
        </w:rPr>
        <w:t xml:space="preserve"> American </w:t>
      </w:r>
      <w:proofErr w:type="spellStart"/>
      <w:r w:rsidRPr="00901686">
        <w:rPr>
          <w:rStyle w:val="Emphasis"/>
          <w:rFonts w:ascii="Times New Roman" w:hAnsi="Times New Roman" w:cs="Times New Roman"/>
          <w:lang w:val="es-ES"/>
        </w:rPr>
        <w:t>Consensus</w:t>
      </w:r>
      <w:proofErr w:type="spellEnd"/>
      <w:r w:rsidRPr="00901686">
        <w:rPr>
          <w:rFonts w:ascii="Times New Roman" w:hAnsi="Times New Roman" w:cs="Times New Roman"/>
          <w:lang w:val="es-ES"/>
        </w:rPr>
        <w:t xml:space="preserve"> (2001).</w:t>
      </w:r>
      <w:r w:rsidRPr="00901686">
        <w:rPr>
          <w:rFonts w:ascii="Times New Roman" w:hAnsi="Times New Roman" w:cs="Times New Roman"/>
          <w:lang w:val="es-ES"/>
        </w:rPr>
        <w:br/>
        <w:t xml:space="preserve">Para una actualización y ampliación reciente, </w:t>
      </w:r>
      <w:r w:rsidRPr="00901686">
        <w:rPr>
          <w:rFonts w:ascii="Times New Roman" w:hAnsi="Times New Roman" w:cs="Times New Roman"/>
          <w:i/>
          <w:iCs/>
          <w:lang w:val="es-ES"/>
        </w:rPr>
        <w:t>véase</w:t>
      </w:r>
      <w:r w:rsidRPr="00901686">
        <w:rPr>
          <w:rFonts w:ascii="Times New Roman" w:hAnsi="Times New Roman" w:cs="Times New Roman"/>
          <w:lang w:val="es-ES"/>
        </w:rPr>
        <w:t xml:space="preserve"> Edwin G. Oswald y </w:t>
      </w:r>
      <w:proofErr w:type="spellStart"/>
      <w:r w:rsidRPr="00901686">
        <w:rPr>
          <w:rFonts w:ascii="Times New Roman" w:hAnsi="Times New Roman" w:cs="Times New Roman"/>
          <w:lang w:val="es-ES"/>
        </w:rPr>
        <w:t>Aland</w:t>
      </w:r>
      <w:proofErr w:type="spellEnd"/>
      <w:r w:rsidRPr="00901686">
        <w:rPr>
          <w:rFonts w:ascii="Times New Roman" w:hAnsi="Times New Roman" w:cs="Times New Roman"/>
          <w:lang w:val="es-ES"/>
        </w:rPr>
        <w:t xml:space="preserve"> </w:t>
      </w:r>
      <w:proofErr w:type="spellStart"/>
      <w:r w:rsidRPr="00901686">
        <w:rPr>
          <w:rFonts w:ascii="Times New Roman" w:hAnsi="Times New Roman" w:cs="Times New Roman"/>
          <w:lang w:val="es-ES"/>
        </w:rPr>
        <w:t>Axelrod</w:t>
      </w:r>
      <w:proofErr w:type="spellEnd"/>
      <w:r w:rsidRPr="00901686">
        <w:rPr>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From</w:t>
      </w:r>
      <w:proofErr w:type="spellEnd"/>
      <w:r w:rsidRPr="00901686">
        <w:rPr>
          <w:rStyle w:val="Emphasis"/>
          <w:rFonts w:ascii="Times New Roman" w:hAnsi="Times New Roman" w:cs="Times New Roman"/>
          <w:lang w:val="es-ES"/>
        </w:rPr>
        <w:t xml:space="preserve"> Ronald </w:t>
      </w:r>
      <w:proofErr w:type="spellStart"/>
      <w:r w:rsidRPr="00901686">
        <w:rPr>
          <w:rStyle w:val="Emphasis"/>
          <w:rFonts w:ascii="Times New Roman" w:hAnsi="Times New Roman" w:cs="Times New Roman"/>
          <w:lang w:val="es-ES"/>
        </w:rPr>
        <w:t>to</w:t>
      </w:r>
      <w:proofErr w:type="spellEnd"/>
      <w:r w:rsidRPr="00901686">
        <w:rPr>
          <w:rStyle w:val="Emphasis"/>
          <w:rFonts w:ascii="Times New Roman" w:hAnsi="Times New Roman" w:cs="Times New Roman"/>
          <w:lang w:val="es-ES"/>
        </w:rPr>
        <w:t xml:space="preserve"> Donald: </w:t>
      </w:r>
      <w:proofErr w:type="spellStart"/>
      <w:r w:rsidRPr="00901686">
        <w:rPr>
          <w:rStyle w:val="Emphasis"/>
          <w:rFonts w:ascii="Times New Roman" w:hAnsi="Times New Roman" w:cs="Times New Roman"/>
          <w:lang w:val="es-ES"/>
        </w:rPr>
        <w:t>How</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the</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Myth</w:t>
      </w:r>
      <w:proofErr w:type="spellEnd"/>
      <w:r w:rsidRPr="00901686">
        <w:rPr>
          <w:rStyle w:val="Emphasis"/>
          <w:rFonts w:ascii="Times New Roman" w:hAnsi="Times New Roman" w:cs="Times New Roman"/>
          <w:lang w:val="es-ES"/>
        </w:rPr>
        <w:t xml:space="preserve"> of Reagan </w:t>
      </w:r>
      <w:proofErr w:type="spellStart"/>
      <w:r w:rsidRPr="00901686">
        <w:rPr>
          <w:rStyle w:val="Emphasis"/>
          <w:rFonts w:ascii="Times New Roman" w:hAnsi="Times New Roman" w:cs="Times New Roman"/>
          <w:lang w:val="es-ES"/>
        </w:rPr>
        <w:t>Became</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the</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Cult</w:t>
      </w:r>
      <w:proofErr w:type="spellEnd"/>
      <w:r w:rsidRPr="00901686">
        <w:rPr>
          <w:rStyle w:val="Emphasis"/>
          <w:rFonts w:ascii="Times New Roman" w:hAnsi="Times New Roman" w:cs="Times New Roman"/>
          <w:lang w:val="es-ES"/>
        </w:rPr>
        <w:t xml:space="preserve"> of Trump</w:t>
      </w:r>
      <w:r w:rsidRPr="00901686">
        <w:rPr>
          <w:rFonts w:ascii="Times New Roman" w:hAnsi="Times New Roman" w:cs="Times New Roman"/>
          <w:lang w:val="es-ES"/>
        </w:rPr>
        <w:t xml:space="preserve"> (2024).</w:t>
      </w:r>
    </w:p>
  </w:footnote>
  <w:footnote w:id="18">
    <w:p w14:paraId="239C9A01" w14:textId="77777777" w:rsidR="0069697C" w:rsidRPr="00901686" w:rsidRDefault="0069697C" w:rsidP="0069697C">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18</w:t>
      </w:r>
      <w:r w:rsidRPr="00901686">
        <w:rPr>
          <w:rFonts w:ascii="Times New Roman" w:hAnsi="Times New Roman" w:cs="Times New Roman"/>
          <w:lang w:val="es-ES"/>
        </w:rPr>
        <w:t xml:space="preserve"> Designar al poder judicial con ideólogos reaccionarios ha sido una pieza central del contraataque derechista y de la guerra cultural, como se señala en el artículo de 1998. </w:t>
      </w:r>
      <w:r w:rsidRPr="00901686">
        <w:rPr>
          <w:rFonts w:ascii="Times New Roman" w:hAnsi="Times New Roman" w:cs="Times New Roman"/>
          <w:i/>
          <w:iCs/>
          <w:lang w:val="es-ES"/>
        </w:rPr>
        <w:t>Véase</w:t>
      </w:r>
      <w:r w:rsidRPr="00901686">
        <w:rPr>
          <w:rFonts w:ascii="Times New Roman" w:hAnsi="Times New Roman" w:cs="Times New Roman"/>
          <w:lang w:val="es-ES"/>
        </w:rPr>
        <w:t xml:space="preserve"> Valdés, nota 1 </w:t>
      </w:r>
      <w:r w:rsidRPr="00901686">
        <w:rPr>
          <w:rFonts w:ascii="Times New Roman" w:hAnsi="Times New Roman" w:cs="Times New Roman"/>
          <w:i/>
          <w:iCs/>
          <w:lang w:val="es-ES"/>
        </w:rPr>
        <w:t>supra</w:t>
      </w:r>
      <w:r w:rsidRPr="00901686">
        <w:rPr>
          <w:rFonts w:ascii="Times New Roman" w:hAnsi="Times New Roman" w:cs="Times New Roman"/>
          <w:lang w:val="es-ES"/>
        </w:rPr>
        <w:t>, pp. 1440–1442.</w:t>
      </w:r>
    </w:p>
  </w:footnote>
  <w:footnote w:id="19">
    <w:p w14:paraId="2C441E48" w14:textId="77777777" w:rsidR="00C45B03" w:rsidRPr="00901686" w:rsidRDefault="00C45B03" w:rsidP="00C45B03">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19</w:t>
      </w:r>
      <w:r w:rsidRPr="00901686">
        <w:rPr>
          <w:rFonts w:ascii="Times New Roman" w:hAnsi="Times New Roman" w:cs="Times New Roman"/>
          <w:lang w:val="es-ES"/>
        </w:rPr>
        <w:t xml:space="preserve"> Para un ejemplo reciente y relevante, </w:t>
      </w:r>
      <w:r w:rsidRPr="00901686">
        <w:rPr>
          <w:rFonts w:ascii="Times New Roman" w:hAnsi="Times New Roman" w:cs="Times New Roman"/>
          <w:i/>
          <w:iCs/>
          <w:lang w:val="es-ES"/>
        </w:rPr>
        <w:t>véase</w:t>
      </w:r>
      <w:r w:rsidRPr="00901686">
        <w:rPr>
          <w:rFonts w:ascii="Times New Roman" w:hAnsi="Times New Roman" w:cs="Times New Roman"/>
          <w:lang w:val="es-ES"/>
        </w:rPr>
        <w:t xml:space="preserve"> Annie </w:t>
      </w:r>
      <w:proofErr w:type="spellStart"/>
      <w:r w:rsidRPr="00901686">
        <w:rPr>
          <w:rFonts w:ascii="Times New Roman" w:hAnsi="Times New Roman" w:cs="Times New Roman"/>
          <w:lang w:val="es-ES"/>
        </w:rPr>
        <w:t>Karni</w:t>
      </w:r>
      <w:proofErr w:type="spellEnd"/>
      <w:r w:rsidRPr="00901686">
        <w:rPr>
          <w:rFonts w:ascii="Times New Roman" w:hAnsi="Times New Roman" w:cs="Times New Roman"/>
          <w:lang w:val="es-ES"/>
        </w:rPr>
        <w:t xml:space="preserve">, </w:t>
      </w:r>
      <w:r w:rsidRPr="00901686">
        <w:rPr>
          <w:rStyle w:val="Emphasis"/>
          <w:rFonts w:ascii="Times New Roman" w:hAnsi="Times New Roman" w:cs="Times New Roman"/>
          <w:lang w:val="es-ES"/>
        </w:rPr>
        <w:t xml:space="preserve">Trump Uses Mount Rushmore </w:t>
      </w:r>
      <w:proofErr w:type="spellStart"/>
      <w:r w:rsidRPr="00901686">
        <w:rPr>
          <w:rStyle w:val="Emphasis"/>
          <w:rFonts w:ascii="Times New Roman" w:hAnsi="Times New Roman" w:cs="Times New Roman"/>
          <w:lang w:val="es-ES"/>
        </w:rPr>
        <w:t>Speech</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to</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Deliver</w:t>
      </w:r>
      <w:proofErr w:type="spellEnd"/>
      <w:r w:rsidRPr="00901686">
        <w:rPr>
          <w:rStyle w:val="Emphasis"/>
          <w:rFonts w:ascii="Times New Roman" w:hAnsi="Times New Roman" w:cs="Times New Roman"/>
          <w:lang w:val="es-ES"/>
        </w:rPr>
        <w:t xml:space="preserve"> Divisive Culture </w:t>
      </w:r>
      <w:proofErr w:type="spellStart"/>
      <w:r w:rsidRPr="00901686">
        <w:rPr>
          <w:rStyle w:val="Emphasis"/>
          <w:rFonts w:ascii="Times New Roman" w:hAnsi="Times New Roman" w:cs="Times New Roman"/>
          <w:lang w:val="es-ES"/>
        </w:rPr>
        <w:t>War</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Message</w:t>
      </w:r>
      <w:proofErr w:type="spellEnd"/>
      <w:r w:rsidRPr="00901686">
        <w:rPr>
          <w:rFonts w:ascii="Times New Roman" w:hAnsi="Times New Roman" w:cs="Times New Roman"/>
          <w:lang w:val="es-ES"/>
        </w:rPr>
        <w:t xml:space="preserve">, </w:t>
      </w:r>
      <w:r w:rsidRPr="00901686">
        <w:rPr>
          <w:rStyle w:val="Emphasis"/>
          <w:rFonts w:ascii="Times New Roman" w:hAnsi="Times New Roman" w:cs="Times New Roman"/>
          <w:lang w:val="es-ES"/>
        </w:rPr>
        <w:t>New York Times</w:t>
      </w:r>
      <w:r w:rsidRPr="00901686">
        <w:rPr>
          <w:rFonts w:ascii="Times New Roman" w:hAnsi="Times New Roman" w:cs="Times New Roman"/>
          <w:lang w:val="es-ES"/>
        </w:rPr>
        <w:t xml:space="preserve"> (20 de marzo de 2021), </w:t>
      </w:r>
      <w:r w:rsidR="002E00A9">
        <w:fldChar w:fldCharType="begin"/>
      </w:r>
      <w:r w:rsidR="002E00A9">
        <w:instrText xml:space="preserve"> HYPERLINK "https://www.nytimes.com/2020/07/03/us/politics/trump-coronavirus-mount-rushmore.html" \t "_new" </w:instrText>
      </w:r>
      <w:r w:rsidR="002E00A9">
        <w:fldChar w:fldCharType="separate"/>
      </w:r>
      <w:r w:rsidRPr="00901686">
        <w:rPr>
          <w:rStyle w:val="Hyperlink"/>
          <w:rFonts w:ascii="Times New Roman" w:hAnsi="Times New Roman" w:cs="Times New Roman"/>
          <w:lang w:val="es-ES"/>
        </w:rPr>
        <w:t>https://www.nytimes.com/2020/07/03/us/politics/trump-coronavirus-mount-rushmore.html</w:t>
      </w:r>
      <w:r w:rsidR="002E00A9">
        <w:rPr>
          <w:rStyle w:val="Hyperlink"/>
          <w:rFonts w:ascii="Times New Roman" w:hAnsi="Times New Roman" w:cs="Times New Roman"/>
          <w:lang w:val="es-ES"/>
        </w:rPr>
        <w:fldChar w:fldCharType="end"/>
      </w:r>
      <w:r w:rsidRPr="00901686">
        <w:rPr>
          <w:rFonts w:ascii="Times New Roman" w:hAnsi="Times New Roman" w:cs="Times New Roman"/>
          <w:lang w:val="es-ES"/>
        </w:rPr>
        <w:t>.</w:t>
      </w:r>
    </w:p>
  </w:footnote>
  <w:footnote w:id="20">
    <w:p w14:paraId="71B45790" w14:textId="77777777" w:rsidR="00A4730A" w:rsidRPr="00901686" w:rsidRDefault="00A4730A" w:rsidP="00A4730A">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20</w:t>
      </w:r>
      <w:r w:rsidRPr="00901686">
        <w:rPr>
          <w:rFonts w:ascii="Times New Roman" w:hAnsi="Times New Roman" w:cs="Times New Roman"/>
          <w:lang w:val="es-ES"/>
        </w:rPr>
        <w:t xml:space="preserve"> Para un estudio excepcional sobre los sistemas coloniales de castas identitarias, aplicados jurídicamente, en el período fundacional de los Estados Unidos, </w:t>
      </w:r>
      <w:r w:rsidRPr="00901686">
        <w:rPr>
          <w:rFonts w:ascii="Times New Roman" w:hAnsi="Times New Roman" w:cs="Times New Roman"/>
          <w:i/>
          <w:iCs/>
          <w:lang w:val="es-ES"/>
        </w:rPr>
        <w:t>véase</w:t>
      </w:r>
      <w:r w:rsidRPr="00901686">
        <w:rPr>
          <w:rFonts w:ascii="Times New Roman" w:hAnsi="Times New Roman" w:cs="Times New Roman"/>
          <w:lang w:val="es-ES"/>
        </w:rPr>
        <w:t xml:space="preserve"> A. </w:t>
      </w:r>
      <w:proofErr w:type="spellStart"/>
      <w:r w:rsidRPr="00901686">
        <w:rPr>
          <w:rFonts w:ascii="Times New Roman" w:hAnsi="Times New Roman" w:cs="Times New Roman"/>
          <w:lang w:val="es-ES"/>
        </w:rPr>
        <w:t>Leon</w:t>
      </w:r>
      <w:proofErr w:type="spellEnd"/>
      <w:r w:rsidRPr="00901686">
        <w:rPr>
          <w:rFonts w:ascii="Times New Roman" w:hAnsi="Times New Roman" w:cs="Times New Roman"/>
          <w:lang w:val="es-ES"/>
        </w:rPr>
        <w:t xml:space="preserve"> </w:t>
      </w:r>
      <w:proofErr w:type="spellStart"/>
      <w:r w:rsidRPr="00901686">
        <w:rPr>
          <w:rFonts w:ascii="Times New Roman" w:hAnsi="Times New Roman" w:cs="Times New Roman"/>
          <w:lang w:val="es-ES"/>
        </w:rPr>
        <w:t>Higginbotham</w:t>
      </w:r>
      <w:proofErr w:type="spellEnd"/>
      <w:r w:rsidRPr="00901686">
        <w:rPr>
          <w:rFonts w:ascii="Times New Roman" w:hAnsi="Times New Roman" w:cs="Times New Roman"/>
          <w:lang w:val="es-ES"/>
        </w:rPr>
        <w:t xml:space="preserve">, Jr., </w:t>
      </w:r>
      <w:r w:rsidRPr="00901686">
        <w:rPr>
          <w:rStyle w:val="Emphasis"/>
          <w:rFonts w:ascii="Times New Roman" w:hAnsi="Times New Roman" w:cs="Times New Roman"/>
          <w:lang w:val="es-ES"/>
        </w:rPr>
        <w:t xml:space="preserve">In </w:t>
      </w:r>
      <w:proofErr w:type="spellStart"/>
      <w:r w:rsidRPr="00901686">
        <w:rPr>
          <w:rStyle w:val="Emphasis"/>
          <w:rFonts w:ascii="Times New Roman" w:hAnsi="Times New Roman" w:cs="Times New Roman"/>
          <w:lang w:val="es-ES"/>
        </w:rPr>
        <w:t>the</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Matter</w:t>
      </w:r>
      <w:proofErr w:type="spellEnd"/>
      <w:r w:rsidRPr="00901686">
        <w:rPr>
          <w:rStyle w:val="Emphasis"/>
          <w:rFonts w:ascii="Times New Roman" w:hAnsi="Times New Roman" w:cs="Times New Roman"/>
          <w:lang w:val="es-ES"/>
        </w:rPr>
        <w:t xml:space="preserve"> of Color: </w:t>
      </w:r>
      <w:proofErr w:type="spellStart"/>
      <w:r w:rsidRPr="00901686">
        <w:rPr>
          <w:rStyle w:val="Emphasis"/>
          <w:rFonts w:ascii="Times New Roman" w:hAnsi="Times New Roman" w:cs="Times New Roman"/>
          <w:lang w:val="es-ES"/>
        </w:rPr>
        <w:t>Race</w:t>
      </w:r>
      <w:proofErr w:type="spellEnd"/>
      <w:r w:rsidRPr="00901686">
        <w:rPr>
          <w:rStyle w:val="Emphasis"/>
          <w:rFonts w:ascii="Times New Roman" w:hAnsi="Times New Roman" w:cs="Times New Roman"/>
          <w:lang w:val="es-ES"/>
        </w:rPr>
        <w:t xml:space="preserve"> and </w:t>
      </w:r>
      <w:proofErr w:type="spellStart"/>
      <w:r w:rsidRPr="00901686">
        <w:rPr>
          <w:rStyle w:val="Emphasis"/>
          <w:rFonts w:ascii="Times New Roman" w:hAnsi="Times New Roman" w:cs="Times New Roman"/>
          <w:lang w:val="es-ES"/>
        </w:rPr>
        <w:t>the</w:t>
      </w:r>
      <w:proofErr w:type="spellEnd"/>
      <w:r w:rsidRPr="00901686">
        <w:rPr>
          <w:rStyle w:val="Emphasis"/>
          <w:rFonts w:ascii="Times New Roman" w:hAnsi="Times New Roman" w:cs="Times New Roman"/>
          <w:lang w:val="es-ES"/>
        </w:rPr>
        <w:t xml:space="preserve"> American Legal </w:t>
      </w:r>
      <w:proofErr w:type="spellStart"/>
      <w:r w:rsidRPr="00901686">
        <w:rPr>
          <w:rStyle w:val="Emphasis"/>
          <w:rFonts w:ascii="Times New Roman" w:hAnsi="Times New Roman" w:cs="Times New Roman"/>
          <w:lang w:val="es-ES"/>
        </w:rPr>
        <w:t>Process</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The</w:t>
      </w:r>
      <w:proofErr w:type="spellEnd"/>
      <w:r w:rsidRPr="00901686">
        <w:rPr>
          <w:rStyle w:val="Emphasis"/>
          <w:rFonts w:ascii="Times New Roman" w:hAnsi="Times New Roman" w:cs="Times New Roman"/>
          <w:lang w:val="es-ES"/>
        </w:rPr>
        <w:t xml:space="preserve"> Colonial </w:t>
      </w:r>
      <w:proofErr w:type="spellStart"/>
      <w:r w:rsidRPr="00901686">
        <w:rPr>
          <w:rStyle w:val="Emphasis"/>
          <w:rFonts w:ascii="Times New Roman" w:hAnsi="Times New Roman" w:cs="Times New Roman"/>
          <w:lang w:val="es-ES"/>
        </w:rPr>
        <w:t>Period</w:t>
      </w:r>
      <w:proofErr w:type="spellEnd"/>
      <w:r w:rsidRPr="00901686">
        <w:rPr>
          <w:rFonts w:ascii="Times New Roman" w:hAnsi="Times New Roman" w:cs="Times New Roman"/>
          <w:lang w:val="es-ES"/>
        </w:rPr>
        <w:t xml:space="preserve"> (1978). Para un análisis penetrante sobre la aplicación jurídica de castas identitarias estadounidenses, </w:t>
      </w:r>
      <w:r w:rsidRPr="00901686">
        <w:rPr>
          <w:rFonts w:ascii="Times New Roman" w:hAnsi="Times New Roman" w:cs="Times New Roman"/>
          <w:i/>
          <w:iCs/>
          <w:lang w:val="es-ES"/>
        </w:rPr>
        <w:t>véase</w:t>
      </w:r>
      <w:r w:rsidRPr="00901686">
        <w:rPr>
          <w:rFonts w:ascii="Times New Roman" w:hAnsi="Times New Roman" w:cs="Times New Roman"/>
          <w:lang w:val="es-ES"/>
        </w:rPr>
        <w:t xml:space="preserve"> Kitty </w:t>
      </w:r>
      <w:proofErr w:type="spellStart"/>
      <w:r w:rsidRPr="00901686">
        <w:rPr>
          <w:rFonts w:ascii="Times New Roman" w:hAnsi="Times New Roman" w:cs="Times New Roman"/>
          <w:lang w:val="es-ES"/>
        </w:rPr>
        <w:t>Calavita</w:t>
      </w:r>
      <w:proofErr w:type="spellEnd"/>
      <w:r w:rsidRPr="00901686">
        <w:rPr>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Collisions</w:t>
      </w:r>
      <w:proofErr w:type="spellEnd"/>
      <w:r w:rsidRPr="00901686">
        <w:rPr>
          <w:rStyle w:val="Emphasis"/>
          <w:rFonts w:ascii="Times New Roman" w:hAnsi="Times New Roman" w:cs="Times New Roman"/>
          <w:lang w:val="es-ES"/>
        </w:rPr>
        <w:t xml:space="preserve"> at </w:t>
      </w:r>
      <w:proofErr w:type="spellStart"/>
      <w:r w:rsidRPr="00901686">
        <w:rPr>
          <w:rStyle w:val="Emphasis"/>
          <w:rFonts w:ascii="Times New Roman" w:hAnsi="Times New Roman" w:cs="Times New Roman"/>
          <w:lang w:val="es-ES"/>
        </w:rPr>
        <w:t>the</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Intersection</w:t>
      </w:r>
      <w:proofErr w:type="spellEnd"/>
      <w:r w:rsidRPr="00901686">
        <w:rPr>
          <w:rStyle w:val="Emphasis"/>
          <w:rFonts w:ascii="Times New Roman" w:hAnsi="Times New Roman" w:cs="Times New Roman"/>
          <w:lang w:val="es-ES"/>
        </w:rPr>
        <w:t xml:space="preserve"> of </w:t>
      </w:r>
      <w:proofErr w:type="spellStart"/>
      <w:r w:rsidRPr="00901686">
        <w:rPr>
          <w:rStyle w:val="Emphasis"/>
          <w:rFonts w:ascii="Times New Roman" w:hAnsi="Times New Roman" w:cs="Times New Roman"/>
          <w:lang w:val="es-ES"/>
        </w:rPr>
        <w:t>Gender</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Race</w:t>
      </w:r>
      <w:proofErr w:type="spellEnd"/>
      <w:r w:rsidRPr="00901686">
        <w:rPr>
          <w:rStyle w:val="Emphasis"/>
          <w:rFonts w:ascii="Times New Roman" w:hAnsi="Times New Roman" w:cs="Times New Roman"/>
          <w:lang w:val="es-ES"/>
        </w:rPr>
        <w:t xml:space="preserve">, and </w:t>
      </w:r>
      <w:proofErr w:type="spellStart"/>
      <w:r w:rsidRPr="00901686">
        <w:rPr>
          <w:rStyle w:val="Emphasis"/>
          <w:rFonts w:ascii="Times New Roman" w:hAnsi="Times New Roman" w:cs="Times New Roman"/>
          <w:lang w:val="es-ES"/>
        </w:rPr>
        <w:t>Class</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Enforcing</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the</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Chinese</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Exclusion</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Laws</w:t>
      </w:r>
      <w:proofErr w:type="spellEnd"/>
      <w:r w:rsidRPr="00901686">
        <w:rPr>
          <w:rFonts w:ascii="Times New Roman" w:hAnsi="Times New Roman" w:cs="Times New Roman"/>
          <w:lang w:val="es-ES"/>
        </w:rPr>
        <w:t xml:space="preserve">, 40 </w:t>
      </w:r>
      <w:r w:rsidRPr="00901686">
        <w:rPr>
          <w:rStyle w:val="Emphasis"/>
          <w:rFonts w:ascii="Times New Roman" w:hAnsi="Times New Roman" w:cs="Times New Roman"/>
          <w:lang w:val="es-ES"/>
        </w:rPr>
        <w:t xml:space="preserve">Law and </w:t>
      </w:r>
      <w:proofErr w:type="spellStart"/>
      <w:r w:rsidRPr="00901686">
        <w:rPr>
          <w:rStyle w:val="Emphasis"/>
          <w:rFonts w:ascii="Times New Roman" w:hAnsi="Times New Roman" w:cs="Times New Roman"/>
          <w:lang w:val="es-ES"/>
        </w:rPr>
        <w:t>Society</w:t>
      </w:r>
      <w:proofErr w:type="spellEnd"/>
      <w:r w:rsidRPr="00901686">
        <w:rPr>
          <w:rStyle w:val="Emphasis"/>
          <w:rFonts w:ascii="Times New Roman" w:hAnsi="Times New Roman" w:cs="Times New Roman"/>
          <w:lang w:val="es-ES"/>
        </w:rPr>
        <w:t xml:space="preserve"> Review</w:t>
      </w:r>
      <w:r w:rsidRPr="00901686">
        <w:rPr>
          <w:rFonts w:ascii="Times New Roman" w:hAnsi="Times New Roman" w:cs="Times New Roman"/>
          <w:lang w:val="es-ES"/>
        </w:rPr>
        <w:t xml:space="preserve"> 249 (2006). </w:t>
      </w:r>
      <w:r w:rsidRPr="00901686">
        <w:rPr>
          <w:rFonts w:ascii="Times New Roman" w:hAnsi="Times New Roman" w:cs="Times New Roman"/>
          <w:i/>
          <w:iCs/>
          <w:lang w:val="es-ES"/>
        </w:rPr>
        <w:t>Véase</w:t>
      </w:r>
      <w:r w:rsidRPr="00901686">
        <w:rPr>
          <w:rFonts w:ascii="Times New Roman" w:hAnsi="Times New Roman" w:cs="Times New Roman"/>
          <w:lang w:val="es-ES"/>
        </w:rPr>
        <w:t xml:space="preserve">, en general, Isabel </w:t>
      </w:r>
      <w:proofErr w:type="spellStart"/>
      <w:r w:rsidRPr="00901686">
        <w:rPr>
          <w:rFonts w:ascii="Times New Roman" w:hAnsi="Times New Roman" w:cs="Times New Roman"/>
          <w:lang w:val="es-ES"/>
        </w:rPr>
        <w:t>Wilkerson</w:t>
      </w:r>
      <w:proofErr w:type="spellEnd"/>
      <w:r w:rsidRPr="00901686">
        <w:rPr>
          <w:rFonts w:ascii="Times New Roman" w:hAnsi="Times New Roman" w:cs="Times New Roman"/>
          <w:lang w:val="es-ES"/>
        </w:rPr>
        <w:t xml:space="preserve">, </w:t>
      </w:r>
      <w:r w:rsidRPr="00901686">
        <w:rPr>
          <w:rStyle w:val="Emphasis"/>
          <w:rFonts w:ascii="Times New Roman" w:hAnsi="Times New Roman" w:cs="Times New Roman"/>
          <w:lang w:val="es-ES"/>
        </w:rPr>
        <w:t xml:space="preserve">Caste: </w:t>
      </w:r>
      <w:proofErr w:type="spellStart"/>
      <w:r w:rsidRPr="00901686">
        <w:rPr>
          <w:rStyle w:val="Emphasis"/>
          <w:rFonts w:ascii="Times New Roman" w:hAnsi="Times New Roman" w:cs="Times New Roman"/>
          <w:lang w:val="es-ES"/>
        </w:rPr>
        <w:t>The</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Origins</w:t>
      </w:r>
      <w:proofErr w:type="spellEnd"/>
      <w:r w:rsidRPr="00901686">
        <w:rPr>
          <w:rStyle w:val="Emphasis"/>
          <w:rFonts w:ascii="Times New Roman" w:hAnsi="Times New Roman" w:cs="Times New Roman"/>
          <w:lang w:val="es-ES"/>
        </w:rPr>
        <w:t xml:space="preserve"> of </w:t>
      </w:r>
      <w:proofErr w:type="spellStart"/>
      <w:r w:rsidRPr="00901686">
        <w:rPr>
          <w:rStyle w:val="Emphasis"/>
          <w:rFonts w:ascii="Times New Roman" w:hAnsi="Times New Roman" w:cs="Times New Roman"/>
          <w:lang w:val="es-ES"/>
        </w:rPr>
        <w:t>Our</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Discontents</w:t>
      </w:r>
      <w:proofErr w:type="spellEnd"/>
      <w:r w:rsidRPr="00901686">
        <w:rPr>
          <w:rFonts w:ascii="Times New Roman" w:hAnsi="Times New Roman" w:cs="Times New Roman"/>
          <w:lang w:val="es-ES"/>
        </w:rPr>
        <w:t xml:space="preserve"> (2020). </w:t>
      </w:r>
    </w:p>
  </w:footnote>
  <w:footnote w:id="21">
    <w:p w14:paraId="24048012" w14:textId="77777777" w:rsidR="00BE39B2" w:rsidRPr="00901686" w:rsidRDefault="00BE39B2" w:rsidP="00BE39B2">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21</w:t>
      </w:r>
      <w:r w:rsidRPr="00901686">
        <w:rPr>
          <w:rFonts w:ascii="Times New Roman" w:hAnsi="Times New Roman" w:cs="Times New Roman"/>
          <w:lang w:val="es-ES"/>
        </w:rPr>
        <w:t xml:space="preserve"> </w:t>
      </w:r>
      <w:r w:rsidRPr="00901686">
        <w:rPr>
          <w:rFonts w:ascii="Times New Roman" w:hAnsi="Times New Roman" w:cs="Times New Roman"/>
          <w:i/>
          <w:iCs/>
          <w:lang w:val="es-ES"/>
        </w:rPr>
        <w:t>Véase</w:t>
      </w:r>
      <w:r w:rsidRPr="00901686">
        <w:rPr>
          <w:rFonts w:ascii="Times New Roman" w:hAnsi="Times New Roman" w:cs="Times New Roman"/>
          <w:lang w:val="es-ES"/>
        </w:rPr>
        <w:t xml:space="preserve"> Valdés, nota 1 </w:t>
      </w:r>
      <w:r w:rsidRPr="00901686">
        <w:rPr>
          <w:rFonts w:ascii="Times New Roman" w:hAnsi="Times New Roman" w:cs="Times New Roman"/>
          <w:i/>
          <w:iCs/>
          <w:lang w:val="es-ES"/>
        </w:rPr>
        <w:t>supra</w:t>
      </w:r>
      <w:r w:rsidRPr="00901686">
        <w:rPr>
          <w:rFonts w:ascii="Times New Roman" w:hAnsi="Times New Roman" w:cs="Times New Roman"/>
          <w:lang w:val="es-ES"/>
        </w:rPr>
        <w:t xml:space="preserve">, p. 1434 (esboza los tres frentes); </w:t>
      </w:r>
      <w:r w:rsidRPr="00901686">
        <w:rPr>
          <w:rFonts w:ascii="Times New Roman" w:hAnsi="Times New Roman" w:cs="Times New Roman"/>
          <w:i/>
          <w:iCs/>
          <w:lang w:val="es-ES"/>
        </w:rPr>
        <w:t>véase</w:t>
      </w:r>
      <w:r w:rsidRPr="00901686">
        <w:rPr>
          <w:rFonts w:ascii="Times New Roman" w:hAnsi="Times New Roman" w:cs="Times New Roman"/>
          <w:lang w:val="es-ES"/>
        </w:rPr>
        <w:t xml:space="preserve"> también Ronald L. </w:t>
      </w:r>
      <w:proofErr w:type="spellStart"/>
      <w:r w:rsidRPr="00901686">
        <w:rPr>
          <w:rFonts w:ascii="Times New Roman" w:hAnsi="Times New Roman" w:cs="Times New Roman"/>
          <w:lang w:val="es-ES"/>
        </w:rPr>
        <w:t>Mize</w:t>
      </w:r>
      <w:proofErr w:type="spellEnd"/>
      <w:r w:rsidRPr="00901686">
        <w:rPr>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The</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Contemporary</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Assault</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on</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Ethnic</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Studies</w:t>
      </w:r>
      <w:proofErr w:type="spellEnd"/>
      <w:r w:rsidRPr="00901686">
        <w:rPr>
          <w:rFonts w:ascii="Times New Roman" w:hAnsi="Times New Roman" w:cs="Times New Roman"/>
          <w:lang w:val="es-ES"/>
        </w:rPr>
        <w:t xml:space="preserve">, 47 </w:t>
      </w:r>
      <w:r w:rsidRPr="00901686">
        <w:rPr>
          <w:rStyle w:val="Emphasis"/>
          <w:rFonts w:ascii="Times New Roman" w:hAnsi="Times New Roman" w:cs="Times New Roman"/>
          <w:lang w:val="es-ES"/>
        </w:rPr>
        <w:t>John Marshall Law Review</w:t>
      </w:r>
      <w:r w:rsidRPr="00901686">
        <w:rPr>
          <w:rFonts w:ascii="Times New Roman" w:hAnsi="Times New Roman" w:cs="Times New Roman"/>
          <w:lang w:val="es-ES"/>
        </w:rPr>
        <w:t xml:space="preserve"> 1189 (2014); Jean </w:t>
      </w:r>
      <w:proofErr w:type="spellStart"/>
      <w:r w:rsidRPr="00901686">
        <w:rPr>
          <w:rFonts w:ascii="Times New Roman" w:hAnsi="Times New Roman" w:cs="Times New Roman"/>
          <w:lang w:val="es-ES"/>
        </w:rPr>
        <w:t>Stefancic</w:t>
      </w:r>
      <w:proofErr w:type="spellEnd"/>
      <w:r w:rsidRPr="00901686">
        <w:rPr>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Reflections</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on</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Reform</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Litigation</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Strategic</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Intervention</w:t>
      </w:r>
      <w:proofErr w:type="spellEnd"/>
      <w:r w:rsidRPr="00901686">
        <w:rPr>
          <w:rStyle w:val="Emphasis"/>
          <w:rFonts w:ascii="Times New Roman" w:hAnsi="Times New Roman" w:cs="Times New Roman"/>
          <w:lang w:val="es-ES"/>
        </w:rPr>
        <w:t xml:space="preserve"> in </w:t>
      </w:r>
      <w:proofErr w:type="spellStart"/>
      <w:r w:rsidRPr="00901686">
        <w:rPr>
          <w:rStyle w:val="Emphasis"/>
          <w:rFonts w:ascii="Times New Roman" w:hAnsi="Times New Roman" w:cs="Times New Roman"/>
          <w:lang w:val="es-ES"/>
        </w:rPr>
        <w:t>Arizona’s</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Ethnic</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Studies</w:t>
      </w:r>
      <w:proofErr w:type="spellEnd"/>
      <w:r w:rsidRPr="00901686">
        <w:rPr>
          <w:rStyle w:val="Emphasis"/>
          <w:rFonts w:ascii="Times New Roman" w:hAnsi="Times New Roman" w:cs="Times New Roman"/>
          <w:lang w:val="es-ES"/>
        </w:rPr>
        <w:t xml:space="preserve"> Ban</w:t>
      </w:r>
      <w:r w:rsidRPr="00901686">
        <w:rPr>
          <w:rFonts w:ascii="Times New Roman" w:hAnsi="Times New Roman" w:cs="Times New Roman"/>
          <w:lang w:val="es-ES"/>
        </w:rPr>
        <w:t xml:space="preserve">, 47 </w:t>
      </w:r>
      <w:r w:rsidRPr="00901686">
        <w:rPr>
          <w:rStyle w:val="Emphasis"/>
          <w:rFonts w:ascii="Times New Roman" w:hAnsi="Times New Roman" w:cs="Times New Roman"/>
          <w:lang w:val="es-ES"/>
        </w:rPr>
        <w:t>John Marshall Law Review</w:t>
      </w:r>
      <w:r w:rsidRPr="00901686">
        <w:rPr>
          <w:rFonts w:ascii="Times New Roman" w:hAnsi="Times New Roman" w:cs="Times New Roman"/>
          <w:lang w:val="es-ES"/>
        </w:rPr>
        <w:t xml:space="preserve"> 1181 (2014).</w:t>
      </w:r>
    </w:p>
  </w:footnote>
  <w:footnote w:id="22">
    <w:p w14:paraId="0182C850" w14:textId="77777777" w:rsidR="00FF2620" w:rsidRPr="00901686" w:rsidRDefault="00FF2620" w:rsidP="00FF2620">
      <w:pPr>
        <w:pStyle w:val="FootnoteText"/>
        <w:rPr>
          <w:rFonts w:ascii="Times New Roman" w:hAnsi="Times New Roman" w:cs="Times New Roman"/>
          <w:color w:val="FF0000"/>
          <w:lang w:val="es-ES"/>
        </w:rPr>
      </w:pPr>
      <w:r w:rsidRPr="00901686">
        <w:rPr>
          <w:rStyle w:val="FootnoteReference"/>
          <w:rFonts w:ascii="Times New Roman" w:hAnsi="Times New Roman" w:cs="Times New Roman"/>
          <w:lang w:val="es-ES"/>
        </w:rPr>
        <w:t>22</w:t>
      </w:r>
      <w:r w:rsidRPr="00901686">
        <w:rPr>
          <w:rFonts w:ascii="Times New Roman" w:hAnsi="Times New Roman" w:cs="Times New Roman"/>
          <w:lang w:val="es-ES"/>
        </w:rPr>
        <w:t xml:space="preserve"> Por ejemplo, el colaborador cercano de Trump, Roger Stone, aparece en cámara diciendo: “Al diablo con el voto. Vamos directo a la violencia. Disparen a matar.” </w:t>
      </w:r>
      <w:r w:rsidRPr="00901686">
        <w:rPr>
          <w:rFonts w:ascii="Times New Roman" w:hAnsi="Times New Roman" w:cs="Times New Roman"/>
          <w:i/>
          <w:iCs/>
          <w:lang w:val="es-ES"/>
        </w:rPr>
        <w:t>Véase</w:t>
      </w:r>
      <w:r w:rsidRPr="00901686">
        <w:rPr>
          <w:rFonts w:ascii="Times New Roman" w:hAnsi="Times New Roman" w:cs="Times New Roman"/>
          <w:lang w:val="es-ES"/>
        </w:rPr>
        <w:t xml:space="preserve"> Luke </w:t>
      </w:r>
      <w:proofErr w:type="spellStart"/>
      <w:r w:rsidRPr="00901686">
        <w:rPr>
          <w:rFonts w:ascii="Times New Roman" w:hAnsi="Times New Roman" w:cs="Times New Roman"/>
          <w:lang w:val="es-ES"/>
        </w:rPr>
        <w:t>Broadwater</w:t>
      </w:r>
      <w:proofErr w:type="spellEnd"/>
      <w:r w:rsidRPr="00901686">
        <w:rPr>
          <w:rFonts w:ascii="Times New Roman" w:hAnsi="Times New Roman" w:cs="Times New Roman"/>
          <w:lang w:val="es-ES"/>
        </w:rPr>
        <w:t xml:space="preserve">, Alan </w:t>
      </w:r>
      <w:proofErr w:type="spellStart"/>
      <w:r w:rsidRPr="00901686">
        <w:rPr>
          <w:rFonts w:ascii="Times New Roman" w:hAnsi="Times New Roman" w:cs="Times New Roman"/>
          <w:lang w:val="es-ES"/>
        </w:rPr>
        <w:t>Feuer</w:t>
      </w:r>
      <w:proofErr w:type="spellEnd"/>
      <w:r w:rsidRPr="00901686">
        <w:rPr>
          <w:rFonts w:ascii="Times New Roman" w:hAnsi="Times New Roman" w:cs="Times New Roman"/>
          <w:lang w:val="es-ES"/>
        </w:rPr>
        <w:t xml:space="preserve"> y Maggie </w:t>
      </w:r>
      <w:proofErr w:type="spellStart"/>
      <w:r w:rsidRPr="00901686">
        <w:rPr>
          <w:rFonts w:ascii="Times New Roman" w:hAnsi="Times New Roman" w:cs="Times New Roman"/>
          <w:lang w:val="es-ES"/>
        </w:rPr>
        <w:t>Haberman</w:t>
      </w:r>
      <w:proofErr w:type="spellEnd"/>
      <w:r w:rsidRPr="00901686">
        <w:rPr>
          <w:rFonts w:ascii="Times New Roman" w:hAnsi="Times New Roman" w:cs="Times New Roman"/>
          <w:lang w:val="es-ES"/>
        </w:rPr>
        <w:t xml:space="preserve">, </w:t>
      </w:r>
      <w:r w:rsidRPr="00901686">
        <w:rPr>
          <w:rStyle w:val="Emphasis"/>
          <w:rFonts w:ascii="Times New Roman" w:hAnsi="Times New Roman" w:cs="Times New Roman"/>
          <w:lang w:val="es-ES"/>
        </w:rPr>
        <w:t xml:space="preserve">Roger Stone </w:t>
      </w:r>
      <w:proofErr w:type="spellStart"/>
      <w:r w:rsidRPr="00901686">
        <w:rPr>
          <w:rStyle w:val="Emphasis"/>
          <w:rFonts w:ascii="Times New Roman" w:hAnsi="Times New Roman" w:cs="Times New Roman"/>
          <w:lang w:val="es-ES"/>
        </w:rPr>
        <w:t>Promoted</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Violence</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Then</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Sought</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Pardon</w:t>
      </w:r>
      <w:proofErr w:type="spellEnd"/>
      <w:r w:rsidRPr="00901686">
        <w:rPr>
          <w:rStyle w:val="Emphasis"/>
          <w:rFonts w:ascii="Times New Roman" w:hAnsi="Times New Roman" w:cs="Times New Roman"/>
          <w:lang w:val="es-ES"/>
        </w:rPr>
        <w:t xml:space="preserve"> After Jan. </w:t>
      </w:r>
      <w:r w:rsidRPr="00901686">
        <w:rPr>
          <w:rStyle w:val="Emphasis"/>
          <w:rFonts w:ascii="Times New Roman" w:hAnsi="Times New Roman" w:cs="Times New Roman"/>
          <w:lang w:val="es-ES"/>
        </w:rPr>
        <w:t xml:space="preserve">6, </w:t>
      </w:r>
      <w:proofErr w:type="spellStart"/>
      <w:r w:rsidRPr="00901686">
        <w:rPr>
          <w:rStyle w:val="Emphasis"/>
          <w:rFonts w:ascii="Times New Roman" w:hAnsi="Times New Roman" w:cs="Times New Roman"/>
          <w:lang w:val="es-ES"/>
        </w:rPr>
        <w:t>Evidence</w:t>
      </w:r>
      <w:proofErr w:type="spellEnd"/>
      <w:r w:rsidRPr="00901686">
        <w:rPr>
          <w:rStyle w:val="Emphasis"/>
          <w:rFonts w:ascii="Times New Roman" w:hAnsi="Times New Roman" w:cs="Times New Roman"/>
          <w:lang w:val="es-ES"/>
        </w:rPr>
        <w:t xml:space="preserve"> Shows</w:t>
      </w:r>
      <w:r w:rsidRPr="00901686">
        <w:rPr>
          <w:rFonts w:ascii="Times New Roman" w:hAnsi="Times New Roman" w:cs="Times New Roman"/>
          <w:lang w:val="es-ES"/>
        </w:rPr>
        <w:t xml:space="preserve">, </w:t>
      </w:r>
      <w:r w:rsidRPr="00901686">
        <w:rPr>
          <w:rStyle w:val="Emphasis"/>
          <w:rFonts w:ascii="Times New Roman" w:hAnsi="Times New Roman" w:cs="Times New Roman"/>
          <w:lang w:val="es-ES"/>
        </w:rPr>
        <w:t>New York Times</w:t>
      </w:r>
      <w:r w:rsidRPr="00901686">
        <w:rPr>
          <w:rFonts w:ascii="Times New Roman" w:hAnsi="Times New Roman" w:cs="Times New Roman"/>
          <w:lang w:val="es-ES"/>
        </w:rPr>
        <w:t xml:space="preserve"> (27 de septiembre de 2022), </w:t>
      </w:r>
      <w:r w:rsidR="002E00A9">
        <w:fldChar w:fldCharType="begin"/>
      </w:r>
      <w:r w:rsidR="002E00A9">
        <w:instrText xml:space="preserve"> HYPERLINK "https://www.nytimes.com/2022/09/27/us/jan-6-house-committee-delays-hearing.html" \t "_new" </w:instrText>
      </w:r>
      <w:r w:rsidR="002E00A9">
        <w:fldChar w:fldCharType="separate"/>
      </w:r>
      <w:r w:rsidRPr="00901686">
        <w:rPr>
          <w:rStyle w:val="Hyperlink"/>
          <w:rFonts w:ascii="Times New Roman" w:hAnsi="Times New Roman" w:cs="Times New Roman"/>
          <w:lang w:val="es-ES"/>
        </w:rPr>
        <w:t>https://www.nytimes.com/2022/09/27/us/jan-6-house-committee-delays-hearing.html</w:t>
      </w:r>
      <w:r w:rsidR="002E00A9">
        <w:rPr>
          <w:rStyle w:val="Hyperlink"/>
          <w:rFonts w:ascii="Times New Roman" w:hAnsi="Times New Roman" w:cs="Times New Roman"/>
          <w:lang w:val="es-ES"/>
        </w:rPr>
        <w:fldChar w:fldCharType="end"/>
      </w:r>
      <w:r w:rsidRPr="00901686">
        <w:rPr>
          <w:rFonts w:ascii="Times New Roman" w:hAnsi="Times New Roman" w:cs="Times New Roman"/>
          <w:lang w:val="es-ES"/>
        </w:rPr>
        <w:t>.</w:t>
      </w:r>
      <w:r w:rsidRPr="00901686">
        <w:rPr>
          <w:rFonts w:ascii="Times New Roman" w:hAnsi="Times New Roman" w:cs="Times New Roman"/>
          <w:lang w:val="es-ES"/>
        </w:rPr>
        <w:br/>
        <w:t xml:space="preserve">De manera similar, antes de los hechos, Steve Bannon se jactó (y reconoció): “Lo que va a hacer Trump es simplemente declarar la victoria, ¿sí?... Va a declarar la victoria. Pero eso no significa que gane.” </w:t>
      </w:r>
      <w:r w:rsidRPr="00901686">
        <w:rPr>
          <w:rFonts w:ascii="Times New Roman" w:hAnsi="Times New Roman" w:cs="Times New Roman"/>
          <w:i/>
          <w:iCs/>
          <w:lang w:val="es-ES"/>
        </w:rPr>
        <w:t>Véase</w:t>
      </w:r>
      <w:r w:rsidRPr="00901686">
        <w:rPr>
          <w:rFonts w:ascii="Times New Roman" w:hAnsi="Times New Roman" w:cs="Times New Roman"/>
          <w:lang w:val="es-ES"/>
        </w:rPr>
        <w:t xml:space="preserve"> Aaron Blake, </w:t>
      </w:r>
      <w:proofErr w:type="spellStart"/>
      <w:r w:rsidRPr="00901686">
        <w:rPr>
          <w:rStyle w:val="Emphasis"/>
          <w:rFonts w:ascii="Times New Roman" w:hAnsi="Times New Roman" w:cs="Times New Roman"/>
          <w:lang w:val="es-ES"/>
        </w:rPr>
        <w:t>The</w:t>
      </w:r>
      <w:proofErr w:type="spellEnd"/>
      <w:r w:rsidRPr="00901686">
        <w:rPr>
          <w:rStyle w:val="Emphasis"/>
          <w:rFonts w:ascii="Times New Roman" w:hAnsi="Times New Roman" w:cs="Times New Roman"/>
          <w:lang w:val="es-ES"/>
        </w:rPr>
        <w:t xml:space="preserve"> </w:t>
      </w:r>
      <w:proofErr w:type="spellStart"/>
      <w:r w:rsidRPr="00901686">
        <w:rPr>
          <w:rStyle w:val="Emphasis"/>
          <w:rFonts w:ascii="Times New Roman" w:hAnsi="Times New Roman" w:cs="Times New Roman"/>
          <w:lang w:val="es-ES"/>
        </w:rPr>
        <w:t>Significance</w:t>
      </w:r>
      <w:proofErr w:type="spellEnd"/>
      <w:r w:rsidRPr="00901686">
        <w:rPr>
          <w:rStyle w:val="Emphasis"/>
          <w:rFonts w:ascii="Times New Roman" w:hAnsi="Times New Roman" w:cs="Times New Roman"/>
          <w:lang w:val="es-ES"/>
        </w:rPr>
        <w:t xml:space="preserve"> of </w:t>
      </w:r>
      <w:proofErr w:type="spellStart"/>
      <w:r w:rsidRPr="00901686">
        <w:rPr>
          <w:rStyle w:val="Emphasis"/>
          <w:rFonts w:ascii="Times New Roman" w:hAnsi="Times New Roman" w:cs="Times New Roman"/>
          <w:lang w:val="es-ES"/>
        </w:rPr>
        <w:t>the</w:t>
      </w:r>
      <w:proofErr w:type="spellEnd"/>
      <w:r w:rsidRPr="00901686">
        <w:rPr>
          <w:rStyle w:val="Emphasis"/>
          <w:rFonts w:ascii="Times New Roman" w:hAnsi="Times New Roman" w:cs="Times New Roman"/>
          <w:lang w:val="es-ES"/>
        </w:rPr>
        <w:t xml:space="preserve"> New Steve Bannon Tape</w:t>
      </w:r>
      <w:r w:rsidRPr="00901686">
        <w:rPr>
          <w:rFonts w:ascii="Times New Roman" w:hAnsi="Times New Roman" w:cs="Times New Roman"/>
          <w:lang w:val="es-ES"/>
        </w:rPr>
        <w:t xml:space="preserve">, </w:t>
      </w:r>
      <w:r w:rsidRPr="00901686">
        <w:rPr>
          <w:rStyle w:val="Emphasis"/>
          <w:rFonts w:ascii="Times New Roman" w:hAnsi="Times New Roman" w:cs="Times New Roman"/>
          <w:lang w:val="es-ES"/>
        </w:rPr>
        <w:t>Washington Post</w:t>
      </w:r>
      <w:r w:rsidRPr="00901686">
        <w:rPr>
          <w:rFonts w:ascii="Times New Roman" w:hAnsi="Times New Roman" w:cs="Times New Roman"/>
          <w:lang w:val="es-ES"/>
        </w:rPr>
        <w:t xml:space="preserve"> (13 de julio de 2022, 4:42 p.m.), </w:t>
      </w:r>
      <w:hyperlink r:id="rId1" w:history="1">
        <w:r w:rsidRPr="00901686">
          <w:rPr>
            <w:rStyle w:val="Hyperlink"/>
            <w:rFonts w:ascii="Times New Roman" w:hAnsi="Times New Roman" w:cs="Times New Roman"/>
            <w:lang w:val="es-ES"/>
          </w:rPr>
          <w:t>https://www.washingtonpost.com/politics/2022/07/13/significance-new-steve-bannon-tape/</w:t>
        </w:r>
      </w:hyperlink>
      <w:r w:rsidRPr="00901686">
        <w:rPr>
          <w:rFonts w:ascii="Times New Roman" w:hAnsi="Times New Roman" w:cs="Times New Roman"/>
          <w:lang w:val="es-ES"/>
        </w:rPr>
        <w:t>. Confesiones públicas como estas, provenientes de voces internas, confirman cuán profundamente corrupta y corrosiva se ha vuelto esta guerra unilateral.</w:t>
      </w:r>
    </w:p>
  </w:footnote>
  <w:footnote w:id="23">
    <w:p w14:paraId="7E7E9584" w14:textId="77777777" w:rsidR="008A5839" w:rsidRPr="00901686" w:rsidRDefault="00685D36" w:rsidP="00685D36">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24</w:t>
      </w:r>
      <w:r w:rsidRPr="00901686">
        <w:rPr>
          <w:rFonts w:ascii="Times New Roman" w:hAnsi="Times New Roman" w:cs="Times New Roman"/>
          <w:lang w:val="es-ES"/>
        </w:rPr>
        <w:t xml:space="preserve"> </w:t>
      </w:r>
      <w:r w:rsidR="000A5CD5" w:rsidRPr="00901686">
        <w:rPr>
          <w:rFonts w:ascii="Times New Roman" w:hAnsi="Times New Roman" w:cs="Times New Roman"/>
          <w:i/>
          <w:iCs/>
          <w:lang w:val="es-ES"/>
        </w:rPr>
        <w:t>Véase</w:t>
      </w:r>
      <w:r w:rsidR="000A5CD5" w:rsidRPr="00901686">
        <w:rPr>
          <w:rFonts w:ascii="Times New Roman" w:hAnsi="Times New Roman" w:cs="Times New Roman"/>
          <w:lang w:val="es-ES"/>
        </w:rPr>
        <w:t xml:space="preserve"> </w:t>
      </w:r>
      <w:proofErr w:type="spellStart"/>
      <w:r w:rsidR="000A5CD5" w:rsidRPr="00901686">
        <w:rPr>
          <w:rStyle w:val="Emphasis"/>
          <w:rFonts w:ascii="Times New Roman" w:hAnsi="Times New Roman" w:cs="Times New Roman"/>
          <w:lang w:val="es-ES"/>
        </w:rPr>
        <w:t>Dobbs</w:t>
      </w:r>
      <w:proofErr w:type="spellEnd"/>
      <w:r w:rsidR="000A5CD5" w:rsidRPr="00901686">
        <w:rPr>
          <w:rStyle w:val="Emphasis"/>
          <w:rFonts w:ascii="Times New Roman" w:hAnsi="Times New Roman" w:cs="Times New Roman"/>
          <w:lang w:val="es-ES"/>
        </w:rPr>
        <w:t xml:space="preserve"> v. Jackson </w:t>
      </w:r>
      <w:proofErr w:type="spellStart"/>
      <w:r w:rsidR="000A5CD5" w:rsidRPr="00901686">
        <w:rPr>
          <w:rStyle w:val="Emphasis"/>
          <w:rFonts w:ascii="Times New Roman" w:hAnsi="Times New Roman" w:cs="Times New Roman"/>
          <w:lang w:val="es-ES"/>
        </w:rPr>
        <w:t>Women’s</w:t>
      </w:r>
      <w:proofErr w:type="spellEnd"/>
      <w:r w:rsidR="000A5CD5" w:rsidRPr="00901686">
        <w:rPr>
          <w:rStyle w:val="Emphasis"/>
          <w:rFonts w:ascii="Times New Roman" w:hAnsi="Times New Roman" w:cs="Times New Roman"/>
          <w:lang w:val="es-ES"/>
        </w:rPr>
        <w:t xml:space="preserve"> </w:t>
      </w:r>
      <w:proofErr w:type="spellStart"/>
      <w:r w:rsidR="000A5CD5" w:rsidRPr="00901686">
        <w:rPr>
          <w:rStyle w:val="Emphasis"/>
          <w:rFonts w:ascii="Times New Roman" w:hAnsi="Times New Roman" w:cs="Times New Roman"/>
          <w:lang w:val="es-ES"/>
        </w:rPr>
        <w:t>Health</w:t>
      </w:r>
      <w:proofErr w:type="spellEnd"/>
      <w:r w:rsidR="000A5CD5" w:rsidRPr="00901686">
        <w:rPr>
          <w:rStyle w:val="Emphasis"/>
          <w:rFonts w:ascii="Times New Roman" w:hAnsi="Times New Roman" w:cs="Times New Roman"/>
          <w:lang w:val="es-ES"/>
        </w:rPr>
        <w:t xml:space="preserve"> </w:t>
      </w:r>
      <w:proofErr w:type="spellStart"/>
      <w:r w:rsidR="000A5CD5" w:rsidRPr="00901686">
        <w:rPr>
          <w:rStyle w:val="Emphasis"/>
          <w:rFonts w:ascii="Times New Roman" w:hAnsi="Times New Roman" w:cs="Times New Roman"/>
          <w:lang w:val="es-ES"/>
        </w:rPr>
        <w:t>Organization</w:t>
      </w:r>
      <w:proofErr w:type="spellEnd"/>
      <w:r w:rsidR="000A5CD5" w:rsidRPr="00901686">
        <w:rPr>
          <w:rFonts w:ascii="Times New Roman" w:hAnsi="Times New Roman" w:cs="Times New Roman"/>
          <w:lang w:val="es-ES"/>
        </w:rPr>
        <w:t xml:space="preserve">, 597 U.S. ___ (2022). Los seis jueces designados que </w:t>
      </w:r>
    </w:p>
    <w:p w14:paraId="155F804F" w14:textId="304C69AB" w:rsidR="00685D36" w:rsidRPr="00901686" w:rsidRDefault="000A5CD5" w:rsidP="00685D36">
      <w:pPr>
        <w:pStyle w:val="FootnoteText"/>
        <w:rPr>
          <w:rFonts w:ascii="Times New Roman" w:hAnsi="Times New Roman" w:cs="Times New Roman"/>
          <w:i/>
          <w:lang w:val="es-ES"/>
        </w:rPr>
      </w:pPr>
      <w:r w:rsidRPr="00901686">
        <w:rPr>
          <w:rFonts w:ascii="Times New Roman" w:hAnsi="Times New Roman" w:cs="Times New Roman"/>
          <w:lang w:val="es-ES"/>
        </w:rPr>
        <w:t xml:space="preserve">firmaron esa decisión, todos republicanos, fueron: </w:t>
      </w:r>
      <w:proofErr w:type="spellStart"/>
      <w:r w:rsidRPr="00901686">
        <w:rPr>
          <w:rFonts w:ascii="Times New Roman" w:hAnsi="Times New Roman" w:cs="Times New Roman"/>
          <w:lang w:val="es-ES"/>
        </w:rPr>
        <w:t>Alito</w:t>
      </w:r>
      <w:proofErr w:type="spellEnd"/>
      <w:r w:rsidRPr="00901686">
        <w:rPr>
          <w:rFonts w:ascii="Times New Roman" w:hAnsi="Times New Roman" w:cs="Times New Roman"/>
          <w:lang w:val="es-ES"/>
        </w:rPr>
        <w:t xml:space="preserve">, Roberts, Kavanaugh, Barrett, </w:t>
      </w:r>
      <w:proofErr w:type="spellStart"/>
      <w:r w:rsidRPr="00901686">
        <w:rPr>
          <w:rFonts w:ascii="Times New Roman" w:hAnsi="Times New Roman" w:cs="Times New Roman"/>
          <w:lang w:val="es-ES"/>
        </w:rPr>
        <w:t>Gorsuch</w:t>
      </w:r>
      <w:proofErr w:type="spellEnd"/>
      <w:r w:rsidRPr="00901686">
        <w:rPr>
          <w:rFonts w:ascii="Times New Roman" w:hAnsi="Times New Roman" w:cs="Times New Roman"/>
          <w:lang w:val="es-ES"/>
        </w:rPr>
        <w:t xml:space="preserve"> y Thomas.</w:t>
      </w:r>
    </w:p>
  </w:footnote>
  <w:footnote w:id="24">
    <w:p w14:paraId="29E0284F" w14:textId="2DA1FDCA" w:rsidR="00D658B5" w:rsidRPr="00901686" w:rsidRDefault="00D658B5" w:rsidP="00D658B5">
      <w:pPr>
        <w:spacing w:after="0" w:line="240" w:lineRule="auto"/>
        <w:rPr>
          <w:rFonts w:ascii="Times New Roman" w:hAnsi="Times New Roman" w:cs="Times New Roman"/>
          <w:sz w:val="20"/>
          <w:szCs w:val="20"/>
          <w:lang w:val="es-ES"/>
        </w:rPr>
      </w:pPr>
      <w:r w:rsidRPr="00901686">
        <w:rPr>
          <w:rStyle w:val="FootnoteReference"/>
          <w:rFonts w:ascii="Times New Roman" w:hAnsi="Times New Roman" w:cs="Times New Roman"/>
          <w:sz w:val="20"/>
          <w:szCs w:val="20"/>
          <w:lang w:val="es-ES"/>
        </w:rPr>
        <w:t>25</w:t>
      </w:r>
      <w:r w:rsidRPr="00901686">
        <w:rPr>
          <w:rFonts w:ascii="Times New Roman" w:hAnsi="Times New Roman" w:cs="Times New Roman"/>
          <w:sz w:val="20"/>
          <w:szCs w:val="20"/>
          <w:lang w:val="es-ES"/>
        </w:rPr>
        <w:t xml:space="preserve"> </w:t>
      </w:r>
      <w:r w:rsidR="00C96B0D" w:rsidRPr="00901686">
        <w:rPr>
          <w:rFonts w:ascii="Times New Roman" w:hAnsi="Times New Roman" w:cs="Times New Roman"/>
          <w:sz w:val="20"/>
          <w:szCs w:val="20"/>
          <w:lang w:val="es-ES"/>
        </w:rPr>
        <w:t xml:space="preserve">Patrick J. Buchanan, aspirante presidencial republicano en 1992, declaró formalmente la guerra desde el podio de la </w:t>
      </w:r>
      <w:r w:rsidR="00C96B0D" w:rsidRPr="00901686">
        <w:rPr>
          <w:rStyle w:val="Emphasis"/>
          <w:rFonts w:ascii="Times New Roman" w:hAnsi="Times New Roman" w:cs="Times New Roman"/>
          <w:sz w:val="20"/>
          <w:szCs w:val="20"/>
          <w:lang w:val="es-ES"/>
        </w:rPr>
        <w:t xml:space="preserve">Republican </w:t>
      </w:r>
      <w:proofErr w:type="spellStart"/>
      <w:r w:rsidR="00C96B0D" w:rsidRPr="00901686">
        <w:rPr>
          <w:rStyle w:val="Emphasis"/>
          <w:rFonts w:ascii="Times New Roman" w:hAnsi="Times New Roman" w:cs="Times New Roman"/>
          <w:sz w:val="20"/>
          <w:szCs w:val="20"/>
          <w:lang w:val="es-ES"/>
        </w:rPr>
        <w:t>National</w:t>
      </w:r>
      <w:proofErr w:type="spellEnd"/>
      <w:r w:rsidR="00C96B0D" w:rsidRPr="00901686">
        <w:rPr>
          <w:rStyle w:val="Emphasis"/>
          <w:rFonts w:ascii="Times New Roman" w:hAnsi="Times New Roman" w:cs="Times New Roman"/>
          <w:sz w:val="20"/>
          <w:szCs w:val="20"/>
          <w:lang w:val="es-ES"/>
        </w:rPr>
        <w:t xml:space="preserve"> </w:t>
      </w:r>
      <w:proofErr w:type="spellStart"/>
      <w:r w:rsidR="00C96B0D" w:rsidRPr="00901686">
        <w:rPr>
          <w:rStyle w:val="Emphasis"/>
          <w:rFonts w:ascii="Times New Roman" w:hAnsi="Times New Roman" w:cs="Times New Roman"/>
          <w:sz w:val="20"/>
          <w:szCs w:val="20"/>
          <w:lang w:val="es-ES"/>
        </w:rPr>
        <w:t>Convention</w:t>
      </w:r>
      <w:proofErr w:type="spellEnd"/>
      <w:r w:rsidR="00C96B0D" w:rsidRPr="00901686">
        <w:rPr>
          <w:rFonts w:ascii="Times New Roman" w:hAnsi="Times New Roman" w:cs="Times New Roman"/>
          <w:sz w:val="20"/>
          <w:szCs w:val="20"/>
          <w:lang w:val="es-ES"/>
        </w:rPr>
        <w:t xml:space="preserve">, afirmando que el objetivo de esa agresión era recuperar el “alma” de la nación. </w:t>
      </w:r>
      <w:r w:rsidR="00C96B0D" w:rsidRPr="00901686">
        <w:rPr>
          <w:rFonts w:ascii="Times New Roman" w:hAnsi="Times New Roman" w:cs="Times New Roman"/>
          <w:i/>
          <w:iCs/>
          <w:sz w:val="20"/>
          <w:szCs w:val="20"/>
          <w:lang w:val="es-ES"/>
        </w:rPr>
        <w:t>Véase</w:t>
      </w:r>
      <w:r w:rsidR="00C96B0D" w:rsidRPr="00901686">
        <w:rPr>
          <w:rFonts w:ascii="Times New Roman" w:hAnsi="Times New Roman" w:cs="Times New Roman"/>
          <w:sz w:val="20"/>
          <w:szCs w:val="20"/>
          <w:lang w:val="es-ES"/>
        </w:rPr>
        <w:t xml:space="preserve"> Chris Black, </w:t>
      </w:r>
      <w:r w:rsidR="00C96B0D" w:rsidRPr="00901686">
        <w:rPr>
          <w:rStyle w:val="Emphasis"/>
          <w:rFonts w:ascii="Times New Roman" w:hAnsi="Times New Roman" w:cs="Times New Roman"/>
          <w:sz w:val="20"/>
          <w:szCs w:val="20"/>
          <w:lang w:val="es-ES"/>
        </w:rPr>
        <w:t xml:space="preserve">Buchanan </w:t>
      </w:r>
      <w:proofErr w:type="spellStart"/>
      <w:r w:rsidR="00C96B0D" w:rsidRPr="00901686">
        <w:rPr>
          <w:rStyle w:val="Emphasis"/>
          <w:rFonts w:ascii="Times New Roman" w:hAnsi="Times New Roman" w:cs="Times New Roman"/>
          <w:sz w:val="20"/>
          <w:szCs w:val="20"/>
          <w:lang w:val="es-ES"/>
        </w:rPr>
        <w:t>Beckons</w:t>
      </w:r>
      <w:proofErr w:type="spellEnd"/>
      <w:r w:rsidR="00C96B0D" w:rsidRPr="00901686">
        <w:rPr>
          <w:rStyle w:val="Emphasis"/>
          <w:rFonts w:ascii="Times New Roman" w:hAnsi="Times New Roman" w:cs="Times New Roman"/>
          <w:sz w:val="20"/>
          <w:szCs w:val="20"/>
          <w:lang w:val="es-ES"/>
        </w:rPr>
        <w:t xml:space="preserve"> Conservatives </w:t>
      </w:r>
      <w:proofErr w:type="spellStart"/>
      <w:r w:rsidR="00C96B0D" w:rsidRPr="00901686">
        <w:rPr>
          <w:rStyle w:val="Emphasis"/>
          <w:rFonts w:ascii="Times New Roman" w:hAnsi="Times New Roman" w:cs="Times New Roman"/>
          <w:sz w:val="20"/>
          <w:szCs w:val="20"/>
          <w:lang w:val="es-ES"/>
        </w:rPr>
        <w:t>to</w:t>
      </w:r>
      <w:proofErr w:type="spellEnd"/>
      <w:r w:rsidR="00C96B0D" w:rsidRPr="00901686">
        <w:rPr>
          <w:rStyle w:val="Emphasis"/>
          <w:rFonts w:ascii="Times New Roman" w:hAnsi="Times New Roman" w:cs="Times New Roman"/>
          <w:sz w:val="20"/>
          <w:szCs w:val="20"/>
          <w:lang w:val="es-ES"/>
        </w:rPr>
        <w:t xml:space="preserve"> Come "Home"</w:t>
      </w:r>
      <w:r w:rsidR="00C96B0D" w:rsidRPr="00901686">
        <w:rPr>
          <w:rFonts w:ascii="Times New Roman" w:hAnsi="Times New Roman" w:cs="Times New Roman"/>
          <w:sz w:val="20"/>
          <w:szCs w:val="20"/>
          <w:lang w:val="es-ES"/>
        </w:rPr>
        <w:t xml:space="preserve">, </w:t>
      </w:r>
      <w:r w:rsidR="00C96B0D" w:rsidRPr="00901686">
        <w:rPr>
          <w:rStyle w:val="Emphasis"/>
          <w:rFonts w:ascii="Times New Roman" w:hAnsi="Times New Roman" w:cs="Times New Roman"/>
          <w:sz w:val="20"/>
          <w:szCs w:val="20"/>
          <w:lang w:val="es-ES"/>
        </w:rPr>
        <w:t xml:space="preserve">Boston </w:t>
      </w:r>
      <w:proofErr w:type="spellStart"/>
      <w:r w:rsidR="00C96B0D" w:rsidRPr="00901686">
        <w:rPr>
          <w:rStyle w:val="Emphasis"/>
          <w:rFonts w:ascii="Times New Roman" w:hAnsi="Times New Roman" w:cs="Times New Roman"/>
          <w:sz w:val="20"/>
          <w:szCs w:val="20"/>
          <w:lang w:val="es-ES"/>
        </w:rPr>
        <w:t>Globe</w:t>
      </w:r>
      <w:proofErr w:type="spellEnd"/>
      <w:r w:rsidR="00C96B0D" w:rsidRPr="00901686">
        <w:rPr>
          <w:rFonts w:ascii="Times New Roman" w:hAnsi="Times New Roman" w:cs="Times New Roman"/>
          <w:sz w:val="20"/>
          <w:szCs w:val="20"/>
          <w:lang w:val="es-ES"/>
        </w:rPr>
        <w:t xml:space="preserve">, 18 de agosto de 1992, p. A12; Paul Galloway, </w:t>
      </w:r>
      <w:proofErr w:type="spellStart"/>
      <w:r w:rsidR="00C96B0D" w:rsidRPr="00901686">
        <w:rPr>
          <w:rStyle w:val="Emphasis"/>
          <w:rFonts w:ascii="Times New Roman" w:hAnsi="Times New Roman" w:cs="Times New Roman"/>
          <w:sz w:val="20"/>
          <w:szCs w:val="20"/>
          <w:lang w:val="es-ES"/>
        </w:rPr>
        <w:t>Divided</w:t>
      </w:r>
      <w:proofErr w:type="spellEnd"/>
      <w:r w:rsidR="00C96B0D" w:rsidRPr="00901686">
        <w:rPr>
          <w:rStyle w:val="Emphasis"/>
          <w:rFonts w:ascii="Times New Roman" w:hAnsi="Times New Roman" w:cs="Times New Roman"/>
          <w:sz w:val="20"/>
          <w:szCs w:val="20"/>
          <w:lang w:val="es-ES"/>
        </w:rPr>
        <w:t xml:space="preserve"> </w:t>
      </w:r>
      <w:proofErr w:type="spellStart"/>
      <w:r w:rsidR="00C96B0D" w:rsidRPr="00901686">
        <w:rPr>
          <w:rStyle w:val="Emphasis"/>
          <w:rFonts w:ascii="Times New Roman" w:hAnsi="Times New Roman" w:cs="Times New Roman"/>
          <w:sz w:val="20"/>
          <w:szCs w:val="20"/>
          <w:lang w:val="es-ES"/>
        </w:rPr>
        <w:t>We</w:t>
      </w:r>
      <w:proofErr w:type="spellEnd"/>
      <w:r w:rsidR="00C96B0D" w:rsidRPr="00901686">
        <w:rPr>
          <w:rStyle w:val="Emphasis"/>
          <w:rFonts w:ascii="Times New Roman" w:hAnsi="Times New Roman" w:cs="Times New Roman"/>
          <w:sz w:val="20"/>
          <w:szCs w:val="20"/>
          <w:lang w:val="es-ES"/>
        </w:rPr>
        <w:t xml:space="preserve"> Stand: </w:t>
      </w:r>
      <w:proofErr w:type="spellStart"/>
      <w:r w:rsidR="00C96B0D" w:rsidRPr="00901686">
        <w:rPr>
          <w:rStyle w:val="Emphasis"/>
          <w:rFonts w:ascii="Times New Roman" w:hAnsi="Times New Roman" w:cs="Times New Roman"/>
          <w:sz w:val="20"/>
          <w:szCs w:val="20"/>
          <w:lang w:val="es-ES"/>
        </w:rPr>
        <w:t>Today's</w:t>
      </w:r>
      <w:proofErr w:type="spellEnd"/>
      <w:r w:rsidR="00C96B0D" w:rsidRPr="00901686">
        <w:rPr>
          <w:rStyle w:val="Emphasis"/>
          <w:rFonts w:ascii="Times New Roman" w:hAnsi="Times New Roman" w:cs="Times New Roman"/>
          <w:sz w:val="20"/>
          <w:szCs w:val="20"/>
          <w:lang w:val="es-ES"/>
        </w:rPr>
        <w:t xml:space="preserve"> "Cultural </w:t>
      </w:r>
      <w:proofErr w:type="spellStart"/>
      <w:r w:rsidR="00C96B0D" w:rsidRPr="00901686">
        <w:rPr>
          <w:rStyle w:val="Emphasis"/>
          <w:rFonts w:ascii="Times New Roman" w:hAnsi="Times New Roman" w:cs="Times New Roman"/>
          <w:sz w:val="20"/>
          <w:szCs w:val="20"/>
          <w:lang w:val="es-ES"/>
        </w:rPr>
        <w:t>War</w:t>
      </w:r>
      <w:proofErr w:type="spellEnd"/>
      <w:r w:rsidR="00C96B0D" w:rsidRPr="00901686">
        <w:rPr>
          <w:rStyle w:val="Emphasis"/>
          <w:rFonts w:ascii="Times New Roman" w:hAnsi="Times New Roman" w:cs="Times New Roman"/>
          <w:sz w:val="20"/>
          <w:szCs w:val="20"/>
          <w:lang w:val="es-ES"/>
        </w:rPr>
        <w:t xml:space="preserve">" </w:t>
      </w:r>
      <w:proofErr w:type="spellStart"/>
      <w:r w:rsidR="00C96B0D" w:rsidRPr="00901686">
        <w:rPr>
          <w:rStyle w:val="Emphasis"/>
          <w:rFonts w:ascii="Times New Roman" w:hAnsi="Times New Roman" w:cs="Times New Roman"/>
          <w:sz w:val="20"/>
          <w:szCs w:val="20"/>
          <w:lang w:val="es-ES"/>
        </w:rPr>
        <w:t>Goes</w:t>
      </w:r>
      <w:proofErr w:type="spellEnd"/>
      <w:r w:rsidR="00C96B0D" w:rsidRPr="00901686">
        <w:rPr>
          <w:rStyle w:val="Emphasis"/>
          <w:rFonts w:ascii="Times New Roman" w:hAnsi="Times New Roman" w:cs="Times New Roman"/>
          <w:sz w:val="20"/>
          <w:szCs w:val="20"/>
          <w:lang w:val="es-ES"/>
        </w:rPr>
        <w:t xml:space="preserve"> </w:t>
      </w:r>
      <w:proofErr w:type="spellStart"/>
      <w:r w:rsidR="00C96B0D" w:rsidRPr="00901686">
        <w:rPr>
          <w:rStyle w:val="Emphasis"/>
          <w:rFonts w:ascii="Times New Roman" w:hAnsi="Times New Roman" w:cs="Times New Roman"/>
          <w:sz w:val="20"/>
          <w:szCs w:val="20"/>
          <w:lang w:val="es-ES"/>
        </w:rPr>
        <w:t>Deeper</w:t>
      </w:r>
      <w:proofErr w:type="spellEnd"/>
      <w:r w:rsidR="00C96B0D" w:rsidRPr="00901686">
        <w:rPr>
          <w:rStyle w:val="Emphasis"/>
          <w:rFonts w:ascii="Times New Roman" w:hAnsi="Times New Roman" w:cs="Times New Roman"/>
          <w:sz w:val="20"/>
          <w:szCs w:val="20"/>
          <w:lang w:val="es-ES"/>
        </w:rPr>
        <w:t xml:space="preserve"> </w:t>
      </w:r>
      <w:proofErr w:type="spellStart"/>
      <w:r w:rsidR="00C96B0D" w:rsidRPr="00901686">
        <w:rPr>
          <w:rStyle w:val="Emphasis"/>
          <w:rFonts w:ascii="Times New Roman" w:hAnsi="Times New Roman" w:cs="Times New Roman"/>
          <w:sz w:val="20"/>
          <w:szCs w:val="20"/>
          <w:lang w:val="es-ES"/>
        </w:rPr>
        <w:t>Than</w:t>
      </w:r>
      <w:proofErr w:type="spellEnd"/>
      <w:r w:rsidR="00C96B0D" w:rsidRPr="00901686">
        <w:rPr>
          <w:rStyle w:val="Emphasis"/>
          <w:rFonts w:ascii="Times New Roman" w:hAnsi="Times New Roman" w:cs="Times New Roman"/>
          <w:sz w:val="20"/>
          <w:szCs w:val="20"/>
          <w:lang w:val="es-ES"/>
        </w:rPr>
        <w:t xml:space="preserve"> </w:t>
      </w:r>
      <w:proofErr w:type="spellStart"/>
      <w:r w:rsidR="00C96B0D" w:rsidRPr="00901686">
        <w:rPr>
          <w:rStyle w:val="Emphasis"/>
          <w:rFonts w:ascii="Times New Roman" w:hAnsi="Times New Roman" w:cs="Times New Roman"/>
          <w:sz w:val="20"/>
          <w:szCs w:val="20"/>
          <w:lang w:val="es-ES"/>
        </w:rPr>
        <w:t>Political</w:t>
      </w:r>
      <w:proofErr w:type="spellEnd"/>
      <w:r w:rsidR="00C96B0D" w:rsidRPr="00901686">
        <w:rPr>
          <w:rStyle w:val="Emphasis"/>
          <w:rFonts w:ascii="Times New Roman" w:hAnsi="Times New Roman" w:cs="Times New Roman"/>
          <w:sz w:val="20"/>
          <w:szCs w:val="20"/>
          <w:lang w:val="es-ES"/>
        </w:rPr>
        <w:t xml:space="preserve"> Slogans</w:t>
      </w:r>
      <w:r w:rsidR="00C96B0D" w:rsidRPr="00901686">
        <w:rPr>
          <w:rFonts w:ascii="Times New Roman" w:hAnsi="Times New Roman" w:cs="Times New Roman"/>
          <w:sz w:val="20"/>
          <w:szCs w:val="20"/>
          <w:lang w:val="es-ES"/>
        </w:rPr>
        <w:t xml:space="preserve">, </w:t>
      </w:r>
      <w:r w:rsidR="00C96B0D" w:rsidRPr="00901686">
        <w:rPr>
          <w:rStyle w:val="Emphasis"/>
          <w:rFonts w:ascii="Times New Roman" w:hAnsi="Times New Roman" w:cs="Times New Roman"/>
          <w:sz w:val="20"/>
          <w:szCs w:val="20"/>
          <w:lang w:val="es-ES"/>
        </w:rPr>
        <w:t xml:space="preserve">Chicago </w:t>
      </w:r>
      <w:proofErr w:type="spellStart"/>
      <w:r w:rsidR="00C96B0D" w:rsidRPr="00901686">
        <w:rPr>
          <w:rStyle w:val="Emphasis"/>
          <w:rFonts w:ascii="Times New Roman" w:hAnsi="Times New Roman" w:cs="Times New Roman"/>
          <w:sz w:val="20"/>
          <w:szCs w:val="20"/>
          <w:lang w:val="es-ES"/>
        </w:rPr>
        <w:t>Tribune</w:t>
      </w:r>
      <w:proofErr w:type="spellEnd"/>
      <w:r w:rsidR="00C96B0D" w:rsidRPr="00901686">
        <w:rPr>
          <w:rFonts w:ascii="Times New Roman" w:hAnsi="Times New Roman" w:cs="Times New Roman"/>
          <w:sz w:val="20"/>
          <w:szCs w:val="20"/>
          <w:lang w:val="es-ES"/>
        </w:rPr>
        <w:t>, 28 de octubre de 1992, sección C1.</w:t>
      </w:r>
    </w:p>
  </w:footnote>
  <w:footnote w:id="25">
    <w:p w14:paraId="3218AB2A" w14:textId="4F7387B0" w:rsidR="00831A65" w:rsidRPr="00901686" w:rsidRDefault="00831A65" w:rsidP="00831A65">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26</w:t>
      </w:r>
      <w:r w:rsidRPr="00901686">
        <w:rPr>
          <w:rFonts w:ascii="Times New Roman" w:hAnsi="Times New Roman" w:cs="Times New Roman"/>
          <w:lang w:val="es-ES"/>
        </w:rPr>
        <w:t xml:space="preserve"> </w:t>
      </w:r>
      <w:r w:rsidR="00997A7D" w:rsidRPr="00901686">
        <w:rPr>
          <w:rFonts w:ascii="Times New Roman" w:hAnsi="Times New Roman" w:cs="Times New Roman"/>
          <w:i/>
          <w:iCs/>
          <w:lang w:val="es-ES"/>
        </w:rPr>
        <w:t>Véase</w:t>
      </w:r>
      <w:r w:rsidR="00997A7D" w:rsidRPr="00901686">
        <w:rPr>
          <w:rFonts w:ascii="Times New Roman" w:hAnsi="Times New Roman" w:cs="Times New Roman"/>
          <w:lang w:val="es-ES"/>
        </w:rPr>
        <w:t xml:space="preserve">, por ejemplo, Renée </w:t>
      </w:r>
      <w:proofErr w:type="spellStart"/>
      <w:r w:rsidR="00997A7D" w:rsidRPr="00901686">
        <w:rPr>
          <w:rFonts w:ascii="Times New Roman" w:hAnsi="Times New Roman" w:cs="Times New Roman"/>
          <w:lang w:val="es-ES"/>
        </w:rPr>
        <w:t>DiResta</w:t>
      </w:r>
      <w:proofErr w:type="spellEnd"/>
      <w:r w:rsidR="00997A7D" w:rsidRPr="00901686">
        <w:rPr>
          <w:rFonts w:ascii="Times New Roman" w:hAnsi="Times New Roman" w:cs="Times New Roman"/>
          <w:lang w:val="es-ES"/>
        </w:rPr>
        <w:t xml:space="preserve">, </w:t>
      </w:r>
      <w:proofErr w:type="spellStart"/>
      <w:r w:rsidR="00997A7D" w:rsidRPr="00901686">
        <w:rPr>
          <w:rStyle w:val="Emphasis"/>
          <w:rFonts w:ascii="Times New Roman" w:hAnsi="Times New Roman" w:cs="Times New Roman"/>
          <w:lang w:val="es-ES"/>
        </w:rPr>
        <w:t>The</w:t>
      </w:r>
      <w:proofErr w:type="spellEnd"/>
      <w:r w:rsidR="00997A7D" w:rsidRPr="00901686">
        <w:rPr>
          <w:rStyle w:val="Emphasis"/>
          <w:rFonts w:ascii="Times New Roman" w:hAnsi="Times New Roman" w:cs="Times New Roman"/>
          <w:lang w:val="es-ES"/>
        </w:rPr>
        <w:t xml:space="preserve"> </w:t>
      </w:r>
      <w:proofErr w:type="spellStart"/>
      <w:r w:rsidR="00997A7D" w:rsidRPr="00901686">
        <w:rPr>
          <w:rStyle w:val="Emphasis"/>
          <w:rFonts w:ascii="Times New Roman" w:hAnsi="Times New Roman" w:cs="Times New Roman"/>
          <w:lang w:val="es-ES"/>
        </w:rPr>
        <w:t>Misinformation</w:t>
      </w:r>
      <w:proofErr w:type="spellEnd"/>
      <w:r w:rsidR="00997A7D" w:rsidRPr="00901686">
        <w:rPr>
          <w:rStyle w:val="Emphasis"/>
          <w:rFonts w:ascii="Times New Roman" w:hAnsi="Times New Roman" w:cs="Times New Roman"/>
          <w:lang w:val="es-ES"/>
        </w:rPr>
        <w:t xml:space="preserve"> </w:t>
      </w:r>
      <w:proofErr w:type="spellStart"/>
      <w:r w:rsidR="00997A7D" w:rsidRPr="00901686">
        <w:rPr>
          <w:rStyle w:val="Emphasis"/>
          <w:rFonts w:ascii="Times New Roman" w:hAnsi="Times New Roman" w:cs="Times New Roman"/>
          <w:lang w:val="es-ES"/>
        </w:rPr>
        <w:t>Campaign</w:t>
      </w:r>
      <w:proofErr w:type="spellEnd"/>
      <w:r w:rsidR="00997A7D" w:rsidRPr="00901686">
        <w:rPr>
          <w:rStyle w:val="Emphasis"/>
          <w:rFonts w:ascii="Times New Roman" w:hAnsi="Times New Roman" w:cs="Times New Roman"/>
          <w:lang w:val="es-ES"/>
        </w:rPr>
        <w:t xml:space="preserve"> </w:t>
      </w:r>
      <w:proofErr w:type="spellStart"/>
      <w:r w:rsidR="00997A7D" w:rsidRPr="00901686">
        <w:rPr>
          <w:rStyle w:val="Emphasis"/>
          <w:rFonts w:ascii="Times New Roman" w:hAnsi="Times New Roman" w:cs="Times New Roman"/>
          <w:lang w:val="es-ES"/>
        </w:rPr>
        <w:t>Was</w:t>
      </w:r>
      <w:proofErr w:type="spellEnd"/>
      <w:r w:rsidR="00997A7D" w:rsidRPr="00901686">
        <w:rPr>
          <w:rStyle w:val="Emphasis"/>
          <w:rFonts w:ascii="Times New Roman" w:hAnsi="Times New Roman" w:cs="Times New Roman"/>
          <w:lang w:val="es-ES"/>
        </w:rPr>
        <w:t xml:space="preserve"> </w:t>
      </w:r>
      <w:proofErr w:type="spellStart"/>
      <w:r w:rsidR="00997A7D" w:rsidRPr="00901686">
        <w:rPr>
          <w:rStyle w:val="Emphasis"/>
          <w:rFonts w:ascii="Times New Roman" w:hAnsi="Times New Roman" w:cs="Times New Roman"/>
          <w:lang w:val="es-ES"/>
        </w:rPr>
        <w:t>Distinctly</w:t>
      </w:r>
      <w:proofErr w:type="spellEnd"/>
      <w:r w:rsidR="00997A7D" w:rsidRPr="00901686">
        <w:rPr>
          <w:rStyle w:val="Emphasis"/>
          <w:rFonts w:ascii="Times New Roman" w:hAnsi="Times New Roman" w:cs="Times New Roman"/>
          <w:lang w:val="es-ES"/>
        </w:rPr>
        <w:t xml:space="preserve"> </w:t>
      </w:r>
      <w:proofErr w:type="spellStart"/>
      <w:r w:rsidR="00997A7D" w:rsidRPr="00901686">
        <w:rPr>
          <w:rStyle w:val="Emphasis"/>
          <w:rFonts w:ascii="Times New Roman" w:hAnsi="Times New Roman" w:cs="Times New Roman"/>
          <w:lang w:val="es-ES"/>
        </w:rPr>
        <w:t>One-Sided</w:t>
      </w:r>
      <w:proofErr w:type="spellEnd"/>
      <w:r w:rsidR="00997A7D" w:rsidRPr="00901686">
        <w:rPr>
          <w:rFonts w:ascii="Times New Roman" w:hAnsi="Times New Roman" w:cs="Times New Roman"/>
          <w:lang w:val="es-ES"/>
        </w:rPr>
        <w:t xml:space="preserve">, </w:t>
      </w:r>
      <w:proofErr w:type="spellStart"/>
      <w:r w:rsidR="00997A7D" w:rsidRPr="00901686">
        <w:rPr>
          <w:rStyle w:val="Emphasis"/>
          <w:rFonts w:ascii="Times New Roman" w:hAnsi="Times New Roman" w:cs="Times New Roman"/>
          <w:lang w:val="es-ES"/>
        </w:rPr>
        <w:t>The</w:t>
      </w:r>
      <w:proofErr w:type="spellEnd"/>
      <w:r w:rsidR="00997A7D" w:rsidRPr="00901686">
        <w:rPr>
          <w:rStyle w:val="Emphasis"/>
          <w:rFonts w:ascii="Times New Roman" w:hAnsi="Times New Roman" w:cs="Times New Roman"/>
          <w:lang w:val="es-ES"/>
        </w:rPr>
        <w:t xml:space="preserve"> Atlantic</w:t>
      </w:r>
      <w:r w:rsidR="00997A7D" w:rsidRPr="00901686">
        <w:rPr>
          <w:rFonts w:ascii="Times New Roman" w:hAnsi="Times New Roman" w:cs="Times New Roman"/>
          <w:lang w:val="es-ES"/>
        </w:rPr>
        <w:t xml:space="preserve"> (15 de marzo de 2021), </w:t>
      </w:r>
      <w:hyperlink r:id="rId2" w:history="1">
        <w:r w:rsidR="00997A7D" w:rsidRPr="00901686">
          <w:rPr>
            <w:rStyle w:val="Hyperlink"/>
            <w:rFonts w:ascii="Times New Roman" w:hAnsi="Times New Roman" w:cs="Times New Roman"/>
            <w:lang w:val="es-ES"/>
          </w:rPr>
          <w:t>https://www.theatlantic.com/ideas/archive/2021/03/right-wing-propagandists-were-doing-something-unique/618267/</w:t>
        </w:r>
      </w:hyperlink>
      <w:r w:rsidR="00997A7D" w:rsidRPr="00901686">
        <w:rPr>
          <w:rFonts w:ascii="Times New Roman" w:hAnsi="Times New Roman" w:cs="Times New Roman"/>
          <w:lang w:val="es-ES"/>
        </w:rPr>
        <w:t>. La propaganda ambiental de la década se ejemplifica quizá de manera más clara con la “Gran Mentira” (y otras mentiras asociadas) sobre la derrota de Donald Trump en las elecciones de 2020, promovidas principalmente por figuras republicanas y operadoras aliadas.</w:t>
      </w:r>
      <w:r w:rsidR="00100F13" w:rsidRPr="00901686">
        <w:rPr>
          <w:rFonts w:ascii="Times New Roman" w:hAnsi="Times New Roman" w:cs="Times New Roman"/>
          <w:lang w:val="es-ES"/>
        </w:rPr>
        <w:t xml:space="preserve"> </w:t>
      </w:r>
      <w:r w:rsidR="00997A7D" w:rsidRPr="00901686">
        <w:rPr>
          <w:rFonts w:ascii="Times New Roman" w:hAnsi="Times New Roman" w:cs="Times New Roman"/>
          <w:lang w:val="es-ES"/>
        </w:rPr>
        <w:t xml:space="preserve">Para un relato </w:t>
      </w:r>
      <w:r w:rsidR="00100F13" w:rsidRPr="00901686">
        <w:rPr>
          <w:rFonts w:ascii="Times New Roman" w:hAnsi="Times New Roman" w:cs="Times New Roman"/>
          <w:lang w:val="es-ES"/>
        </w:rPr>
        <w:t>detallado</w:t>
      </w:r>
      <w:r w:rsidR="00997A7D" w:rsidRPr="00901686">
        <w:rPr>
          <w:rFonts w:ascii="Times New Roman" w:hAnsi="Times New Roman" w:cs="Times New Roman"/>
          <w:lang w:val="es-ES"/>
        </w:rPr>
        <w:t xml:space="preserve"> en tiempo real, </w:t>
      </w:r>
      <w:r w:rsidR="00997A7D" w:rsidRPr="00901686">
        <w:rPr>
          <w:rFonts w:ascii="Times New Roman" w:hAnsi="Times New Roman" w:cs="Times New Roman"/>
          <w:i/>
          <w:iCs/>
          <w:lang w:val="es-ES"/>
        </w:rPr>
        <w:t xml:space="preserve">véase </w:t>
      </w:r>
      <w:r w:rsidR="00997A7D" w:rsidRPr="00901686">
        <w:rPr>
          <w:rFonts w:ascii="Times New Roman" w:hAnsi="Times New Roman" w:cs="Times New Roman"/>
          <w:lang w:val="es-ES"/>
        </w:rPr>
        <w:t xml:space="preserve">Jonathan </w:t>
      </w:r>
      <w:proofErr w:type="spellStart"/>
      <w:r w:rsidR="00997A7D" w:rsidRPr="00901686">
        <w:rPr>
          <w:rFonts w:ascii="Times New Roman" w:hAnsi="Times New Roman" w:cs="Times New Roman"/>
          <w:lang w:val="es-ES"/>
        </w:rPr>
        <w:t>Lemire</w:t>
      </w:r>
      <w:proofErr w:type="spellEnd"/>
      <w:r w:rsidR="00997A7D" w:rsidRPr="00901686">
        <w:rPr>
          <w:rFonts w:ascii="Times New Roman" w:hAnsi="Times New Roman" w:cs="Times New Roman"/>
          <w:lang w:val="es-ES"/>
        </w:rPr>
        <w:t xml:space="preserve">, </w:t>
      </w:r>
      <w:proofErr w:type="spellStart"/>
      <w:r w:rsidR="00997A7D" w:rsidRPr="00901686">
        <w:rPr>
          <w:rStyle w:val="Emphasis"/>
          <w:rFonts w:ascii="Times New Roman" w:hAnsi="Times New Roman" w:cs="Times New Roman"/>
          <w:lang w:val="es-ES"/>
        </w:rPr>
        <w:t>The</w:t>
      </w:r>
      <w:proofErr w:type="spellEnd"/>
      <w:r w:rsidR="00997A7D" w:rsidRPr="00901686">
        <w:rPr>
          <w:rStyle w:val="Emphasis"/>
          <w:rFonts w:ascii="Times New Roman" w:hAnsi="Times New Roman" w:cs="Times New Roman"/>
          <w:lang w:val="es-ES"/>
        </w:rPr>
        <w:t xml:space="preserve"> Big Lie: </w:t>
      </w:r>
      <w:proofErr w:type="spellStart"/>
      <w:r w:rsidR="00997A7D" w:rsidRPr="00901686">
        <w:rPr>
          <w:rStyle w:val="Emphasis"/>
          <w:rFonts w:ascii="Times New Roman" w:hAnsi="Times New Roman" w:cs="Times New Roman"/>
          <w:lang w:val="es-ES"/>
        </w:rPr>
        <w:t>Election</w:t>
      </w:r>
      <w:proofErr w:type="spellEnd"/>
      <w:r w:rsidR="00997A7D" w:rsidRPr="00901686">
        <w:rPr>
          <w:rStyle w:val="Emphasis"/>
          <w:rFonts w:ascii="Times New Roman" w:hAnsi="Times New Roman" w:cs="Times New Roman"/>
          <w:lang w:val="es-ES"/>
        </w:rPr>
        <w:t xml:space="preserve"> Chaos, </w:t>
      </w:r>
      <w:proofErr w:type="spellStart"/>
      <w:r w:rsidR="00997A7D" w:rsidRPr="00901686">
        <w:rPr>
          <w:rStyle w:val="Emphasis"/>
          <w:rFonts w:ascii="Times New Roman" w:hAnsi="Times New Roman" w:cs="Times New Roman"/>
          <w:lang w:val="es-ES"/>
        </w:rPr>
        <w:t>Political</w:t>
      </w:r>
      <w:proofErr w:type="spellEnd"/>
      <w:r w:rsidR="00997A7D" w:rsidRPr="00901686">
        <w:rPr>
          <w:rStyle w:val="Emphasis"/>
          <w:rFonts w:ascii="Times New Roman" w:hAnsi="Times New Roman" w:cs="Times New Roman"/>
          <w:lang w:val="es-ES"/>
        </w:rPr>
        <w:t xml:space="preserve"> </w:t>
      </w:r>
      <w:proofErr w:type="spellStart"/>
      <w:r w:rsidR="00997A7D" w:rsidRPr="00901686">
        <w:rPr>
          <w:rStyle w:val="Emphasis"/>
          <w:rFonts w:ascii="Times New Roman" w:hAnsi="Times New Roman" w:cs="Times New Roman"/>
          <w:lang w:val="es-ES"/>
        </w:rPr>
        <w:t>Opportunism</w:t>
      </w:r>
      <w:proofErr w:type="spellEnd"/>
      <w:r w:rsidR="00997A7D" w:rsidRPr="00901686">
        <w:rPr>
          <w:rStyle w:val="Emphasis"/>
          <w:rFonts w:ascii="Times New Roman" w:hAnsi="Times New Roman" w:cs="Times New Roman"/>
          <w:lang w:val="es-ES"/>
        </w:rPr>
        <w:t xml:space="preserve">, and </w:t>
      </w:r>
      <w:proofErr w:type="spellStart"/>
      <w:r w:rsidR="00997A7D" w:rsidRPr="00901686">
        <w:rPr>
          <w:rStyle w:val="Emphasis"/>
          <w:rFonts w:ascii="Times New Roman" w:hAnsi="Times New Roman" w:cs="Times New Roman"/>
          <w:lang w:val="es-ES"/>
        </w:rPr>
        <w:t>the</w:t>
      </w:r>
      <w:proofErr w:type="spellEnd"/>
      <w:r w:rsidR="00997A7D" w:rsidRPr="00901686">
        <w:rPr>
          <w:rStyle w:val="Emphasis"/>
          <w:rFonts w:ascii="Times New Roman" w:hAnsi="Times New Roman" w:cs="Times New Roman"/>
          <w:lang w:val="es-ES"/>
        </w:rPr>
        <w:t xml:space="preserve"> </w:t>
      </w:r>
      <w:proofErr w:type="spellStart"/>
      <w:r w:rsidR="00997A7D" w:rsidRPr="00901686">
        <w:rPr>
          <w:rStyle w:val="Emphasis"/>
          <w:rFonts w:ascii="Times New Roman" w:hAnsi="Times New Roman" w:cs="Times New Roman"/>
          <w:lang w:val="es-ES"/>
        </w:rPr>
        <w:t>State</w:t>
      </w:r>
      <w:proofErr w:type="spellEnd"/>
      <w:r w:rsidR="00997A7D" w:rsidRPr="00901686">
        <w:rPr>
          <w:rStyle w:val="Emphasis"/>
          <w:rFonts w:ascii="Times New Roman" w:hAnsi="Times New Roman" w:cs="Times New Roman"/>
          <w:lang w:val="es-ES"/>
        </w:rPr>
        <w:t xml:space="preserve"> of American </w:t>
      </w:r>
      <w:proofErr w:type="spellStart"/>
      <w:r w:rsidR="00997A7D" w:rsidRPr="00901686">
        <w:rPr>
          <w:rStyle w:val="Emphasis"/>
          <w:rFonts w:ascii="Times New Roman" w:hAnsi="Times New Roman" w:cs="Times New Roman"/>
          <w:lang w:val="es-ES"/>
        </w:rPr>
        <w:t>Politics</w:t>
      </w:r>
      <w:proofErr w:type="spellEnd"/>
      <w:r w:rsidR="00997A7D" w:rsidRPr="00901686">
        <w:rPr>
          <w:rStyle w:val="Emphasis"/>
          <w:rFonts w:ascii="Times New Roman" w:hAnsi="Times New Roman" w:cs="Times New Roman"/>
          <w:lang w:val="es-ES"/>
        </w:rPr>
        <w:t xml:space="preserve"> After 2020</w:t>
      </w:r>
      <w:r w:rsidR="00997A7D" w:rsidRPr="00901686">
        <w:rPr>
          <w:rFonts w:ascii="Times New Roman" w:hAnsi="Times New Roman" w:cs="Times New Roman"/>
          <w:lang w:val="es-ES"/>
        </w:rPr>
        <w:t xml:space="preserve"> (2022).</w:t>
      </w:r>
    </w:p>
  </w:footnote>
  <w:footnote w:id="26">
    <w:p w14:paraId="63328DBC" w14:textId="1F8626B0" w:rsidR="00D02558" w:rsidRPr="00901686" w:rsidRDefault="00D02558" w:rsidP="00D02558">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27</w:t>
      </w:r>
      <w:r w:rsidRPr="00901686">
        <w:rPr>
          <w:rFonts w:ascii="Times New Roman" w:hAnsi="Times New Roman" w:cs="Times New Roman"/>
          <w:lang w:val="es-ES"/>
        </w:rPr>
        <w:t xml:space="preserve"> </w:t>
      </w:r>
      <w:r w:rsidR="00CE6BB2" w:rsidRPr="00901686">
        <w:rPr>
          <w:rFonts w:ascii="Times New Roman" w:hAnsi="Times New Roman" w:cs="Times New Roman"/>
          <w:i/>
          <w:iCs/>
          <w:lang w:val="es-ES"/>
        </w:rPr>
        <w:t>Véase</w:t>
      </w:r>
      <w:r w:rsidR="00CE6BB2" w:rsidRPr="00901686">
        <w:rPr>
          <w:rFonts w:ascii="Times New Roman" w:hAnsi="Times New Roman" w:cs="Times New Roman"/>
          <w:lang w:val="es-ES"/>
        </w:rPr>
        <w:t xml:space="preserve"> Nick Reynolds, </w:t>
      </w:r>
      <w:proofErr w:type="spellStart"/>
      <w:r w:rsidR="00CE6BB2" w:rsidRPr="00901686">
        <w:rPr>
          <w:rStyle w:val="Emphasis"/>
          <w:rFonts w:ascii="Times New Roman" w:hAnsi="Times New Roman" w:cs="Times New Roman"/>
          <w:lang w:val="es-ES"/>
        </w:rPr>
        <w:t>Schools</w:t>
      </w:r>
      <w:proofErr w:type="spellEnd"/>
      <w:r w:rsidR="00CE6BB2" w:rsidRPr="00901686">
        <w:rPr>
          <w:rStyle w:val="Emphasis"/>
          <w:rFonts w:ascii="Times New Roman" w:hAnsi="Times New Roman" w:cs="Times New Roman"/>
          <w:lang w:val="es-ES"/>
        </w:rPr>
        <w:t xml:space="preserve"> Revise </w:t>
      </w:r>
      <w:proofErr w:type="spellStart"/>
      <w:r w:rsidR="00CE6BB2" w:rsidRPr="00901686">
        <w:rPr>
          <w:rStyle w:val="Emphasis"/>
          <w:rFonts w:ascii="Times New Roman" w:hAnsi="Times New Roman" w:cs="Times New Roman"/>
          <w:lang w:val="es-ES"/>
        </w:rPr>
        <w:t>Curriculum</w:t>
      </w:r>
      <w:proofErr w:type="spellEnd"/>
      <w:r w:rsidR="00CE6BB2" w:rsidRPr="00901686">
        <w:rPr>
          <w:rStyle w:val="Emphasis"/>
          <w:rFonts w:ascii="Times New Roman" w:hAnsi="Times New Roman" w:cs="Times New Roman"/>
          <w:lang w:val="es-ES"/>
        </w:rPr>
        <w:t xml:space="preserve">, </w:t>
      </w:r>
      <w:proofErr w:type="spellStart"/>
      <w:r w:rsidR="00CE6BB2" w:rsidRPr="00901686">
        <w:rPr>
          <w:rStyle w:val="Emphasis"/>
          <w:rFonts w:ascii="Times New Roman" w:hAnsi="Times New Roman" w:cs="Times New Roman"/>
          <w:lang w:val="es-ES"/>
        </w:rPr>
        <w:t>Still</w:t>
      </w:r>
      <w:proofErr w:type="spellEnd"/>
      <w:r w:rsidR="00CE6BB2" w:rsidRPr="00901686">
        <w:rPr>
          <w:rStyle w:val="Emphasis"/>
          <w:rFonts w:ascii="Times New Roman" w:hAnsi="Times New Roman" w:cs="Times New Roman"/>
          <w:lang w:val="es-ES"/>
        </w:rPr>
        <w:t xml:space="preserve"> </w:t>
      </w:r>
      <w:proofErr w:type="spellStart"/>
      <w:r w:rsidR="00CE6BB2" w:rsidRPr="00901686">
        <w:rPr>
          <w:rStyle w:val="Emphasis"/>
          <w:rFonts w:ascii="Times New Roman" w:hAnsi="Times New Roman" w:cs="Times New Roman"/>
          <w:lang w:val="es-ES"/>
        </w:rPr>
        <w:t>Under</w:t>
      </w:r>
      <w:proofErr w:type="spellEnd"/>
      <w:r w:rsidR="00CE6BB2" w:rsidRPr="00901686">
        <w:rPr>
          <w:rStyle w:val="Emphasis"/>
          <w:rFonts w:ascii="Times New Roman" w:hAnsi="Times New Roman" w:cs="Times New Roman"/>
          <w:lang w:val="es-ES"/>
        </w:rPr>
        <w:t xml:space="preserve"> </w:t>
      </w:r>
      <w:proofErr w:type="spellStart"/>
      <w:r w:rsidR="00CE6BB2" w:rsidRPr="00901686">
        <w:rPr>
          <w:rStyle w:val="Emphasis"/>
          <w:rFonts w:ascii="Times New Roman" w:hAnsi="Times New Roman" w:cs="Times New Roman"/>
          <w:lang w:val="es-ES"/>
        </w:rPr>
        <w:t>Fire</w:t>
      </w:r>
      <w:proofErr w:type="spellEnd"/>
      <w:r w:rsidR="00CE6BB2" w:rsidRPr="00901686">
        <w:rPr>
          <w:rStyle w:val="Emphasis"/>
          <w:rFonts w:ascii="Times New Roman" w:hAnsi="Times New Roman" w:cs="Times New Roman"/>
          <w:lang w:val="es-ES"/>
        </w:rPr>
        <w:t xml:space="preserve"> </w:t>
      </w:r>
      <w:proofErr w:type="spellStart"/>
      <w:r w:rsidR="00CE6BB2" w:rsidRPr="00901686">
        <w:rPr>
          <w:rStyle w:val="Emphasis"/>
          <w:rFonts w:ascii="Times New Roman" w:hAnsi="Times New Roman" w:cs="Times New Roman"/>
          <w:lang w:val="es-ES"/>
        </w:rPr>
        <w:t>for</w:t>
      </w:r>
      <w:proofErr w:type="spellEnd"/>
      <w:r w:rsidR="00CE6BB2" w:rsidRPr="00901686">
        <w:rPr>
          <w:rStyle w:val="Emphasis"/>
          <w:rFonts w:ascii="Times New Roman" w:hAnsi="Times New Roman" w:cs="Times New Roman"/>
          <w:lang w:val="es-ES"/>
        </w:rPr>
        <w:t xml:space="preserve"> ‘</w:t>
      </w:r>
      <w:proofErr w:type="spellStart"/>
      <w:r w:rsidR="00CE6BB2" w:rsidRPr="00901686">
        <w:rPr>
          <w:rStyle w:val="Emphasis"/>
          <w:rFonts w:ascii="Times New Roman" w:hAnsi="Times New Roman" w:cs="Times New Roman"/>
          <w:lang w:val="es-ES"/>
        </w:rPr>
        <w:t>Whitewashing</w:t>
      </w:r>
      <w:proofErr w:type="spellEnd"/>
      <w:r w:rsidR="00CE6BB2" w:rsidRPr="00901686">
        <w:rPr>
          <w:rStyle w:val="Emphasis"/>
          <w:rFonts w:ascii="Times New Roman" w:hAnsi="Times New Roman" w:cs="Times New Roman"/>
          <w:lang w:val="es-ES"/>
        </w:rPr>
        <w:t xml:space="preserve">’ </w:t>
      </w:r>
      <w:proofErr w:type="spellStart"/>
      <w:r w:rsidR="00CE6BB2" w:rsidRPr="00901686">
        <w:rPr>
          <w:rStyle w:val="Emphasis"/>
          <w:rFonts w:ascii="Times New Roman" w:hAnsi="Times New Roman" w:cs="Times New Roman"/>
          <w:lang w:val="es-ES"/>
        </w:rPr>
        <w:t>History</w:t>
      </w:r>
      <w:proofErr w:type="spellEnd"/>
      <w:r w:rsidR="00CE6BB2" w:rsidRPr="00901686">
        <w:rPr>
          <w:rFonts w:ascii="Times New Roman" w:hAnsi="Times New Roman" w:cs="Times New Roman"/>
          <w:lang w:val="es-ES"/>
        </w:rPr>
        <w:t xml:space="preserve">, </w:t>
      </w:r>
      <w:r w:rsidR="00CE6BB2" w:rsidRPr="00901686">
        <w:rPr>
          <w:rStyle w:val="Emphasis"/>
          <w:rFonts w:ascii="Times New Roman" w:hAnsi="Times New Roman" w:cs="Times New Roman"/>
          <w:lang w:val="es-ES"/>
        </w:rPr>
        <w:t>Newsweek</w:t>
      </w:r>
      <w:r w:rsidR="00CE6BB2" w:rsidRPr="00901686">
        <w:rPr>
          <w:rFonts w:ascii="Times New Roman" w:hAnsi="Times New Roman" w:cs="Times New Roman"/>
          <w:lang w:val="es-ES"/>
        </w:rPr>
        <w:t xml:space="preserve"> (17 de noviembre de 2022, 6:12 p.m.), </w:t>
      </w:r>
      <w:r w:rsidR="002E00A9">
        <w:fldChar w:fldCharType="begin"/>
      </w:r>
      <w:r w:rsidR="002E00A9">
        <w:instrText xml:space="preserve"> HYPERLINK "https://www.newsweek.com/schools-revise-curriculum-still-under-fire-whitewashing-history-1760497" \t "_new" </w:instrText>
      </w:r>
      <w:r w:rsidR="002E00A9">
        <w:fldChar w:fldCharType="separate"/>
      </w:r>
      <w:r w:rsidR="00CE6BB2" w:rsidRPr="00901686">
        <w:rPr>
          <w:rStyle w:val="Hyperlink"/>
          <w:rFonts w:ascii="Times New Roman" w:hAnsi="Times New Roman" w:cs="Times New Roman"/>
          <w:lang w:val="es-ES"/>
        </w:rPr>
        <w:t>https://www.newsweek.com/schools-revise-curriculum-still-under-fire-whitewashing-history-1760497</w:t>
      </w:r>
      <w:r w:rsidR="002E00A9">
        <w:rPr>
          <w:rStyle w:val="Hyperlink"/>
          <w:rFonts w:ascii="Times New Roman" w:hAnsi="Times New Roman" w:cs="Times New Roman"/>
          <w:lang w:val="es-ES"/>
        </w:rPr>
        <w:fldChar w:fldCharType="end"/>
      </w:r>
      <w:r w:rsidR="00CE6BB2" w:rsidRPr="00901686">
        <w:rPr>
          <w:rFonts w:ascii="Times New Roman" w:hAnsi="Times New Roman" w:cs="Times New Roman"/>
          <w:lang w:val="es-ES"/>
        </w:rPr>
        <w:t xml:space="preserve">; </w:t>
      </w:r>
      <w:r w:rsidR="00CE6BB2" w:rsidRPr="00901686">
        <w:rPr>
          <w:rFonts w:ascii="Times New Roman" w:hAnsi="Times New Roman" w:cs="Times New Roman"/>
          <w:i/>
          <w:iCs/>
          <w:lang w:val="es-ES"/>
        </w:rPr>
        <w:t>véase</w:t>
      </w:r>
      <w:r w:rsidR="00CE6BB2" w:rsidRPr="00901686">
        <w:rPr>
          <w:rFonts w:ascii="Times New Roman" w:hAnsi="Times New Roman" w:cs="Times New Roman"/>
          <w:lang w:val="es-ES"/>
        </w:rPr>
        <w:t xml:space="preserve"> también Hannah </w:t>
      </w:r>
      <w:proofErr w:type="spellStart"/>
      <w:r w:rsidR="00CE6BB2" w:rsidRPr="00901686">
        <w:rPr>
          <w:rFonts w:ascii="Times New Roman" w:hAnsi="Times New Roman" w:cs="Times New Roman"/>
          <w:lang w:val="es-ES"/>
        </w:rPr>
        <w:t>Natanson</w:t>
      </w:r>
      <w:proofErr w:type="spellEnd"/>
      <w:r w:rsidR="00CE6BB2" w:rsidRPr="00901686">
        <w:rPr>
          <w:rFonts w:ascii="Times New Roman" w:hAnsi="Times New Roman" w:cs="Times New Roman"/>
          <w:lang w:val="es-ES"/>
        </w:rPr>
        <w:t xml:space="preserve">, </w:t>
      </w:r>
      <w:r w:rsidR="00CE6BB2" w:rsidRPr="00901686">
        <w:rPr>
          <w:rStyle w:val="Emphasis"/>
          <w:rFonts w:ascii="Times New Roman" w:hAnsi="Times New Roman" w:cs="Times New Roman"/>
          <w:lang w:val="es-ES"/>
        </w:rPr>
        <w:t xml:space="preserve">Virginia </w:t>
      </w:r>
      <w:proofErr w:type="spellStart"/>
      <w:r w:rsidR="00CE6BB2" w:rsidRPr="00901686">
        <w:rPr>
          <w:rStyle w:val="Emphasis"/>
          <w:rFonts w:ascii="Times New Roman" w:hAnsi="Times New Roman" w:cs="Times New Roman"/>
          <w:lang w:val="es-ES"/>
        </w:rPr>
        <w:t>Is</w:t>
      </w:r>
      <w:proofErr w:type="spellEnd"/>
      <w:r w:rsidR="00CE6BB2" w:rsidRPr="00901686">
        <w:rPr>
          <w:rStyle w:val="Emphasis"/>
          <w:rFonts w:ascii="Times New Roman" w:hAnsi="Times New Roman" w:cs="Times New Roman"/>
          <w:lang w:val="es-ES"/>
        </w:rPr>
        <w:t xml:space="preserve"> </w:t>
      </w:r>
      <w:proofErr w:type="spellStart"/>
      <w:r w:rsidR="00CE6BB2" w:rsidRPr="00901686">
        <w:rPr>
          <w:rStyle w:val="Emphasis"/>
          <w:rFonts w:ascii="Times New Roman" w:hAnsi="Times New Roman" w:cs="Times New Roman"/>
          <w:lang w:val="es-ES"/>
        </w:rPr>
        <w:t>Changing</w:t>
      </w:r>
      <w:proofErr w:type="spellEnd"/>
      <w:r w:rsidR="00CE6BB2" w:rsidRPr="00901686">
        <w:rPr>
          <w:rStyle w:val="Emphasis"/>
          <w:rFonts w:ascii="Times New Roman" w:hAnsi="Times New Roman" w:cs="Times New Roman"/>
          <w:lang w:val="es-ES"/>
        </w:rPr>
        <w:t xml:space="preserve"> </w:t>
      </w:r>
      <w:proofErr w:type="spellStart"/>
      <w:r w:rsidR="00CE6BB2" w:rsidRPr="00901686">
        <w:rPr>
          <w:rStyle w:val="Emphasis"/>
          <w:rFonts w:ascii="Times New Roman" w:hAnsi="Times New Roman" w:cs="Times New Roman"/>
          <w:lang w:val="es-ES"/>
        </w:rPr>
        <w:t>the</w:t>
      </w:r>
      <w:proofErr w:type="spellEnd"/>
      <w:r w:rsidR="00CE6BB2" w:rsidRPr="00901686">
        <w:rPr>
          <w:rStyle w:val="Emphasis"/>
          <w:rFonts w:ascii="Times New Roman" w:hAnsi="Times New Roman" w:cs="Times New Roman"/>
          <w:lang w:val="es-ES"/>
        </w:rPr>
        <w:t xml:space="preserve"> </w:t>
      </w:r>
      <w:proofErr w:type="spellStart"/>
      <w:r w:rsidR="00CE6BB2" w:rsidRPr="00901686">
        <w:rPr>
          <w:rStyle w:val="Emphasis"/>
          <w:rFonts w:ascii="Times New Roman" w:hAnsi="Times New Roman" w:cs="Times New Roman"/>
          <w:lang w:val="es-ES"/>
        </w:rPr>
        <w:t>Way</w:t>
      </w:r>
      <w:proofErr w:type="spellEnd"/>
      <w:r w:rsidR="00CE6BB2" w:rsidRPr="00901686">
        <w:rPr>
          <w:rStyle w:val="Emphasis"/>
          <w:rFonts w:ascii="Times New Roman" w:hAnsi="Times New Roman" w:cs="Times New Roman"/>
          <w:lang w:val="es-ES"/>
        </w:rPr>
        <w:t xml:space="preserve"> </w:t>
      </w:r>
      <w:proofErr w:type="spellStart"/>
      <w:r w:rsidR="00CE6BB2" w:rsidRPr="00901686">
        <w:rPr>
          <w:rStyle w:val="Emphasis"/>
          <w:rFonts w:ascii="Times New Roman" w:hAnsi="Times New Roman" w:cs="Times New Roman"/>
          <w:lang w:val="es-ES"/>
        </w:rPr>
        <w:t>It</w:t>
      </w:r>
      <w:proofErr w:type="spellEnd"/>
      <w:r w:rsidR="00CE6BB2" w:rsidRPr="00901686">
        <w:rPr>
          <w:rStyle w:val="Emphasis"/>
          <w:rFonts w:ascii="Times New Roman" w:hAnsi="Times New Roman" w:cs="Times New Roman"/>
          <w:lang w:val="es-ES"/>
        </w:rPr>
        <w:t xml:space="preserve"> </w:t>
      </w:r>
      <w:proofErr w:type="spellStart"/>
      <w:r w:rsidR="00CE6BB2" w:rsidRPr="00901686">
        <w:rPr>
          <w:rStyle w:val="Emphasis"/>
          <w:rFonts w:ascii="Times New Roman" w:hAnsi="Times New Roman" w:cs="Times New Roman"/>
          <w:lang w:val="es-ES"/>
        </w:rPr>
        <w:t>Teaches</w:t>
      </w:r>
      <w:proofErr w:type="spellEnd"/>
      <w:r w:rsidR="00CE6BB2" w:rsidRPr="00901686">
        <w:rPr>
          <w:rStyle w:val="Emphasis"/>
          <w:rFonts w:ascii="Times New Roman" w:hAnsi="Times New Roman" w:cs="Times New Roman"/>
          <w:lang w:val="es-ES"/>
        </w:rPr>
        <w:t xml:space="preserve"> </w:t>
      </w:r>
      <w:proofErr w:type="spellStart"/>
      <w:r w:rsidR="00CE6BB2" w:rsidRPr="00901686">
        <w:rPr>
          <w:rStyle w:val="Emphasis"/>
          <w:rFonts w:ascii="Times New Roman" w:hAnsi="Times New Roman" w:cs="Times New Roman"/>
          <w:lang w:val="es-ES"/>
        </w:rPr>
        <w:t>History</w:t>
      </w:r>
      <w:proofErr w:type="spellEnd"/>
      <w:r w:rsidR="00CE6BB2" w:rsidRPr="00901686">
        <w:rPr>
          <w:rStyle w:val="Emphasis"/>
          <w:rFonts w:ascii="Times New Roman" w:hAnsi="Times New Roman" w:cs="Times New Roman"/>
          <w:lang w:val="es-ES"/>
        </w:rPr>
        <w:t xml:space="preserve">, Social </w:t>
      </w:r>
      <w:proofErr w:type="spellStart"/>
      <w:r w:rsidR="00CE6BB2" w:rsidRPr="00901686">
        <w:rPr>
          <w:rStyle w:val="Emphasis"/>
          <w:rFonts w:ascii="Times New Roman" w:hAnsi="Times New Roman" w:cs="Times New Roman"/>
          <w:lang w:val="es-ES"/>
        </w:rPr>
        <w:t>Studies</w:t>
      </w:r>
      <w:proofErr w:type="spellEnd"/>
      <w:r w:rsidR="00CE6BB2" w:rsidRPr="00901686">
        <w:rPr>
          <w:rStyle w:val="Emphasis"/>
          <w:rFonts w:ascii="Times New Roman" w:hAnsi="Times New Roman" w:cs="Times New Roman"/>
          <w:lang w:val="es-ES"/>
        </w:rPr>
        <w:t xml:space="preserve">. </w:t>
      </w:r>
      <w:proofErr w:type="spellStart"/>
      <w:r w:rsidR="00CE6BB2" w:rsidRPr="00901686">
        <w:rPr>
          <w:rStyle w:val="Emphasis"/>
          <w:rFonts w:ascii="Times New Roman" w:hAnsi="Times New Roman" w:cs="Times New Roman"/>
          <w:lang w:val="es-ES"/>
        </w:rPr>
        <w:t>Here’s</w:t>
      </w:r>
      <w:proofErr w:type="spellEnd"/>
      <w:r w:rsidR="00CE6BB2" w:rsidRPr="00901686">
        <w:rPr>
          <w:rStyle w:val="Emphasis"/>
          <w:rFonts w:ascii="Times New Roman" w:hAnsi="Times New Roman" w:cs="Times New Roman"/>
          <w:lang w:val="es-ES"/>
        </w:rPr>
        <w:t xml:space="preserve"> </w:t>
      </w:r>
      <w:proofErr w:type="spellStart"/>
      <w:r w:rsidR="00CE6BB2" w:rsidRPr="00901686">
        <w:rPr>
          <w:rStyle w:val="Emphasis"/>
          <w:rFonts w:ascii="Times New Roman" w:hAnsi="Times New Roman" w:cs="Times New Roman"/>
          <w:lang w:val="es-ES"/>
        </w:rPr>
        <w:t>How</w:t>
      </w:r>
      <w:proofErr w:type="spellEnd"/>
      <w:r w:rsidR="00CE6BB2" w:rsidRPr="00901686">
        <w:rPr>
          <w:rStyle w:val="Emphasis"/>
          <w:rFonts w:ascii="Times New Roman" w:hAnsi="Times New Roman" w:cs="Times New Roman"/>
          <w:lang w:val="es-ES"/>
        </w:rPr>
        <w:t>.</w:t>
      </w:r>
      <w:r w:rsidR="00CE6BB2" w:rsidRPr="00901686">
        <w:rPr>
          <w:rFonts w:ascii="Times New Roman" w:hAnsi="Times New Roman" w:cs="Times New Roman"/>
          <w:lang w:val="es-ES"/>
        </w:rPr>
        <w:t xml:space="preserve">, </w:t>
      </w:r>
      <w:r w:rsidR="00CE6BB2" w:rsidRPr="00901686">
        <w:rPr>
          <w:rStyle w:val="Emphasis"/>
          <w:rFonts w:ascii="Times New Roman" w:hAnsi="Times New Roman" w:cs="Times New Roman"/>
          <w:lang w:val="es-ES"/>
        </w:rPr>
        <w:t>Washington Post</w:t>
      </w:r>
      <w:r w:rsidR="00CE6BB2" w:rsidRPr="00901686">
        <w:rPr>
          <w:rFonts w:ascii="Times New Roman" w:hAnsi="Times New Roman" w:cs="Times New Roman"/>
          <w:lang w:val="es-ES"/>
        </w:rPr>
        <w:t xml:space="preserve"> (16 de noviembre de 2022, 7:00 a.m.), washingtonpost.com/education/2022/11/16/virginia-school-history-standards-youngkin/; Andrew </w:t>
      </w:r>
      <w:proofErr w:type="spellStart"/>
      <w:r w:rsidR="00CE6BB2" w:rsidRPr="00901686">
        <w:rPr>
          <w:rFonts w:ascii="Times New Roman" w:hAnsi="Times New Roman" w:cs="Times New Roman"/>
          <w:lang w:val="es-ES"/>
        </w:rPr>
        <w:t>Atterbury</w:t>
      </w:r>
      <w:proofErr w:type="spellEnd"/>
      <w:r w:rsidR="00CE6BB2" w:rsidRPr="00901686">
        <w:rPr>
          <w:rFonts w:ascii="Times New Roman" w:hAnsi="Times New Roman" w:cs="Times New Roman"/>
          <w:lang w:val="es-ES"/>
        </w:rPr>
        <w:t xml:space="preserve">, </w:t>
      </w:r>
      <w:proofErr w:type="spellStart"/>
      <w:r w:rsidR="00CE6BB2" w:rsidRPr="00901686">
        <w:rPr>
          <w:rStyle w:val="Emphasis"/>
          <w:rFonts w:ascii="Times New Roman" w:hAnsi="Times New Roman" w:cs="Times New Roman"/>
          <w:lang w:val="es-ES"/>
        </w:rPr>
        <w:t>DeSantis-Backed</w:t>
      </w:r>
      <w:proofErr w:type="spellEnd"/>
      <w:r w:rsidR="00CE6BB2" w:rsidRPr="00901686">
        <w:rPr>
          <w:rStyle w:val="Emphasis"/>
          <w:rFonts w:ascii="Times New Roman" w:hAnsi="Times New Roman" w:cs="Times New Roman"/>
          <w:lang w:val="es-ES"/>
        </w:rPr>
        <w:t xml:space="preserve"> </w:t>
      </w:r>
      <w:proofErr w:type="spellStart"/>
      <w:r w:rsidR="00CE6BB2" w:rsidRPr="00901686">
        <w:rPr>
          <w:rStyle w:val="Emphasis"/>
          <w:rFonts w:ascii="Times New Roman" w:hAnsi="Times New Roman" w:cs="Times New Roman"/>
          <w:lang w:val="es-ES"/>
        </w:rPr>
        <w:t>School</w:t>
      </w:r>
      <w:proofErr w:type="spellEnd"/>
      <w:r w:rsidR="00CE6BB2" w:rsidRPr="00901686">
        <w:rPr>
          <w:rStyle w:val="Emphasis"/>
          <w:rFonts w:ascii="Times New Roman" w:hAnsi="Times New Roman" w:cs="Times New Roman"/>
          <w:lang w:val="es-ES"/>
        </w:rPr>
        <w:t xml:space="preserve"> </w:t>
      </w:r>
      <w:proofErr w:type="spellStart"/>
      <w:r w:rsidR="00CE6BB2" w:rsidRPr="00901686">
        <w:rPr>
          <w:rStyle w:val="Emphasis"/>
          <w:rFonts w:ascii="Times New Roman" w:hAnsi="Times New Roman" w:cs="Times New Roman"/>
          <w:lang w:val="es-ES"/>
        </w:rPr>
        <w:t>Boards</w:t>
      </w:r>
      <w:proofErr w:type="spellEnd"/>
      <w:r w:rsidR="00CE6BB2" w:rsidRPr="00901686">
        <w:rPr>
          <w:rStyle w:val="Emphasis"/>
          <w:rFonts w:ascii="Times New Roman" w:hAnsi="Times New Roman" w:cs="Times New Roman"/>
          <w:lang w:val="es-ES"/>
        </w:rPr>
        <w:t xml:space="preserve"> Begin </w:t>
      </w:r>
      <w:proofErr w:type="spellStart"/>
      <w:r w:rsidR="00CE6BB2" w:rsidRPr="00901686">
        <w:rPr>
          <w:rStyle w:val="Emphasis"/>
          <w:rFonts w:ascii="Times New Roman" w:hAnsi="Times New Roman" w:cs="Times New Roman"/>
          <w:lang w:val="es-ES"/>
        </w:rPr>
        <w:t>Ousting</w:t>
      </w:r>
      <w:proofErr w:type="spellEnd"/>
      <w:r w:rsidR="00CE6BB2" w:rsidRPr="00901686">
        <w:rPr>
          <w:rStyle w:val="Emphasis"/>
          <w:rFonts w:ascii="Times New Roman" w:hAnsi="Times New Roman" w:cs="Times New Roman"/>
          <w:lang w:val="es-ES"/>
        </w:rPr>
        <w:t xml:space="preserve"> Florida </w:t>
      </w:r>
      <w:proofErr w:type="spellStart"/>
      <w:r w:rsidR="00CE6BB2" w:rsidRPr="00901686">
        <w:rPr>
          <w:rStyle w:val="Emphasis"/>
          <w:rFonts w:ascii="Times New Roman" w:hAnsi="Times New Roman" w:cs="Times New Roman"/>
          <w:lang w:val="es-ES"/>
        </w:rPr>
        <w:t>Educators</w:t>
      </w:r>
      <w:proofErr w:type="spellEnd"/>
      <w:r w:rsidR="00CE6BB2" w:rsidRPr="00901686">
        <w:rPr>
          <w:rFonts w:ascii="Times New Roman" w:hAnsi="Times New Roman" w:cs="Times New Roman"/>
          <w:lang w:val="es-ES"/>
        </w:rPr>
        <w:t xml:space="preserve">, </w:t>
      </w:r>
      <w:proofErr w:type="spellStart"/>
      <w:r w:rsidR="00CE6BB2" w:rsidRPr="00901686">
        <w:rPr>
          <w:rStyle w:val="Emphasis"/>
          <w:rFonts w:ascii="Times New Roman" w:hAnsi="Times New Roman" w:cs="Times New Roman"/>
          <w:lang w:val="es-ES"/>
        </w:rPr>
        <w:t>Politico</w:t>
      </w:r>
      <w:proofErr w:type="spellEnd"/>
      <w:r w:rsidR="00CE6BB2" w:rsidRPr="00901686">
        <w:rPr>
          <w:rFonts w:ascii="Times New Roman" w:hAnsi="Times New Roman" w:cs="Times New Roman"/>
          <w:lang w:val="es-ES"/>
        </w:rPr>
        <w:t xml:space="preserve"> (30 de noviembre de 2022, 4:30 a.m.), politico.com/news/2022/11/30/desantis-school-board-covid-00071305.</w:t>
      </w:r>
    </w:p>
  </w:footnote>
  <w:footnote w:id="27">
    <w:p w14:paraId="0B0BB566" w14:textId="3FE43E22" w:rsidR="00D02558" w:rsidRPr="00901686" w:rsidRDefault="00D02558" w:rsidP="00D02558">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28</w:t>
      </w:r>
      <w:r w:rsidRPr="00901686">
        <w:rPr>
          <w:rFonts w:ascii="Times New Roman" w:hAnsi="Times New Roman" w:cs="Times New Roman"/>
          <w:lang w:val="es-ES"/>
        </w:rPr>
        <w:t xml:space="preserve"> </w:t>
      </w:r>
      <w:r w:rsidR="00175258" w:rsidRPr="00901686">
        <w:rPr>
          <w:rFonts w:ascii="Times New Roman" w:hAnsi="Times New Roman" w:cs="Times New Roman"/>
          <w:i/>
          <w:iCs/>
          <w:lang w:val="es-ES"/>
        </w:rPr>
        <w:t>Véase</w:t>
      </w:r>
      <w:r w:rsidR="00175258" w:rsidRPr="00901686">
        <w:rPr>
          <w:rFonts w:ascii="Times New Roman" w:hAnsi="Times New Roman" w:cs="Times New Roman"/>
          <w:lang w:val="es-ES"/>
        </w:rPr>
        <w:t xml:space="preserve">, por ejemplo, Duncan Kennedy, </w:t>
      </w:r>
      <w:r w:rsidR="00175258" w:rsidRPr="00901686">
        <w:rPr>
          <w:rStyle w:val="Emphasis"/>
          <w:rFonts w:ascii="Times New Roman" w:hAnsi="Times New Roman" w:cs="Times New Roman"/>
          <w:lang w:val="es-ES"/>
        </w:rPr>
        <w:t xml:space="preserve">Legal </w:t>
      </w:r>
      <w:proofErr w:type="spellStart"/>
      <w:r w:rsidR="00175258" w:rsidRPr="00901686">
        <w:rPr>
          <w:rStyle w:val="Emphasis"/>
          <w:rFonts w:ascii="Times New Roman" w:hAnsi="Times New Roman" w:cs="Times New Roman"/>
          <w:lang w:val="es-ES"/>
        </w:rPr>
        <w:t>Education</w:t>
      </w:r>
      <w:proofErr w:type="spellEnd"/>
      <w:r w:rsidR="00175258" w:rsidRPr="00901686">
        <w:rPr>
          <w:rStyle w:val="Emphasis"/>
          <w:rFonts w:ascii="Times New Roman" w:hAnsi="Times New Roman" w:cs="Times New Roman"/>
          <w:lang w:val="es-ES"/>
        </w:rPr>
        <w:t xml:space="preserve"> and </w:t>
      </w:r>
      <w:proofErr w:type="spellStart"/>
      <w:r w:rsidR="00175258" w:rsidRPr="00901686">
        <w:rPr>
          <w:rStyle w:val="Emphasis"/>
          <w:rFonts w:ascii="Times New Roman" w:hAnsi="Times New Roman" w:cs="Times New Roman"/>
          <w:lang w:val="es-ES"/>
        </w:rPr>
        <w:t>the</w:t>
      </w:r>
      <w:proofErr w:type="spellEnd"/>
      <w:r w:rsidR="00175258" w:rsidRPr="00901686">
        <w:rPr>
          <w:rStyle w:val="Emphasis"/>
          <w:rFonts w:ascii="Times New Roman" w:hAnsi="Times New Roman" w:cs="Times New Roman"/>
          <w:lang w:val="es-ES"/>
        </w:rPr>
        <w:t xml:space="preserve"> </w:t>
      </w:r>
      <w:proofErr w:type="spellStart"/>
      <w:r w:rsidR="00175258" w:rsidRPr="00901686">
        <w:rPr>
          <w:rStyle w:val="Emphasis"/>
          <w:rFonts w:ascii="Times New Roman" w:hAnsi="Times New Roman" w:cs="Times New Roman"/>
          <w:lang w:val="es-ES"/>
        </w:rPr>
        <w:t>Reproduction</w:t>
      </w:r>
      <w:proofErr w:type="spellEnd"/>
      <w:r w:rsidR="00175258" w:rsidRPr="00901686">
        <w:rPr>
          <w:rStyle w:val="Emphasis"/>
          <w:rFonts w:ascii="Times New Roman" w:hAnsi="Times New Roman" w:cs="Times New Roman"/>
          <w:lang w:val="es-ES"/>
        </w:rPr>
        <w:t xml:space="preserve"> of </w:t>
      </w:r>
      <w:proofErr w:type="spellStart"/>
      <w:r w:rsidR="00175258" w:rsidRPr="00901686">
        <w:rPr>
          <w:rStyle w:val="Emphasis"/>
          <w:rFonts w:ascii="Times New Roman" w:hAnsi="Times New Roman" w:cs="Times New Roman"/>
          <w:lang w:val="es-ES"/>
        </w:rPr>
        <w:t>Hierarchy</w:t>
      </w:r>
      <w:proofErr w:type="spellEnd"/>
      <w:r w:rsidR="00175258" w:rsidRPr="00901686">
        <w:rPr>
          <w:rFonts w:ascii="Times New Roman" w:hAnsi="Times New Roman" w:cs="Times New Roman"/>
          <w:lang w:val="es-ES"/>
        </w:rPr>
        <w:t xml:space="preserve">, 32 </w:t>
      </w:r>
      <w:proofErr w:type="spellStart"/>
      <w:r w:rsidR="00175258" w:rsidRPr="00901686">
        <w:rPr>
          <w:rStyle w:val="Emphasis"/>
          <w:rFonts w:ascii="Times New Roman" w:hAnsi="Times New Roman" w:cs="Times New Roman"/>
          <w:lang w:val="es-ES"/>
        </w:rPr>
        <w:t>Journal</w:t>
      </w:r>
      <w:proofErr w:type="spellEnd"/>
      <w:r w:rsidR="00175258" w:rsidRPr="00901686">
        <w:rPr>
          <w:rStyle w:val="Emphasis"/>
          <w:rFonts w:ascii="Times New Roman" w:hAnsi="Times New Roman" w:cs="Times New Roman"/>
          <w:lang w:val="es-ES"/>
        </w:rPr>
        <w:t xml:space="preserve"> of Legal </w:t>
      </w:r>
      <w:proofErr w:type="spellStart"/>
      <w:r w:rsidR="00175258" w:rsidRPr="00901686">
        <w:rPr>
          <w:rStyle w:val="Emphasis"/>
          <w:rFonts w:ascii="Times New Roman" w:hAnsi="Times New Roman" w:cs="Times New Roman"/>
          <w:lang w:val="es-ES"/>
        </w:rPr>
        <w:t>Education</w:t>
      </w:r>
      <w:proofErr w:type="spellEnd"/>
      <w:r w:rsidR="00175258" w:rsidRPr="00901686">
        <w:rPr>
          <w:rFonts w:ascii="Times New Roman" w:hAnsi="Times New Roman" w:cs="Times New Roman"/>
          <w:lang w:val="es-ES"/>
        </w:rPr>
        <w:t xml:space="preserve"> 591 (1982); </w:t>
      </w:r>
      <w:proofErr w:type="spellStart"/>
      <w:r w:rsidR="00175258" w:rsidRPr="00901686">
        <w:rPr>
          <w:rFonts w:ascii="Times New Roman" w:hAnsi="Times New Roman" w:cs="Times New Roman"/>
          <w:lang w:val="es-ES"/>
        </w:rPr>
        <w:t>Lani</w:t>
      </w:r>
      <w:proofErr w:type="spellEnd"/>
      <w:r w:rsidR="00175258" w:rsidRPr="00901686">
        <w:rPr>
          <w:rFonts w:ascii="Times New Roman" w:hAnsi="Times New Roman" w:cs="Times New Roman"/>
          <w:lang w:val="es-ES"/>
        </w:rPr>
        <w:t xml:space="preserve"> </w:t>
      </w:r>
      <w:proofErr w:type="spellStart"/>
      <w:r w:rsidR="00175258" w:rsidRPr="00901686">
        <w:rPr>
          <w:rFonts w:ascii="Times New Roman" w:hAnsi="Times New Roman" w:cs="Times New Roman"/>
          <w:lang w:val="es-ES"/>
        </w:rPr>
        <w:t>Guinier</w:t>
      </w:r>
      <w:proofErr w:type="spellEnd"/>
      <w:r w:rsidR="00175258" w:rsidRPr="00901686">
        <w:rPr>
          <w:rFonts w:ascii="Times New Roman" w:hAnsi="Times New Roman" w:cs="Times New Roman"/>
          <w:lang w:val="es-ES"/>
        </w:rPr>
        <w:t xml:space="preserve">, Michelle Fine, Jane Balin, Ann </w:t>
      </w:r>
      <w:proofErr w:type="spellStart"/>
      <w:r w:rsidR="00175258" w:rsidRPr="00901686">
        <w:rPr>
          <w:rFonts w:ascii="Times New Roman" w:hAnsi="Times New Roman" w:cs="Times New Roman"/>
          <w:lang w:val="es-ES"/>
        </w:rPr>
        <w:t>Bartow</w:t>
      </w:r>
      <w:proofErr w:type="spellEnd"/>
      <w:r w:rsidR="00175258" w:rsidRPr="00901686">
        <w:rPr>
          <w:rFonts w:ascii="Times New Roman" w:hAnsi="Times New Roman" w:cs="Times New Roman"/>
          <w:lang w:val="es-ES"/>
        </w:rPr>
        <w:t xml:space="preserve"> y Deborah Lee </w:t>
      </w:r>
      <w:proofErr w:type="spellStart"/>
      <w:r w:rsidR="00175258" w:rsidRPr="00901686">
        <w:rPr>
          <w:rFonts w:ascii="Times New Roman" w:hAnsi="Times New Roman" w:cs="Times New Roman"/>
          <w:lang w:val="es-ES"/>
        </w:rPr>
        <w:t>Stachel</w:t>
      </w:r>
      <w:proofErr w:type="spellEnd"/>
      <w:r w:rsidR="00175258" w:rsidRPr="00901686">
        <w:rPr>
          <w:rFonts w:ascii="Times New Roman" w:hAnsi="Times New Roman" w:cs="Times New Roman"/>
          <w:lang w:val="es-ES"/>
        </w:rPr>
        <w:t xml:space="preserve">, </w:t>
      </w:r>
      <w:proofErr w:type="spellStart"/>
      <w:r w:rsidR="00175258" w:rsidRPr="00901686">
        <w:rPr>
          <w:rStyle w:val="Emphasis"/>
          <w:rFonts w:ascii="Times New Roman" w:hAnsi="Times New Roman" w:cs="Times New Roman"/>
          <w:lang w:val="es-ES"/>
        </w:rPr>
        <w:t>Becoming</w:t>
      </w:r>
      <w:proofErr w:type="spellEnd"/>
      <w:r w:rsidR="00175258" w:rsidRPr="00901686">
        <w:rPr>
          <w:rStyle w:val="Emphasis"/>
          <w:rFonts w:ascii="Times New Roman" w:hAnsi="Times New Roman" w:cs="Times New Roman"/>
          <w:lang w:val="es-ES"/>
        </w:rPr>
        <w:t xml:space="preserve"> </w:t>
      </w:r>
      <w:proofErr w:type="spellStart"/>
      <w:r w:rsidR="00175258" w:rsidRPr="00901686">
        <w:rPr>
          <w:rStyle w:val="Emphasis"/>
          <w:rFonts w:ascii="Times New Roman" w:hAnsi="Times New Roman" w:cs="Times New Roman"/>
          <w:lang w:val="es-ES"/>
        </w:rPr>
        <w:t>Gentlemen</w:t>
      </w:r>
      <w:proofErr w:type="spellEnd"/>
      <w:r w:rsidR="00175258" w:rsidRPr="00901686">
        <w:rPr>
          <w:rStyle w:val="Emphasis"/>
          <w:rFonts w:ascii="Times New Roman" w:hAnsi="Times New Roman" w:cs="Times New Roman"/>
          <w:lang w:val="es-ES"/>
        </w:rPr>
        <w:t xml:space="preserve">: </w:t>
      </w:r>
      <w:proofErr w:type="spellStart"/>
      <w:r w:rsidR="00175258" w:rsidRPr="00901686">
        <w:rPr>
          <w:rStyle w:val="Emphasis"/>
          <w:rFonts w:ascii="Times New Roman" w:hAnsi="Times New Roman" w:cs="Times New Roman"/>
          <w:lang w:val="es-ES"/>
        </w:rPr>
        <w:t>Women’s</w:t>
      </w:r>
      <w:proofErr w:type="spellEnd"/>
      <w:r w:rsidR="00175258" w:rsidRPr="00901686">
        <w:rPr>
          <w:rStyle w:val="Emphasis"/>
          <w:rFonts w:ascii="Times New Roman" w:hAnsi="Times New Roman" w:cs="Times New Roman"/>
          <w:lang w:val="es-ES"/>
        </w:rPr>
        <w:t xml:space="preserve"> </w:t>
      </w:r>
      <w:proofErr w:type="spellStart"/>
      <w:r w:rsidR="00175258" w:rsidRPr="00901686">
        <w:rPr>
          <w:rStyle w:val="Emphasis"/>
          <w:rFonts w:ascii="Times New Roman" w:hAnsi="Times New Roman" w:cs="Times New Roman"/>
          <w:lang w:val="es-ES"/>
        </w:rPr>
        <w:t>Experiences</w:t>
      </w:r>
      <w:proofErr w:type="spellEnd"/>
      <w:r w:rsidR="00175258" w:rsidRPr="00901686">
        <w:rPr>
          <w:rStyle w:val="Emphasis"/>
          <w:rFonts w:ascii="Times New Roman" w:hAnsi="Times New Roman" w:cs="Times New Roman"/>
          <w:lang w:val="es-ES"/>
        </w:rPr>
        <w:t xml:space="preserve"> at </w:t>
      </w:r>
      <w:proofErr w:type="spellStart"/>
      <w:r w:rsidR="00175258" w:rsidRPr="00901686">
        <w:rPr>
          <w:rStyle w:val="Emphasis"/>
          <w:rFonts w:ascii="Times New Roman" w:hAnsi="Times New Roman" w:cs="Times New Roman"/>
          <w:lang w:val="es-ES"/>
        </w:rPr>
        <w:t>One</w:t>
      </w:r>
      <w:proofErr w:type="spellEnd"/>
      <w:r w:rsidR="00175258" w:rsidRPr="00901686">
        <w:rPr>
          <w:rStyle w:val="Emphasis"/>
          <w:rFonts w:ascii="Times New Roman" w:hAnsi="Times New Roman" w:cs="Times New Roman"/>
          <w:lang w:val="es-ES"/>
        </w:rPr>
        <w:t xml:space="preserve"> </w:t>
      </w:r>
      <w:proofErr w:type="spellStart"/>
      <w:r w:rsidR="00175258" w:rsidRPr="00901686">
        <w:rPr>
          <w:rStyle w:val="Emphasis"/>
          <w:rFonts w:ascii="Times New Roman" w:hAnsi="Times New Roman" w:cs="Times New Roman"/>
          <w:lang w:val="es-ES"/>
        </w:rPr>
        <w:t>Ivy</w:t>
      </w:r>
      <w:proofErr w:type="spellEnd"/>
      <w:r w:rsidR="00175258" w:rsidRPr="00901686">
        <w:rPr>
          <w:rStyle w:val="Emphasis"/>
          <w:rFonts w:ascii="Times New Roman" w:hAnsi="Times New Roman" w:cs="Times New Roman"/>
          <w:lang w:val="es-ES"/>
        </w:rPr>
        <w:t xml:space="preserve"> League Law </w:t>
      </w:r>
      <w:proofErr w:type="spellStart"/>
      <w:r w:rsidR="00175258" w:rsidRPr="00901686">
        <w:rPr>
          <w:rStyle w:val="Emphasis"/>
          <w:rFonts w:ascii="Times New Roman" w:hAnsi="Times New Roman" w:cs="Times New Roman"/>
          <w:lang w:val="es-ES"/>
        </w:rPr>
        <w:t>School</w:t>
      </w:r>
      <w:proofErr w:type="spellEnd"/>
      <w:r w:rsidR="00175258" w:rsidRPr="00901686">
        <w:rPr>
          <w:rFonts w:ascii="Times New Roman" w:hAnsi="Times New Roman" w:cs="Times New Roman"/>
          <w:lang w:val="es-ES"/>
        </w:rPr>
        <w:t xml:space="preserve">, 143 </w:t>
      </w:r>
      <w:r w:rsidR="00175258" w:rsidRPr="00901686">
        <w:rPr>
          <w:rStyle w:val="Emphasis"/>
          <w:rFonts w:ascii="Times New Roman" w:hAnsi="Times New Roman" w:cs="Times New Roman"/>
          <w:lang w:val="es-ES"/>
        </w:rPr>
        <w:t>University of Pennsylvania Law Review</w:t>
      </w:r>
      <w:r w:rsidR="00175258" w:rsidRPr="00901686">
        <w:rPr>
          <w:rFonts w:ascii="Times New Roman" w:hAnsi="Times New Roman" w:cs="Times New Roman"/>
          <w:lang w:val="es-ES"/>
        </w:rPr>
        <w:t xml:space="preserve"> 1 (1994); Daria </w:t>
      </w:r>
      <w:proofErr w:type="spellStart"/>
      <w:r w:rsidR="00175258" w:rsidRPr="00901686">
        <w:rPr>
          <w:rFonts w:ascii="Times New Roman" w:hAnsi="Times New Roman" w:cs="Times New Roman"/>
          <w:lang w:val="es-ES"/>
        </w:rPr>
        <w:t>Roithmayr</w:t>
      </w:r>
      <w:proofErr w:type="spellEnd"/>
      <w:r w:rsidR="00175258" w:rsidRPr="00901686">
        <w:rPr>
          <w:rFonts w:ascii="Times New Roman" w:hAnsi="Times New Roman" w:cs="Times New Roman"/>
          <w:lang w:val="es-ES"/>
        </w:rPr>
        <w:t xml:space="preserve">, </w:t>
      </w:r>
      <w:proofErr w:type="spellStart"/>
      <w:r w:rsidR="00175258" w:rsidRPr="00901686">
        <w:rPr>
          <w:rStyle w:val="Emphasis"/>
          <w:rFonts w:ascii="Times New Roman" w:hAnsi="Times New Roman" w:cs="Times New Roman"/>
          <w:lang w:val="es-ES"/>
        </w:rPr>
        <w:t>Deconstructing</w:t>
      </w:r>
      <w:proofErr w:type="spellEnd"/>
      <w:r w:rsidR="00175258" w:rsidRPr="00901686">
        <w:rPr>
          <w:rStyle w:val="Emphasis"/>
          <w:rFonts w:ascii="Times New Roman" w:hAnsi="Times New Roman" w:cs="Times New Roman"/>
          <w:lang w:val="es-ES"/>
        </w:rPr>
        <w:t xml:space="preserve"> </w:t>
      </w:r>
      <w:proofErr w:type="spellStart"/>
      <w:r w:rsidR="00175258" w:rsidRPr="00901686">
        <w:rPr>
          <w:rStyle w:val="Emphasis"/>
          <w:rFonts w:ascii="Times New Roman" w:hAnsi="Times New Roman" w:cs="Times New Roman"/>
          <w:lang w:val="es-ES"/>
        </w:rPr>
        <w:t>the</w:t>
      </w:r>
      <w:proofErr w:type="spellEnd"/>
      <w:r w:rsidR="00175258" w:rsidRPr="00901686">
        <w:rPr>
          <w:rStyle w:val="Emphasis"/>
          <w:rFonts w:ascii="Times New Roman" w:hAnsi="Times New Roman" w:cs="Times New Roman"/>
          <w:lang w:val="es-ES"/>
        </w:rPr>
        <w:t xml:space="preserve"> </w:t>
      </w:r>
      <w:proofErr w:type="spellStart"/>
      <w:r w:rsidR="00175258" w:rsidRPr="00901686">
        <w:rPr>
          <w:rStyle w:val="Emphasis"/>
          <w:rFonts w:ascii="Times New Roman" w:hAnsi="Times New Roman" w:cs="Times New Roman"/>
          <w:lang w:val="es-ES"/>
        </w:rPr>
        <w:t>Distinction</w:t>
      </w:r>
      <w:proofErr w:type="spellEnd"/>
      <w:r w:rsidR="00175258" w:rsidRPr="00901686">
        <w:rPr>
          <w:rStyle w:val="Emphasis"/>
          <w:rFonts w:ascii="Times New Roman" w:hAnsi="Times New Roman" w:cs="Times New Roman"/>
          <w:lang w:val="es-ES"/>
        </w:rPr>
        <w:t xml:space="preserve"> Between </w:t>
      </w:r>
      <w:proofErr w:type="spellStart"/>
      <w:r w:rsidR="00175258" w:rsidRPr="00901686">
        <w:rPr>
          <w:rStyle w:val="Emphasis"/>
          <w:rFonts w:ascii="Times New Roman" w:hAnsi="Times New Roman" w:cs="Times New Roman"/>
          <w:lang w:val="es-ES"/>
        </w:rPr>
        <w:t>Bias</w:t>
      </w:r>
      <w:proofErr w:type="spellEnd"/>
      <w:r w:rsidR="00175258" w:rsidRPr="00901686">
        <w:rPr>
          <w:rStyle w:val="Emphasis"/>
          <w:rFonts w:ascii="Times New Roman" w:hAnsi="Times New Roman" w:cs="Times New Roman"/>
          <w:lang w:val="es-ES"/>
        </w:rPr>
        <w:t xml:space="preserve"> and </w:t>
      </w:r>
      <w:proofErr w:type="spellStart"/>
      <w:r w:rsidR="00175258" w:rsidRPr="00901686">
        <w:rPr>
          <w:rStyle w:val="Emphasis"/>
          <w:rFonts w:ascii="Times New Roman" w:hAnsi="Times New Roman" w:cs="Times New Roman"/>
          <w:lang w:val="es-ES"/>
        </w:rPr>
        <w:t>Merit</w:t>
      </w:r>
      <w:proofErr w:type="spellEnd"/>
      <w:r w:rsidR="00175258" w:rsidRPr="00901686">
        <w:rPr>
          <w:rFonts w:ascii="Times New Roman" w:hAnsi="Times New Roman" w:cs="Times New Roman"/>
          <w:lang w:val="es-ES"/>
        </w:rPr>
        <w:t xml:space="preserve">, 85 </w:t>
      </w:r>
      <w:r w:rsidR="00175258" w:rsidRPr="00901686">
        <w:rPr>
          <w:rStyle w:val="Emphasis"/>
          <w:rFonts w:ascii="Times New Roman" w:hAnsi="Times New Roman" w:cs="Times New Roman"/>
          <w:lang w:val="es-ES"/>
        </w:rPr>
        <w:t>California Law Review</w:t>
      </w:r>
      <w:r w:rsidR="00175258" w:rsidRPr="00901686">
        <w:rPr>
          <w:rFonts w:ascii="Times New Roman" w:hAnsi="Times New Roman" w:cs="Times New Roman"/>
          <w:lang w:val="es-ES"/>
        </w:rPr>
        <w:t xml:space="preserve"> 1449 (1997) y 10 </w:t>
      </w:r>
      <w:r w:rsidR="00175258" w:rsidRPr="00901686">
        <w:rPr>
          <w:rStyle w:val="Emphasis"/>
          <w:rFonts w:ascii="Times New Roman" w:hAnsi="Times New Roman" w:cs="Times New Roman"/>
          <w:lang w:val="es-ES"/>
        </w:rPr>
        <w:t xml:space="preserve">La Raza Law </w:t>
      </w:r>
      <w:proofErr w:type="spellStart"/>
      <w:r w:rsidR="00175258" w:rsidRPr="00901686">
        <w:rPr>
          <w:rStyle w:val="Emphasis"/>
          <w:rFonts w:ascii="Times New Roman" w:hAnsi="Times New Roman" w:cs="Times New Roman"/>
          <w:lang w:val="es-ES"/>
        </w:rPr>
        <w:t>Journal</w:t>
      </w:r>
      <w:proofErr w:type="spellEnd"/>
      <w:r w:rsidR="00175258" w:rsidRPr="00901686">
        <w:rPr>
          <w:rFonts w:ascii="Times New Roman" w:hAnsi="Times New Roman" w:cs="Times New Roman"/>
          <w:lang w:val="es-ES"/>
        </w:rPr>
        <w:t xml:space="preserve"> 363 (1998).</w:t>
      </w:r>
    </w:p>
  </w:footnote>
  <w:footnote w:id="28">
    <w:p w14:paraId="315AE72E" w14:textId="5DFCFFF5" w:rsidR="00DD2314" w:rsidRPr="00901686" w:rsidRDefault="00DD2314" w:rsidP="00DD2314">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29</w:t>
      </w:r>
      <w:r w:rsidRPr="00901686">
        <w:rPr>
          <w:rFonts w:ascii="Times New Roman" w:hAnsi="Times New Roman" w:cs="Times New Roman"/>
          <w:lang w:val="es-ES"/>
        </w:rPr>
        <w:t xml:space="preserve"> </w:t>
      </w:r>
      <w:r w:rsidR="00C87FB1" w:rsidRPr="00901686">
        <w:rPr>
          <w:rFonts w:ascii="Times New Roman" w:hAnsi="Times New Roman" w:cs="Times New Roman"/>
          <w:i/>
          <w:iCs/>
          <w:lang w:val="es-ES"/>
        </w:rPr>
        <w:t>Véase</w:t>
      </w:r>
      <w:r w:rsidR="00C87FB1" w:rsidRPr="00901686">
        <w:rPr>
          <w:rFonts w:ascii="Times New Roman" w:hAnsi="Times New Roman" w:cs="Times New Roman"/>
          <w:lang w:val="es-ES"/>
        </w:rPr>
        <w:t xml:space="preserve">, en general, </w:t>
      </w:r>
      <w:proofErr w:type="spellStart"/>
      <w:r w:rsidR="00C87FB1" w:rsidRPr="00901686">
        <w:rPr>
          <w:rStyle w:val="Emphasis"/>
          <w:rFonts w:ascii="Times New Roman" w:hAnsi="Times New Roman" w:cs="Times New Roman"/>
          <w:lang w:val="es-ES"/>
        </w:rPr>
        <w:t>Controversies</w:t>
      </w:r>
      <w:proofErr w:type="spellEnd"/>
      <w:r w:rsidR="00C87FB1" w:rsidRPr="00901686">
        <w:rPr>
          <w:rStyle w:val="Emphasis"/>
          <w:rFonts w:ascii="Times New Roman" w:hAnsi="Times New Roman" w:cs="Times New Roman"/>
          <w:lang w:val="es-ES"/>
        </w:rPr>
        <w:t xml:space="preserve"> in </w:t>
      </w:r>
      <w:proofErr w:type="spellStart"/>
      <w:r w:rsidR="00C87FB1" w:rsidRPr="00901686">
        <w:rPr>
          <w:rStyle w:val="Emphasis"/>
          <w:rFonts w:ascii="Times New Roman" w:hAnsi="Times New Roman" w:cs="Times New Roman"/>
          <w:lang w:val="es-ES"/>
        </w:rPr>
        <w:t>Equal</w:t>
      </w:r>
      <w:proofErr w:type="spellEnd"/>
      <w:r w:rsidR="00C87FB1" w:rsidRPr="00901686">
        <w:rPr>
          <w:rStyle w:val="Emphasis"/>
          <w:rFonts w:ascii="Times New Roman" w:hAnsi="Times New Roman" w:cs="Times New Roman"/>
          <w:lang w:val="es-ES"/>
        </w:rPr>
        <w:t xml:space="preserve"> </w:t>
      </w:r>
      <w:proofErr w:type="spellStart"/>
      <w:r w:rsidR="00C87FB1" w:rsidRPr="00901686">
        <w:rPr>
          <w:rStyle w:val="Emphasis"/>
          <w:rFonts w:ascii="Times New Roman" w:hAnsi="Times New Roman" w:cs="Times New Roman"/>
          <w:lang w:val="es-ES"/>
        </w:rPr>
        <w:t>Protection</w:t>
      </w:r>
      <w:proofErr w:type="spellEnd"/>
      <w:r w:rsidR="00C87FB1" w:rsidRPr="00901686">
        <w:rPr>
          <w:rStyle w:val="Emphasis"/>
          <w:rFonts w:ascii="Times New Roman" w:hAnsi="Times New Roman" w:cs="Times New Roman"/>
          <w:lang w:val="es-ES"/>
        </w:rPr>
        <w:t xml:space="preserve"> Cases in </w:t>
      </w:r>
      <w:proofErr w:type="spellStart"/>
      <w:r w:rsidR="00C87FB1" w:rsidRPr="00901686">
        <w:rPr>
          <w:rStyle w:val="Emphasis"/>
          <w:rFonts w:ascii="Times New Roman" w:hAnsi="Times New Roman" w:cs="Times New Roman"/>
          <w:lang w:val="es-ES"/>
        </w:rPr>
        <w:t>America</w:t>
      </w:r>
      <w:proofErr w:type="spellEnd"/>
      <w:r w:rsidR="00C87FB1" w:rsidRPr="00901686">
        <w:rPr>
          <w:rStyle w:val="Emphasis"/>
          <w:rFonts w:ascii="Times New Roman" w:hAnsi="Times New Roman" w:cs="Times New Roman"/>
          <w:lang w:val="es-ES"/>
        </w:rPr>
        <w:t xml:space="preserve">: </w:t>
      </w:r>
      <w:proofErr w:type="spellStart"/>
      <w:r w:rsidR="00C87FB1" w:rsidRPr="00901686">
        <w:rPr>
          <w:rStyle w:val="Emphasis"/>
          <w:rFonts w:ascii="Times New Roman" w:hAnsi="Times New Roman" w:cs="Times New Roman"/>
          <w:lang w:val="es-ES"/>
        </w:rPr>
        <w:t>Race</w:t>
      </w:r>
      <w:proofErr w:type="spellEnd"/>
      <w:r w:rsidR="00C87FB1" w:rsidRPr="00901686">
        <w:rPr>
          <w:rStyle w:val="Emphasis"/>
          <w:rFonts w:ascii="Times New Roman" w:hAnsi="Times New Roman" w:cs="Times New Roman"/>
          <w:lang w:val="es-ES"/>
        </w:rPr>
        <w:t xml:space="preserve">, </w:t>
      </w:r>
      <w:proofErr w:type="spellStart"/>
      <w:r w:rsidR="00C87FB1" w:rsidRPr="00901686">
        <w:rPr>
          <w:rStyle w:val="Emphasis"/>
          <w:rFonts w:ascii="Times New Roman" w:hAnsi="Times New Roman" w:cs="Times New Roman"/>
          <w:lang w:val="es-ES"/>
        </w:rPr>
        <w:t>Gender</w:t>
      </w:r>
      <w:proofErr w:type="spellEnd"/>
      <w:r w:rsidR="00C87FB1" w:rsidRPr="00901686">
        <w:rPr>
          <w:rStyle w:val="Emphasis"/>
          <w:rFonts w:ascii="Times New Roman" w:hAnsi="Times New Roman" w:cs="Times New Roman"/>
          <w:lang w:val="es-ES"/>
        </w:rPr>
        <w:t xml:space="preserve"> and Sexual </w:t>
      </w:r>
      <w:proofErr w:type="spellStart"/>
      <w:r w:rsidR="00C87FB1" w:rsidRPr="00901686">
        <w:rPr>
          <w:rStyle w:val="Emphasis"/>
          <w:rFonts w:ascii="Times New Roman" w:hAnsi="Times New Roman" w:cs="Times New Roman"/>
          <w:lang w:val="es-ES"/>
        </w:rPr>
        <w:t>Orientation</w:t>
      </w:r>
      <w:proofErr w:type="spellEnd"/>
      <w:r w:rsidR="00C87FB1" w:rsidRPr="00901686">
        <w:rPr>
          <w:rStyle w:val="Emphasis"/>
          <w:rFonts w:ascii="Times New Roman" w:hAnsi="Times New Roman" w:cs="Times New Roman"/>
          <w:lang w:val="es-ES"/>
        </w:rPr>
        <w:t xml:space="preserve"> </w:t>
      </w:r>
      <w:proofErr w:type="spellStart"/>
      <w:r w:rsidR="00C87FB1" w:rsidRPr="00901686">
        <w:rPr>
          <w:rStyle w:val="Emphasis"/>
          <w:rFonts w:ascii="Times New Roman" w:hAnsi="Times New Roman" w:cs="Times New Roman"/>
          <w:lang w:val="es-ES"/>
        </w:rPr>
        <w:t>Controversies</w:t>
      </w:r>
      <w:proofErr w:type="spellEnd"/>
      <w:r w:rsidR="00C87FB1" w:rsidRPr="00901686">
        <w:rPr>
          <w:rStyle w:val="Emphasis"/>
          <w:rFonts w:ascii="Times New Roman" w:hAnsi="Times New Roman" w:cs="Times New Roman"/>
          <w:lang w:val="es-ES"/>
        </w:rPr>
        <w:t xml:space="preserve"> in American </w:t>
      </w:r>
      <w:proofErr w:type="spellStart"/>
      <w:r w:rsidR="00C87FB1" w:rsidRPr="00901686">
        <w:rPr>
          <w:rStyle w:val="Emphasis"/>
          <w:rFonts w:ascii="Times New Roman" w:hAnsi="Times New Roman" w:cs="Times New Roman"/>
          <w:lang w:val="es-ES"/>
        </w:rPr>
        <w:t>Constitutional</w:t>
      </w:r>
      <w:proofErr w:type="spellEnd"/>
      <w:r w:rsidR="00C87FB1" w:rsidRPr="00901686">
        <w:rPr>
          <w:rStyle w:val="Emphasis"/>
          <w:rFonts w:ascii="Times New Roman" w:hAnsi="Times New Roman" w:cs="Times New Roman"/>
          <w:lang w:val="es-ES"/>
        </w:rPr>
        <w:t xml:space="preserve"> Law</w:t>
      </w:r>
      <w:r w:rsidR="00C87FB1" w:rsidRPr="00901686">
        <w:rPr>
          <w:rFonts w:ascii="Times New Roman" w:hAnsi="Times New Roman" w:cs="Times New Roman"/>
          <w:lang w:val="es-ES"/>
        </w:rPr>
        <w:t xml:space="preserve"> (Anne Richardson Oakes, ed., 2015) (recopilación de ensayos sobre la historia y el panorama de la igualdad en el Derecho estadounidense).</w:t>
      </w:r>
    </w:p>
  </w:footnote>
  <w:footnote w:id="29">
    <w:p w14:paraId="3C99F5CE" w14:textId="49BEF34E" w:rsidR="00DD2314" w:rsidRPr="00901686" w:rsidRDefault="00DD2314" w:rsidP="00DD2314">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30</w:t>
      </w:r>
      <w:r w:rsidRPr="00901686">
        <w:rPr>
          <w:rFonts w:ascii="Times New Roman" w:hAnsi="Times New Roman" w:cs="Times New Roman"/>
          <w:lang w:val="es-ES"/>
        </w:rPr>
        <w:t xml:space="preserve"> </w:t>
      </w:r>
      <w:r w:rsidR="00C15C52" w:rsidRPr="00901686">
        <w:rPr>
          <w:rFonts w:ascii="Times New Roman" w:hAnsi="Times New Roman" w:cs="Times New Roman"/>
          <w:i/>
          <w:iCs/>
          <w:lang w:val="es-ES"/>
        </w:rPr>
        <w:t>Véase</w:t>
      </w:r>
      <w:r w:rsidR="00C15C52" w:rsidRPr="00901686">
        <w:rPr>
          <w:rFonts w:ascii="Times New Roman" w:hAnsi="Times New Roman" w:cs="Times New Roman"/>
          <w:lang w:val="es-ES"/>
        </w:rPr>
        <w:t xml:space="preserve"> Max Fisher, </w:t>
      </w:r>
      <w:proofErr w:type="spellStart"/>
      <w:r w:rsidR="00C15C52" w:rsidRPr="00901686">
        <w:rPr>
          <w:rStyle w:val="Emphasis"/>
          <w:rFonts w:ascii="Times New Roman" w:hAnsi="Times New Roman" w:cs="Times New Roman"/>
          <w:lang w:val="es-ES"/>
        </w:rPr>
        <w:t>The</w:t>
      </w:r>
      <w:proofErr w:type="spellEnd"/>
      <w:r w:rsidR="00C15C52" w:rsidRPr="00901686">
        <w:rPr>
          <w:rStyle w:val="Emphasis"/>
          <w:rFonts w:ascii="Times New Roman" w:hAnsi="Times New Roman" w:cs="Times New Roman"/>
          <w:lang w:val="es-ES"/>
        </w:rPr>
        <w:t xml:space="preserve"> Chaos Machine: </w:t>
      </w:r>
      <w:proofErr w:type="spellStart"/>
      <w:r w:rsidR="00C15C52" w:rsidRPr="00901686">
        <w:rPr>
          <w:rStyle w:val="Emphasis"/>
          <w:rFonts w:ascii="Times New Roman" w:hAnsi="Times New Roman" w:cs="Times New Roman"/>
          <w:lang w:val="es-ES"/>
        </w:rPr>
        <w:t>The</w:t>
      </w:r>
      <w:proofErr w:type="spellEnd"/>
      <w:r w:rsidR="00C15C52" w:rsidRPr="00901686">
        <w:rPr>
          <w:rStyle w:val="Emphasis"/>
          <w:rFonts w:ascii="Times New Roman" w:hAnsi="Times New Roman" w:cs="Times New Roman"/>
          <w:lang w:val="es-ES"/>
        </w:rPr>
        <w:t xml:space="preserve"> </w:t>
      </w:r>
      <w:proofErr w:type="spellStart"/>
      <w:r w:rsidR="00C15C52" w:rsidRPr="00901686">
        <w:rPr>
          <w:rStyle w:val="Emphasis"/>
          <w:rFonts w:ascii="Times New Roman" w:hAnsi="Times New Roman" w:cs="Times New Roman"/>
          <w:lang w:val="es-ES"/>
        </w:rPr>
        <w:t>Inside</w:t>
      </w:r>
      <w:proofErr w:type="spellEnd"/>
      <w:r w:rsidR="00C15C52" w:rsidRPr="00901686">
        <w:rPr>
          <w:rStyle w:val="Emphasis"/>
          <w:rFonts w:ascii="Times New Roman" w:hAnsi="Times New Roman" w:cs="Times New Roman"/>
          <w:lang w:val="es-ES"/>
        </w:rPr>
        <w:t xml:space="preserve"> </w:t>
      </w:r>
      <w:proofErr w:type="spellStart"/>
      <w:r w:rsidR="00C15C52" w:rsidRPr="00901686">
        <w:rPr>
          <w:rStyle w:val="Emphasis"/>
          <w:rFonts w:ascii="Times New Roman" w:hAnsi="Times New Roman" w:cs="Times New Roman"/>
          <w:lang w:val="es-ES"/>
        </w:rPr>
        <w:t>Story</w:t>
      </w:r>
      <w:proofErr w:type="spellEnd"/>
      <w:r w:rsidR="00C15C52" w:rsidRPr="00901686">
        <w:rPr>
          <w:rStyle w:val="Emphasis"/>
          <w:rFonts w:ascii="Times New Roman" w:hAnsi="Times New Roman" w:cs="Times New Roman"/>
          <w:lang w:val="es-ES"/>
        </w:rPr>
        <w:t xml:space="preserve"> of </w:t>
      </w:r>
      <w:proofErr w:type="spellStart"/>
      <w:r w:rsidR="00C15C52" w:rsidRPr="00901686">
        <w:rPr>
          <w:rStyle w:val="Emphasis"/>
          <w:rFonts w:ascii="Times New Roman" w:hAnsi="Times New Roman" w:cs="Times New Roman"/>
          <w:lang w:val="es-ES"/>
        </w:rPr>
        <w:t>How</w:t>
      </w:r>
      <w:proofErr w:type="spellEnd"/>
      <w:r w:rsidR="00C15C52" w:rsidRPr="00901686">
        <w:rPr>
          <w:rStyle w:val="Emphasis"/>
          <w:rFonts w:ascii="Times New Roman" w:hAnsi="Times New Roman" w:cs="Times New Roman"/>
          <w:lang w:val="es-ES"/>
        </w:rPr>
        <w:t xml:space="preserve"> Social Media </w:t>
      </w:r>
      <w:proofErr w:type="spellStart"/>
      <w:r w:rsidR="00C15C52" w:rsidRPr="00901686">
        <w:rPr>
          <w:rStyle w:val="Emphasis"/>
          <w:rFonts w:ascii="Times New Roman" w:hAnsi="Times New Roman" w:cs="Times New Roman"/>
          <w:lang w:val="es-ES"/>
        </w:rPr>
        <w:t>Rewired</w:t>
      </w:r>
      <w:proofErr w:type="spellEnd"/>
      <w:r w:rsidR="00C15C52" w:rsidRPr="00901686">
        <w:rPr>
          <w:rStyle w:val="Emphasis"/>
          <w:rFonts w:ascii="Times New Roman" w:hAnsi="Times New Roman" w:cs="Times New Roman"/>
          <w:lang w:val="es-ES"/>
        </w:rPr>
        <w:t xml:space="preserve"> </w:t>
      </w:r>
      <w:proofErr w:type="spellStart"/>
      <w:r w:rsidR="00C15C52" w:rsidRPr="00901686">
        <w:rPr>
          <w:rStyle w:val="Emphasis"/>
          <w:rFonts w:ascii="Times New Roman" w:hAnsi="Times New Roman" w:cs="Times New Roman"/>
          <w:lang w:val="es-ES"/>
        </w:rPr>
        <w:t>Our</w:t>
      </w:r>
      <w:proofErr w:type="spellEnd"/>
      <w:r w:rsidR="00C15C52" w:rsidRPr="00901686">
        <w:rPr>
          <w:rStyle w:val="Emphasis"/>
          <w:rFonts w:ascii="Times New Roman" w:hAnsi="Times New Roman" w:cs="Times New Roman"/>
          <w:lang w:val="es-ES"/>
        </w:rPr>
        <w:t xml:space="preserve"> </w:t>
      </w:r>
      <w:proofErr w:type="spellStart"/>
      <w:r w:rsidR="00C15C52" w:rsidRPr="00901686">
        <w:rPr>
          <w:rStyle w:val="Emphasis"/>
          <w:rFonts w:ascii="Times New Roman" w:hAnsi="Times New Roman" w:cs="Times New Roman"/>
          <w:lang w:val="es-ES"/>
        </w:rPr>
        <w:t>Minds</w:t>
      </w:r>
      <w:proofErr w:type="spellEnd"/>
      <w:r w:rsidR="00C15C52" w:rsidRPr="00901686">
        <w:rPr>
          <w:rStyle w:val="Emphasis"/>
          <w:rFonts w:ascii="Times New Roman" w:hAnsi="Times New Roman" w:cs="Times New Roman"/>
          <w:lang w:val="es-ES"/>
        </w:rPr>
        <w:t xml:space="preserve"> and </w:t>
      </w:r>
      <w:proofErr w:type="spellStart"/>
      <w:r w:rsidR="00C15C52" w:rsidRPr="00901686">
        <w:rPr>
          <w:rStyle w:val="Emphasis"/>
          <w:rFonts w:ascii="Times New Roman" w:hAnsi="Times New Roman" w:cs="Times New Roman"/>
          <w:lang w:val="es-ES"/>
        </w:rPr>
        <w:t>Our</w:t>
      </w:r>
      <w:proofErr w:type="spellEnd"/>
      <w:r w:rsidR="00C15C52" w:rsidRPr="00901686">
        <w:rPr>
          <w:rStyle w:val="Emphasis"/>
          <w:rFonts w:ascii="Times New Roman" w:hAnsi="Times New Roman" w:cs="Times New Roman"/>
          <w:lang w:val="es-ES"/>
        </w:rPr>
        <w:t xml:space="preserve"> </w:t>
      </w:r>
      <w:proofErr w:type="spellStart"/>
      <w:r w:rsidR="00C15C52" w:rsidRPr="00901686">
        <w:rPr>
          <w:rStyle w:val="Emphasis"/>
          <w:rFonts w:ascii="Times New Roman" w:hAnsi="Times New Roman" w:cs="Times New Roman"/>
          <w:lang w:val="es-ES"/>
        </w:rPr>
        <w:t>World</w:t>
      </w:r>
      <w:proofErr w:type="spellEnd"/>
      <w:r w:rsidR="00C15C52" w:rsidRPr="00901686">
        <w:rPr>
          <w:rFonts w:ascii="Times New Roman" w:hAnsi="Times New Roman" w:cs="Times New Roman"/>
          <w:lang w:val="es-ES"/>
        </w:rPr>
        <w:t xml:space="preserve"> (2022) (análisis profundo del desorden informativo y sus consecuencias humanas y sociales).</w:t>
      </w:r>
    </w:p>
  </w:footnote>
  <w:footnote w:id="30">
    <w:p w14:paraId="31378432" w14:textId="3B38A064" w:rsidR="00F62300" w:rsidRPr="00901686" w:rsidRDefault="00F62300" w:rsidP="00F62300">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31</w:t>
      </w:r>
      <w:r w:rsidRPr="00901686">
        <w:rPr>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Citizens</w:t>
      </w:r>
      <w:proofErr w:type="spellEnd"/>
      <w:r w:rsidR="00324E59" w:rsidRPr="00901686">
        <w:rPr>
          <w:rStyle w:val="Emphasis"/>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United</w:t>
      </w:r>
      <w:proofErr w:type="spellEnd"/>
      <w:r w:rsidR="00324E59" w:rsidRPr="00901686">
        <w:rPr>
          <w:rStyle w:val="Emphasis"/>
          <w:rFonts w:ascii="Times New Roman" w:hAnsi="Times New Roman" w:cs="Times New Roman"/>
          <w:lang w:val="es-ES"/>
        </w:rPr>
        <w:t xml:space="preserve"> v. Federal </w:t>
      </w:r>
      <w:proofErr w:type="spellStart"/>
      <w:r w:rsidR="00324E59" w:rsidRPr="00901686">
        <w:rPr>
          <w:rStyle w:val="Emphasis"/>
          <w:rFonts w:ascii="Times New Roman" w:hAnsi="Times New Roman" w:cs="Times New Roman"/>
          <w:lang w:val="es-ES"/>
        </w:rPr>
        <w:t>Election</w:t>
      </w:r>
      <w:proofErr w:type="spellEnd"/>
      <w:r w:rsidR="00324E59" w:rsidRPr="00901686">
        <w:rPr>
          <w:rStyle w:val="Emphasis"/>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Commission</w:t>
      </w:r>
      <w:proofErr w:type="spellEnd"/>
      <w:r w:rsidR="00324E59" w:rsidRPr="00901686">
        <w:rPr>
          <w:rFonts w:ascii="Times New Roman" w:hAnsi="Times New Roman" w:cs="Times New Roman"/>
          <w:lang w:val="es-ES"/>
        </w:rPr>
        <w:t>, 558 U.S. 310, 318–19 (2010).</w:t>
      </w:r>
    </w:p>
  </w:footnote>
  <w:footnote w:id="31">
    <w:p w14:paraId="7B3479CF" w14:textId="1230330A" w:rsidR="00F62300" w:rsidRPr="00901686" w:rsidRDefault="00F62300" w:rsidP="00F62300">
      <w:pPr>
        <w:pStyle w:val="FootnoteText"/>
        <w:rPr>
          <w:rFonts w:ascii="Times New Roman" w:hAnsi="Times New Roman" w:cs="Times New Roman"/>
          <w:i/>
          <w:iCs/>
          <w:lang w:val="es-ES"/>
        </w:rPr>
      </w:pPr>
      <w:r w:rsidRPr="00901686">
        <w:rPr>
          <w:rStyle w:val="FootnoteReference"/>
          <w:rFonts w:ascii="Times New Roman" w:hAnsi="Times New Roman" w:cs="Times New Roman"/>
          <w:lang w:val="es-ES"/>
        </w:rPr>
        <w:t>32</w:t>
      </w:r>
      <w:r w:rsidRPr="00901686">
        <w:rPr>
          <w:rFonts w:ascii="Times New Roman" w:hAnsi="Times New Roman" w:cs="Times New Roman"/>
          <w:lang w:val="es-ES"/>
        </w:rPr>
        <w:t xml:space="preserve"> </w:t>
      </w:r>
      <w:r w:rsidR="00324E59" w:rsidRPr="00901686">
        <w:rPr>
          <w:rFonts w:ascii="Times New Roman" w:hAnsi="Times New Roman" w:cs="Times New Roman"/>
          <w:i/>
          <w:iCs/>
          <w:lang w:val="es-ES"/>
        </w:rPr>
        <w:t>Véase</w:t>
      </w:r>
      <w:r w:rsidR="00324E59" w:rsidRPr="00901686">
        <w:rPr>
          <w:rFonts w:ascii="Times New Roman" w:hAnsi="Times New Roman" w:cs="Times New Roman"/>
          <w:lang w:val="es-ES"/>
        </w:rPr>
        <w:t xml:space="preserve">, por ejemplo, John Nichols y Robert W. </w:t>
      </w:r>
      <w:proofErr w:type="spellStart"/>
      <w:r w:rsidR="00324E59" w:rsidRPr="00901686">
        <w:rPr>
          <w:rFonts w:ascii="Times New Roman" w:hAnsi="Times New Roman" w:cs="Times New Roman"/>
          <w:lang w:val="es-ES"/>
        </w:rPr>
        <w:t>McChesney</w:t>
      </w:r>
      <w:proofErr w:type="spellEnd"/>
      <w:r w:rsidR="00324E59" w:rsidRPr="00901686">
        <w:rPr>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Dollarocracy</w:t>
      </w:r>
      <w:proofErr w:type="spellEnd"/>
      <w:r w:rsidR="00324E59" w:rsidRPr="00901686">
        <w:rPr>
          <w:rStyle w:val="Emphasis"/>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How</w:t>
      </w:r>
      <w:proofErr w:type="spellEnd"/>
      <w:r w:rsidR="00324E59" w:rsidRPr="00901686">
        <w:rPr>
          <w:rStyle w:val="Emphasis"/>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the</w:t>
      </w:r>
      <w:proofErr w:type="spellEnd"/>
      <w:r w:rsidR="00324E59" w:rsidRPr="00901686">
        <w:rPr>
          <w:rStyle w:val="Emphasis"/>
          <w:rFonts w:ascii="Times New Roman" w:hAnsi="Times New Roman" w:cs="Times New Roman"/>
          <w:lang w:val="es-ES"/>
        </w:rPr>
        <w:t xml:space="preserve"> Money-and-Media </w:t>
      </w:r>
      <w:proofErr w:type="spellStart"/>
      <w:r w:rsidR="00324E59" w:rsidRPr="00901686">
        <w:rPr>
          <w:rStyle w:val="Emphasis"/>
          <w:rFonts w:ascii="Times New Roman" w:hAnsi="Times New Roman" w:cs="Times New Roman"/>
          <w:lang w:val="es-ES"/>
        </w:rPr>
        <w:t>Election</w:t>
      </w:r>
      <w:proofErr w:type="spellEnd"/>
      <w:r w:rsidR="00324E59" w:rsidRPr="00901686">
        <w:rPr>
          <w:rStyle w:val="Emphasis"/>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Complex</w:t>
      </w:r>
      <w:proofErr w:type="spellEnd"/>
      <w:r w:rsidR="00324E59" w:rsidRPr="00901686">
        <w:rPr>
          <w:rStyle w:val="Emphasis"/>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Is</w:t>
      </w:r>
      <w:proofErr w:type="spellEnd"/>
      <w:r w:rsidR="00324E59" w:rsidRPr="00901686">
        <w:rPr>
          <w:rStyle w:val="Emphasis"/>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Destroying</w:t>
      </w:r>
      <w:proofErr w:type="spellEnd"/>
      <w:r w:rsidR="00324E59" w:rsidRPr="00901686">
        <w:rPr>
          <w:rStyle w:val="Emphasis"/>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America</w:t>
      </w:r>
      <w:proofErr w:type="spellEnd"/>
      <w:r w:rsidR="00324E59" w:rsidRPr="00901686">
        <w:rPr>
          <w:rFonts w:ascii="Times New Roman" w:hAnsi="Times New Roman" w:cs="Times New Roman"/>
          <w:lang w:val="es-ES"/>
        </w:rPr>
        <w:t xml:space="preserve"> (2013); </w:t>
      </w:r>
      <w:r w:rsidR="00324E59" w:rsidRPr="00901686">
        <w:rPr>
          <w:rFonts w:ascii="Times New Roman" w:hAnsi="Times New Roman" w:cs="Times New Roman"/>
          <w:i/>
          <w:iCs/>
          <w:lang w:val="es-ES"/>
        </w:rPr>
        <w:t>véase</w:t>
      </w:r>
      <w:r w:rsidR="00324E59" w:rsidRPr="00901686">
        <w:rPr>
          <w:rFonts w:ascii="Times New Roman" w:hAnsi="Times New Roman" w:cs="Times New Roman"/>
          <w:lang w:val="es-ES"/>
        </w:rPr>
        <w:t xml:space="preserve"> también Brian Schwartz, </w:t>
      </w:r>
      <w:r w:rsidR="00324E59" w:rsidRPr="00901686">
        <w:rPr>
          <w:rStyle w:val="Emphasis"/>
          <w:rFonts w:ascii="Times New Roman" w:hAnsi="Times New Roman" w:cs="Times New Roman"/>
          <w:lang w:val="es-ES"/>
        </w:rPr>
        <w:t xml:space="preserve">Federal and </w:t>
      </w:r>
      <w:proofErr w:type="spellStart"/>
      <w:r w:rsidR="00324E59" w:rsidRPr="00901686">
        <w:rPr>
          <w:rStyle w:val="Emphasis"/>
          <w:rFonts w:ascii="Times New Roman" w:hAnsi="Times New Roman" w:cs="Times New Roman"/>
          <w:lang w:val="es-ES"/>
        </w:rPr>
        <w:t>State</w:t>
      </w:r>
      <w:proofErr w:type="spellEnd"/>
      <w:r w:rsidR="00324E59" w:rsidRPr="00901686">
        <w:rPr>
          <w:rStyle w:val="Emphasis"/>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Spending</w:t>
      </w:r>
      <w:proofErr w:type="spellEnd"/>
      <w:r w:rsidR="00324E59" w:rsidRPr="00901686">
        <w:rPr>
          <w:rStyle w:val="Emphasis"/>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on</w:t>
      </w:r>
      <w:proofErr w:type="spellEnd"/>
      <w:r w:rsidR="00324E59" w:rsidRPr="00901686">
        <w:rPr>
          <w:rStyle w:val="Emphasis"/>
          <w:rFonts w:ascii="Times New Roman" w:hAnsi="Times New Roman" w:cs="Times New Roman"/>
          <w:lang w:val="es-ES"/>
        </w:rPr>
        <w:t xml:space="preserve"> 2022 </w:t>
      </w:r>
      <w:proofErr w:type="spellStart"/>
      <w:r w:rsidR="00324E59" w:rsidRPr="00901686">
        <w:rPr>
          <w:rStyle w:val="Emphasis"/>
          <w:rFonts w:ascii="Times New Roman" w:hAnsi="Times New Roman" w:cs="Times New Roman"/>
          <w:lang w:val="es-ES"/>
        </w:rPr>
        <w:t>Elections</w:t>
      </w:r>
      <w:proofErr w:type="spellEnd"/>
      <w:r w:rsidR="00324E59" w:rsidRPr="00901686">
        <w:rPr>
          <w:rStyle w:val="Emphasis"/>
          <w:rFonts w:ascii="Times New Roman" w:hAnsi="Times New Roman" w:cs="Times New Roman"/>
          <w:lang w:val="es-ES"/>
        </w:rPr>
        <w:t xml:space="preserve"> Set </w:t>
      </w:r>
      <w:proofErr w:type="spellStart"/>
      <w:r w:rsidR="00324E59" w:rsidRPr="00901686">
        <w:rPr>
          <w:rStyle w:val="Emphasis"/>
          <w:rFonts w:ascii="Times New Roman" w:hAnsi="Times New Roman" w:cs="Times New Roman"/>
          <w:lang w:val="es-ES"/>
        </w:rPr>
        <w:t>to</w:t>
      </w:r>
      <w:proofErr w:type="spellEnd"/>
      <w:r w:rsidR="00324E59" w:rsidRPr="00901686">
        <w:rPr>
          <w:rStyle w:val="Emphasis"/>
          <w:rFonts w:ascii="Times New Roman" w:hAnsi="Times New Roman" w:cs="Times New Roman"/>
          <w:lang w:val="es-ES"/>
        </w:rPr>
        <w:t xml:space="preserve"> Top $16.7 </w:t>
      </w:r>
      <w:proofErr w:type="spellStart"/>
      <w:r w:rsidR="00324E59" w:rsidRPr="00901686">
        <w:rPr>
          <w:rStyle w:val="Emphasis"/>
          <w:rFonts w:ascii="Times New Roman" w:hAnsi="Times New Roman" w:cs="Times New Roman"/>
          <w:lang w:val="es-ES"/>
        </w:rPr>
        <w:t>Billion</w:t>
      </w:r>
      <w:proofErr w:type="spellEnd"/>
      <w:r w:rsidR="00324E59" w:rsidRPr="00901686">
        <w:rPr>
          <w:rStyle w:val="Emphasis"/>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Making</w:t>
      </w:r>
      <w:proofErr w:type="spellEnd"/>
      <w:r w:rsidR="00324E59" w:rsidRPr="00901686">
        <w:rPr>
          <w:rStyle w:val="Emphasis"/>
          <w:rFonts w:ascii="Times New Roman" w:hAnsi="Times New Roman" w:cs="Times New Roman"/>
          <w:lang w:val="es-ES"/>
        </w:rPr>
        <w:t xml:space="preserve"> Them </w:t>
      </w:r>
      <w:proofErr w:type="spellStart"/>
      <w:r w:rsidR="00324E59" w:rsidRPr="00901686">
        <w:rPr>
          <w:rStyle w:val="Emphasis"/>
          <w:rFonts w:ascii="Times New Roman" w:hAnsi="Times New Roman" w:cs="Times New Roman"/>
          <w:lang w:val="es-ES"/>
        </w:rPr>
        <w:t>the</w:t>
      </w:r>
      <w:proofErr w:type="spellEnd"/>
      <w:r w:rsidR="00324E59" w:rsidRPr="00901686">
        <w:rPr>
          <w:rStyle w:val="Emphasis"/>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Most</w:t>
      </w:r>
      <w:proofErr w:type="spellEnd"/>
      <w:r w:rsidR="00324E59" w:rsidRPr="00901686">
        <w:rPr>
          <w:rStyle w:val="Emphasis"/>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Expensive</w:t>
      </w:r>
      <w:proofErr w:type="spellEnd"/>
      <w:r w:rsidR="00324E59" w:rsidRPr="00901686">
        <w:rPr>
          <w:rStyle w:val="Emphasis"/>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Midterms</w:t>
      </w:r>
      <w:proofErr w:type="spellEnd"/>
      <w:r w:rsidR="00324E59" w:rsidRPr="00901686">
        <w:rPr>
          <w:rStyle w:val="Emphasis"/>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Ever</w:t>
      </w:r>
      <w:proofErr w:type="spellEnd"/>
      <w:r w:rsidR="00324E59" w:rsidRPr="00901686">
        <w:rPr>
          <w:rFonts w:ascii="Times New Roman" w:hAnsi="Times New Roman" w:cs="Times New Roman"/>
          <w:lang w:val="es-ES"/>
        </w:rPr>
        <w:t xml:space="preserve"> (3 de noviembre de 2022, 2:18 p.m.), </w:t>
      </w:r>
      <w:r w:rsidR="002E00A9">
        <w:fldChar w:fldCharType="begin"/>
      </w:r>
      <w:r w:rsidR="002E00A9">
        <w:instrText xml:space="preserve"> HYPERLINK "https://www.cnbc.com/2022/11/03/2022-midterm-election-spending-set-to-break-record.html" \t "_new" </w:instrText>
      </w:r>
      <w:r w:rsidR="002E00A9">
        <w:fldChar w:fldCharType="separate"/>
      </w:r>
      <w:r w:rsidR="00324E59" w:rsidRPr="00901686">
        <w:rPr>
          <w:rStyle w:val="Hyperlink"/>
          <w:rFonts w:ascii="Times New Roman" w:hAnsi="Times New Roman" w:cs="Times New Roman"/>
          <w:lang w:val="es-ES"/>
        </w:rPr>
        <w:t>https://www.cnbc.com/2022/11/03/2022-midterm-election-spending-set-to-break-record.html</w:t>
      </w:r>
      <w:r w:rsidR="002E00A9">
        <w:rPr>
          <w:rStyle w:val="Hyperlink"/>
          <w:rFonts w:ascii="Times New Roman" w:hAnsi="Times New Roman" w:cs="Times New Roman"/>
          <w:lang w:val="es-ES"/>
        </w:rPr>
        <w:fldChar w:fldCharType="end"/>
      </w:r>
      <w:r w:rsidR="00324E59" w:rsidRPr="00901686">
        <w:rPr>
          <w:rFonts w:ascii="Times New Roman" w:hAnsi="Times New Roman" w:cs="Times New Roman"/>
          <w:lang w:val="es-ES"/>
        </w:rPr>
        <w:t xml:space="preserve">; Jonathan Weisman y Rachel </w:t>
      </w:r>
      <w:proofErr w:type="spellStart"/>
      <w:r w:rsidR="00324E59" w:rsidRPr="00901686">
        <w:rPr>
          <w:rFonts w:ascii="Times New Roman" w:hAnsi="Times New Roman" w:cs="Times New Roman"/>
          <w:lang w:val="es-ES"/>
        </w:rPr>
        <w:t>Shorey</w:t>
      </w:r>
      <w:proofErr w:type="spellEnd"/>
      <w:r w:rsidR="00324E59" w:rsidRPr="00901686">
        <w:rPr>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Fueled</w:t>
      </w:r>
      <w:proofErr w:type="spellEnd"/>
      <w:r w:rsidR="00324E59" w:rsidRPr="00901686">
        <w:rPr>
          <w:rStyle w:val="Emphasis"/>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by</w:t>
      </w:r>
      <w:proofErr w:type="spellEnd"/>
      <w:r w:rsidR="00324E59" w:rsidRPr="00901686">
        <w:rPr>
          <w:rStyle w:val="Emphasis"/>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Billionaires</w:t>
      </w:r>
      <w:proofErr w:type="spellEnd"/>
      <w:r w:rsidR="00324E59" w:rsidRPr="00901686">
        <w:rPr>
          <w:rStyle w:val="Emphasis"/>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Political</w:t>
      </w:r>
      <w:proofErr w:type="spellEnd"/>
      <w:r w:rsidR="00324E59" w:rsidRPr="00901686">
        <w:rPr>
          <w:rStyle w:val="Emphasis"/>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Spending</w:t>
      </w:r>
      <w:proofErr w:type="spellEnd"/>
      <w:r w:rsidR="00324E59" w:rsidRPr="00901686">
        <w:rPr>
          <w:rStyle w:val="Emphasis"/>
          <w:rFonts w:ascii="Times New Roman" w:hAnsi="Times New Roman" w:cs="Times New Roman"/>
          <w:lang w:val="es-ES"/>
        </w:rPr>
        <w:t xml:space="preserve"> </w:t>
      </w:r>
      <w:proofErr w:type="spellStart"/>
      <w:r w:rsidR="00324E59" w:rsidRPr="00901686">
        <w:rPr>
          <w:rStyle w:val="Emphasis"/>
          <w:rFonts w:ascii="Times New Roman" w:hAnsi="Times New Roman" w:cs="Times New Roman"/>
          <w:lang w:val="es-ES"/>
        </w:rPr>
        <w:t>Shatters</w:t>
      </w:r>
      <w:proofErr w:type="spellEnd"/>
      <w:r w:rsidR="00324E59" w:rsidRPr="00901686">
        <w:rPr>
          <w:rStyle w:val="Emphasis"/>
          <w:rFonts w:ascii="Times New Roman" w:hAnsi="Times New Roman" w:cs="Times New Roman"/>
          <w:lang w:val="es-ES"/>
        </w:rPr>
        <w:t xml:space="preserve"> Records </w:t>
      </w:r>
      <w:proofErr w:type="spellStart"/>
      <w:r w:rsidR="00324E59" w:rsidRPr="00901686">
        <w:rPr>
          <w:rStyle w:val="Emphasis"/>
          <w:rFonts w:ascii="Times New Roman" w:hAnsi="Times New Roman" w:cs="Times New Roman"/>
          <w:lang w:val="es-ES"/>
        </w:rPr>
        <w:t>Again</w:t>
      </w:r>
      <w:proofErr w:type="spellEnd"/>
      <w:r w:rsidR="00324E59" w:rsidRPr="00901686">
        <w:rPr>
          <w:rFonts w:ascii="Times New Roman" w:hAnsi="Times New Roman" w:cs="Times New Roman"/>
          <w:lang w:val="es-ES"/>
        </w:rPr>
        <w:t xml:space="preserve">, </w:t>
      </w:r>
      <w:r w:rsidR="00324E59" w:rsidRPr="00901686">
        <w:rPr>
          <w:rStyle w:val="Emphasis"/>
          <w:rFonts w:ascii="Times New Roman" w:hAnsi="Times New Roman" w:cs="Times New Roman"/>
          <w:lang w:val="es-ES"/>
        </w:rPr>
        <w:t>New York Times</w:t>
      </w:r>
      <w:r w:rsidR="00324E59" w:rsidRPr="00901686">
        <w:rPr>
          <w:rFonts w:ascii="Times New Roman" w:hAnsi="Times New Roman" w:cs="Times New Roman"/>
          <w:lang w:val="es-ES"/>
        </w:rPr>
        <w:t xml:space="preserve"> (3 de noviembre de 2022), </w:t>
      </w:r>
      <w:r w:rsidR="002E00A9">
        <w:fldChar w:fldCharType="begin"/>
      </w:r>
      <w:r w:rsidR="002E00A9">
        <w:instrText xml:space="preserve"> HYPERLINK "https://www.nytimes.</w:instrText>
      </w:r>
      <w:r w:rsidR="002E00A9">
        <w:instrText xml:space="preserve">com/2022/11/03/us/politics/midterm-money-billionaires.html" \t "_new" </w:instrText>
      </w:r>
      <w:r w:rsidR="002E00A9">
        <w:fldChar w:fldCharType="separate"/>
      </w:r>
      <w:r w:rsidR="00324E59" w:rsidRPr="00901686">
        <w:rPr>
          <w:rStyle w:val="Hyperlink"/>
          <w:rFonts w:ascii="Times New Roman" w:hAnsi="Times New Roman" w:cs="Times New Roman"/>
          <w:lang w:val="es-ES"/>
        </w:rPr>
        <w:t>https://www.nytimes.com/2022/11/03/us/politics/midterm-money-billionaires.html</w:t>
      </w:r>
      <w:r w:rsidR="002E00A9">
        <w:rPr>
          <w:rStyle w:val="Hyperlink"/>
          <w:rFonts w:ascii="Times New Roman" w:hAnsi="Times New Roman" w:cs="Times New Roman"/>
          <w:lang w:val="es-ES"/>
        </w:rPr>
        <w:fldChar w:fldCharType="end"/>
      </w:r>
      <w:r w:rsidR="00324E59" w:rsidRPr="00901686">
        <w:rPr>
          <w:rFonts w:ascii="Times New Roman" w:hAnsi="Times New Roman" w:cs="Times New Roman"/>
          <w:lang w:val="es-ES"/>
        </w:rPr>
        <w:t>. Los reportes posteriores a las elecciones concluyeron que se invirtieron 16.7 mil millones de dólares en controlar los resultados de las elecciones de mitad de período de 2022—las más caras hasta la fecha. Como en el pasado reciente, el dinero grande y opaco controlado por multimillonarios está en el centro de esta escalada sin fin.</w:t>
      </w:r>
    </w:p>
  </w:footnote>
  <w:footnote w:id="32">
    <w:p w14:paraId="2885D4B2" w14:textId="3405EE2C" w:rsidR="004749C1" w:rsidRPr="00901686" w:rsidRDefault="004749C1" w:rsidP="004749C1">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33</w:t>
      </w:r>
      <w:r w:rsidRPr="00901686">
        <w:rPr>
          <w:rFonts w:ascii="Times New Roman" w:hAnsi="Times New Roman" w:cs="Times New Roman"/>
          <w:lang w:val="es-ES"/>
        </w:rPr>
        <w:t xml:space="preserve"> </w:t>
      </w:r>
      <w:r w:rsidR="00926222" w:rsidRPr="00901686">
        <w:rPr>
          <w:rFonts w:ascii="Times New Roman" w:hAnsi="Times New Roman" w:cs="Times New Roman"/>
          <w:lang w:val="es-ES"/>
        </w:rPr>
        <w:t xml:space="preserve"> “[U]n estado racial, que ‘emplea fuerza física, violencia, coerción, manipulación, engaño, persuasión, incentivos, derecho, impuestos, sanciones, vigilancia, fuerza militar, aparatos represivos, mecanismos ideológicos y medios de comunicación—en resumen, todos los medios a disposición del Estado—con el fin último del dominio racial... es decir, para reproducir el orden racial y, por tanto, representar principalmente los intereses de la clase dominante racial’.”</w:t>
      </w:r>
      <w:r w:rsidR="008C5DAD" w:rsidRPr="00901686">
        <w:rPr>
          <w:rFonts w:ascii="Times New Roman" w:hAnsi="Times New Roman" w:cs="Times New Roman"/>
          <w:lang w:val="es-ES"/>
        </w:rPr>
        <w:t xml:space="preserve"> </w:t>
      </w:r>
      <w:r w:rsidR="00926222" w:rsidRPr="00901686">
        <w:rPr>
          <w:rFonts w:ascii="Times New Roman" w:hAnsi="Times New Roman" w:cs="Times New Roman"/>
          <w:lang w:val="es-ES"/>
        </w:rPr>
        <w:t xml:space="preserve">David Theo Goldberg, </w:t>
      </w:r>
      <w:proofErr w:type="spellStart"/>
      <w:r w:rsidR="00926222" w:rsidRPr="00901686">
        <w:rPr>
          <w:rStyle w:val="Emphasis"/>
          <w:rFonts w:ascii="Times New Roman" w:hAnsi="Times New Roman" w:cs="Times New Roman"/>
          <w:lang w:val="es-ES"/>
        </w:rPr>
        <w:t>The</w:t>
      </w:r>
      <w:proofErr w:type="spellEnd"/>
      <w:r w:rsidR="00926222" w:rsidRPr="00901686">
        <w:rPr>
          <w:rStyle w:val="Emphasis"/>
          <w:rFonts w:ascii="Times New Roman" w:hAnsi="Times New Roman" w:cs="Times New Roman"/>
          <w:lang w:val="es-ES"/>
        </w:rPr>
        <w:t xml:space="preserve"> Racial </w:t>
      </w:r>
      <w:proofErr w:type="spellStart"/>
      <w:r w:rsidR="00926222" w:rsidRPr="00901686">
        <w:rPr>
          <w:rStyle w:val="Emphasis"/>
          <w:rFonts w:ascii="Times New Roman" w:hAnsi="Times New Roman" w:cs="Times New Roman"/>
          <w:lang w:val="es-ES"/>
        </w:rPr>
        <w:t>State</w:t>
      </w:r>
      <w:proofErr w:type="spellEnd"/>
      <w:r w:rsidR="00926222" w:rsidRPr="00901686">
        <w:rPr>
          <w:rFonts w:ascii="Times New Roman" w:hAnsi="Times New Roman" w:cs="Times New Roman"/>
          <w:lang w:val="es-ES"/>
        </w:rPr>
        <w:t>, p. 112 (2002) (“La ‘clase dominante racial’ es, por tanto, idéntica a las ‘élites económicas dominantes’.”).</w:t>
      </w:r>
    </w:p>
  </w:footnote>
  <w:footnote w:id="33">
    <w:p w14:paraId="0F95F722" w14:textId="442EBAF6" w:rsidR="00642A75" w:rsidRPr="00901686" w:rsidRDefault="00642A75" w:rsidP="007130A6">
      <w:pPr>
        <w:rPr>
          <w:rFonts w:ascii="Times New Roman" w:hAnsi="Times New Roman" w:cs="Times New Roman"/>
          <w:sz w:val="20"/>
          <w:szCs w:val="20"/>
          <w:lang w:val="es-ES"/>
        </w:rPr>
      </w:pPr>
      <w:r w:rsidRPr="00901686">
        <w:rPr>
          <w:rStyle w:val="FootnoteReference"/>
          <w:rFonts w:ascii="Times New Roman" w:hAnsi="Times New Roman" w:cs="Times New Roman"/>
          <w:sz w:val="20"/>
          <w:szCs w:val="20"/>
          <w:lang w:val="es-ES"/>
        </w:rPr>
        <w:t>34</w:t>
      </w:r>
      <w:r w:rsidRPr="00901686">
        <w:rPr>
          <w:rFonts w:ascii="Times New Roman" w:hAnsi="Times New Roman" w:cs="Times New Roman"/>
          <w:sz w:val="20"/>
          <w:szCs w:val="20"/>
          <w:lang w:val="es-ES"/>
        </w:rPr>
        <w:t xml:space="preserve"> </w:t>
      </w:r>
      <w:r w:rsidR="007130A6" w:rsidRPr="00901686">
        <w:rPr>
          <w:rFonts w:ascii="Times New Roman" w:hAnsi="Times New Roman" w:cs="Times New Roman"/>
          <w:sz w:val="20"/>
          <w:szCs w:val="20"/>
          <w:lang w:val="es-ES"/>
        </w:rPr>
        <w:t xml:space="preserve">Por coincidencia—o de forma reveladora—Jennifer Hill, abogada laboral, organizadora comunitaria y profesora adjunta de Derecho en el sur de Florida, inició las conversaciones que llevaron a la concepción y creación del </w:t>
      </w:r>
      <w:proofErr w:type="spellStart"/>
      <w:r w:rsidR="007130A6" w:rsidRPr="00901686">
        <w:rPr>
          <w:rStyle w:val="Emphasis"/>
          <w:rFonts w:ascii="Times New Roman" w:hAnsi="Times New Roman" w:cs="Times New Roman"/>
          <w:sz w:val="20"/>
          <w:szCs w:val="20"/>
          <w:lang w:val="es-ES"/>
        </w:rPr>
        <w:t>Critical</w:t>
      </w:r>
      <w:proofErr w:type="spellEnd"/>
      <w:r w:rsidR="007130A6" w:rsidRPr="00901686">
        <w:rPr>
          <w:rStyle w:val="Emphasis"/>
          <w:rFonts w:ascii="Times New Roman" w:hAnsi="Times New Roman" w:cs="Times New Roman"/>
          <w:sz w:val="20"/>
          <w:szCs w:val="20"/>
          <w:lang w:val="es-ES"/>
        </w:rPr>
        <w:t xml:space="preserve"> Legal </w:t>
      </w:r>
      <w:proofErr w:type="spellStart"/>
      <w:r w:rsidR="007130A6" w:rsidRPr="00901686">
        <w:rPr>
          <w:rStyle w:val="Emphasis"/>
          <w:rFonts w:ascii="Times New Roman" w:hAnsi="Times New Roman" w:cs="Times New Roman"/>
          <w:sz w:val="20"/>
          <w:szCs w:val="20"/>
          <w:lang w:val="es-ES"/>
        </w:rPr>
        <w:t>Collective</w:t>
      </w:r>
      <w:proofErr w:type="spellEnd"/>
      <w:r w:rsidR="007130A6" w:rsidRPr="00901686">
        <w:rPr>
          <w:rFonts w:ascii="Times New Roman" w:hAnsi="Times New Roman" w:cs="Times New Roman"/>
          <w:sz w:val="20"/>
          <w:szCs w:val="20"/>
          <w:lang w:val="es-ES"/>
        </w:rPr>
        <w:t xml:space="preserve"> (CLC), durante la primavera y el verano de 2021. Las primeras conversaciones se centraron en cómo dar difusión al próximo libro de texto dedicado al conocimiento crítico y la resolución sistémica de problemas: </w:t>
      </w:r>
      <w:proofErr w:type="spellStart"/>
      <w:r w:rsidR="007130A6" w:rsidRPr="00901686">
        <w:rPr>
          <w:rStyle w:val="Emphasis"/>
          <w:rFonts w:ascii="Times New Roman" w:hAnsi="Times New Roman" w:cs="Times New Roman"/>
          <w:sz w:val="20"/>
          <w:szCs w:val="20"/>
          <w:lang w:val="es-ES"/>
        </w:rPr>
        <w:t>Critical</w:t>
      </w:r>
      <w:proofErr w:type="spellEnd"/>
      <w:r w:rsidR="007130A6" w:rsidRPr="00901686">
        <w:rPr>
          <w:rStyle w:val="Emphasis"/>
          <w:rFonts w:ascii="Times New Roman" w:hAnsi="Times New Roman" w:cs="Times New Roman"/>
          <w:sz w:val="20"/>
          <w:szCs w:val="20"/>
          <w:lang w:val="es-ES"/>
        </w:rPr>
        <w:t xml:space="preserve"> </w:t>
      </w:r>
      <w:proofErr w:type="spellStart"/>
      <w:r w:rsidR="007130A6" w:rsidRPr="00901686">
        <w:rPr>
          <w:rStyle w:val="Emphasis"/>
          <w:rFonts w:ascii="Times New Roman" w:hAnsi="Times New Roman" w:cs="Times New Roman"/>
          <w:sz w:val="20"/>
          <w:szCs w:val="20"/>
          <w:lang w:val="es-ES"/>
        </w:rPr>
        <w:t>Justice</w:t>
      </w:r>
      <w:proofErr w:type="spellEnd"/>
      <w:r w:rsidR="007130A6" w:rsidRPr="00901686">
        <w:rPr>
          <w:rStyle w:val="Emphasis"/>
          <w:rFonts w:ascii="Times New Roman" w:hAnsi="Times New Roman" w:cs="Times New Roman"/>
          <w:sz w:val="20"/>
          <w:szCs w:val="20"/>
          <w:lang w:val="es-ES"/>
        </w:rPr>
        <w:t xml:space="preserve">: </w:t>
      </w:r>
      <w:proofErr w:type="spellStart"/>
      <w:r w:rsidR="007130A6" w:rsidRPr="00901686">
        <w:rPr>
          <w:rStyle w:val="Emphasis"/>
          <w:rFonts w:ascii="Times New Roman" w:hAnsi="Times New Roman" w:cs="Times New Roman"/>
          <w:sz w:val="20"/>
          <w:szCs w:val="20"/>
          <w:lang w:val="es-ES"/>
        </w:rPr>
        <w:t>Systemic</w:t>
      </w:r>
      <w:proofErr w:type="spellEnd"/>
      <w:r w:rsidR="007130A6" w:rsidRPr="00901686">
        <w:rPr>
          <w:rStyle w:val="Emphasis"/>
          <w:rFonts w:ascii="Times New Roman" w:hAnsi="Times New Roman" w:cs="Times New Roman"/>
          <w:sz w:val="20"/>
          <w:szCs w:val="20"/>
          <w:lang w:val="es-ES"/>
        </w:rPr>
        <w:t xml:space="preserve"> </w:t>
      </w:r>
      <w:proofErr w:type="spellStart"/>
      <w:r w:rsidR="007130A6" w:rsidRPr="00901686">
        <w:rPr>
          <w:rStyle w:val="Emphasis"/>
          <w:rFonts w:ascii="Times New Roman" w:hAnsi="Times New Roman" w:cs="Times New Roman"/>
          <w:sz w:val="20"/>
          <w:szCs w:val="20"/>
          <w:lang w:val="es-ES"/>
        </w:rPr>
        <w:t>Advocacy</w:t>
      </w:r>
      <w:proofErr w:type="spellEnd"/>
      <w:r w:rsidR="007130A6" w:rsidRPr="00901686">
        <w:rPr>
          <w:rStyle w:val="Emphasis"/>
          <w:rFonts w:ascii="Times New Roman" w:hAnsi="Times New Roman" w:cs="Times New Roman"/>
          <w:sz w:val="20"/>
          <w:szCs w:val="20"/>
          <w:lang w:val="es-ES"/>
        </w:rPr>
        <w:t xml:space="preserve"> in Law and </w:t>
      </w:r>
      <w:proofErr w:type="spellStart"/>
      <w:r w:rsidR="007130A6" w:rsidRPr="00901686">
        <w:rPr>
          <w:rStyle w:val="Emphasis"/>
          <w:rFonts w:ascii="Times New Roman" w:hAnsi="Times New Roman" w:cs="Times New Roman"/>
          <w:sz w:val="20"/>
          <w:szCs w:val="20"/>
          <w:lang w:val="es-ES"/>
        </w:rPr>
        <w:t>Society</w:t>
      </w:r>
      <w:proofErr w:type="spellEnd"/>
      <w:r w:rsidR="007130A6" w:rsidRPr="00901686">
        <w:rPr>
          <w:rFonts w:ascii="Times New Roman" w:hAnsi="Times New Roman" w:cs="Times New Roman"/>
          <w:sz w:val="20"/>
          <w:szCs w:val="20"/>
          <w:lang w:val="es-ES"/>
        </w:rPr>
        <w:t xml:space="preserve">, coeditado por Jennifer, Steve Bender y Frank Valdés, y publicado en mayo de 2021. Sin embargo, ese enfoque inicial solo fue el punto de partida para ambiciones más amplias. Como explicó Jennifer, el objetivo era encontrar “formas prácticas de construir estratégicamente sobre las redes existentes o formaciones críticas ya activas”—desde el feminismo jurídico, las clínicas jurídicas y la teoría crítica de la raza hasta los estudios Queer, la teoría LatCrit y </w:t>
      </w:r>
      <w:proofErr w:type="spellStart"/>
      <w:r w:rsidR="007130A6" w:rsidRPr="00901686">
        <w:rPr>
          <w:rFonts w:ascii="Times New Roman" w:hAnsi="Times New Roman" w:cs="Times New Roman"/>
          <w:sz w:val="20"/>
          <w:szCs w:val="20"/>
          <w:lang w:val="es-ES"/>
        </w:rPr>
        <w:t>ClassCrits</w:t>
      </w:r>
      <w:proofErr w:type="spellEnd"/>
      <w:r w:rsidR="007130A6" w:rsidRPr="00901686">
        <w:rPr>
          <w:rFonts w:ascii="Times New Roman" w:hAnsi="Times New Roman" w:cs="Times New Roman"/>
          <w:sz w:val="20"/>
          <w:szCs w:val="20"/>
          <w:lang w:val="es-ES"/>
        </w:rPr>
        <w:t xml:space="preserve">—e incluso extender puentes hacia organizaciones aliadas como </w:t>
      </w:r>
      <w:proofErr w:type="spellStart"/>
      <w:r w:rsidR="007130A6" w:rsidRPr="00901686">
        <w:rPr>
          <w:rStyle w:val="Emphasis"/>
          <w:rFonts w:ascii="Times New Roman" w:hAnsi="Times New Roman" w:cs="Times New Roman"/>
          <w:sz w:val="20"/>
          <w:szCs w:val="20"/>
          <w:lang w:val="es-ES"/>
        </w:rPr>
        <w:t>Society</w:t>
      </w:r>
      <w:proofErr w:type="spellEnd"/>
      <w:r w:rsidR="007130A6" w:rsidRPr="00901686">
        <w:rPr>
          <w:rStyle w:val="Emphasis"/>
          <w:rFonts w:ascii="Times New Roman" w:hAnsi="Times New Roman" w:cs="Times New Roman"/>
          <w:sz w:val="20"/>
          <w:szCs w:val="20"/>
          <w:lang w:val="es-ES"/>
        </w:rPr>
        <w:t xml:space="preserve"> of American Law </w:t>
      </w:r>
      <w:proofErr w:type="spellStart"/>
      <w:r w:rsidR="007130A6" w:rsidRPr="00901686">
        <w:rPr>
          <w:rStyle w:val="Emphasis"/>
          <w:rFonts w:ascii="Times New Roman" w:hAnsi="Times New Roman" w:cs="Times New Roman"/>
          <w:sz w:val="20"/>
          <w:szCs w:val="20"/>
          <w:lang w:val="es-ES"/>
        </w:rPr>
        <w:t>Teachers</w:t>
      </w:r>
      <w:proofErr w:type="spellEnd"/>
      <w:r w:rsidR="007130A6" w:rsidRPr="00901686">
        <w:rPr>
          <w:rFonts w:ascii="Times New Roman" w:hAnsi="Times New Roman" w:cs="Times New Roman"/>
          <w:sz w:val="20"/>
          <w:szCs w:val="20"/>
          <w:lang w:val="es-ES"/>
        </w:rPr>
        <w:t xml:space="preserve"> (SALT). Estos orígenes y sus primeros impulsos enseñan dos lecciones fundamentales: la importancia de incluir perspectivas externas—de otras comunidades, campus o círculos académicos—en la planificación estratégica para la acción colectiva; y la necesidad de redes académicas organizadas capaces de colaborar entre sí, así como con personas u organizaciones aliadas, como base para la formación de un </w:t>
      </w:r>
      <w:proofErr w:type="spellStart"/>
      <w:r w:rsidR="007130A6" w:rsidRPr="00901686">
        <w:rPr>
          <w:rStyle w:val="Emphasis"/>
          <w:rFonts w:ascii="Times New Roman" w:hAnsi="Times New Roman" w:cs="Times New Roman"/>
          <w:sz w:val="20"/>
          <w:szCs w:val="20"/>
          <w:lang w:val="es-ES"/>
        </w:rPr>
        <w:t>critical</w:t>
      </w:r>
      <w:proofErr w:type="spellEnd"/>
      <w:r w:rsidR="007130A6" w:rsidRPr="00901686">
        <w:rPr>
          <w:rStyle w:val="Emphasis"/>
          <w:rFonts w:ascii="Times New Roman" w:hAnsi="Times New Roman" w:cs="Times New Roman"/>
          <w:sz w:val="20"/>
          <w:szCs w:val="20"/>
          <w:lang w:val="es-ES"/>
        </w:rPr>
        <w:t xml:space="preserve"> legal </w:t>
      </w:r>
      <w:proofErr w:type="spellStart"/>
      <w:r w:rsidR="007130A6" w:rsidRPr="00901686">
        <w:rPr>
          <w:rStyle w:val="Emphasis"/>
          <w:rFonts w:ascii="Times New Roman" w:hAnsi="Times New Roman" w:cs="Times New Roman"/>
          <w:sz w:val="20"/>
          <w:szCs w:val="20"/>
          <w:lang w:val="es-ES"/>
        </w:rPr>
        <w:t>collective</w:t>
      </w:r>
      <w:proofErr w:type="spellEnd"/>
      <w:r w:rsidR="007130A6" w:rsidRPr="00901686">
        <w:rPr>
          <w:rFonts w:ascii="Times New Roman" w:hAnsi="Times New Roman" w:cs="Times New Roman"/>
          <w:sz w:val="20"/>
          <w:szCs w:val="20"/>
          <w:lang w:val="es-ES"/>
        </w:rPr>
        <w:t xml:space="preserve"> funcional y sostenible. Como se relata brevemente aquí, esos elementos comenzaron a converger en la formación del CLC, a medida que las conversaciones iniciales se expandían de manera relacional pero constante, durante las semanas y meses siguientes. Al final, las personas involucradas acordaron comenzar a contactar a aliadas posibles, empezando con </w:t>
      </w:r>
      <w:proofErr w:type="spellStart"/>
      <w:r w:rsidR="007130A6" w:rsidRPr="00901686">
        <w:rPr>
          <w:rStyle w:val="Emphasis"/>
          <w:rFonts w:ascii="Times New Roman" w:hAnsi="Times New Roman" w:cs="Times New Roman"/>
          <w:sz w:val="20"/>
          <w:szCs w:val="20"/>
          <w:lang w:val="es-ES"/>
        </w:rPr>
        <w:t>ClassCrits</w:t>
      </w:r>
      <w:proofErr w:type="spellEnd"/>
      <w:r w:rsidR="007130A6" w:rsidRPr="00901686">
        <w:rPr>
          <w:rFonts w:ascii="Times New Roman" w:hAnsi="Times New Roman" w:cs="Times New Roman"/>
          <w:sz w:val="20"/>
          <w:szCs w:val="20"/>
          <w:lang w:val="es-ES"/>
        </w:rPr>
        <w:t xml:space="preserve">, </w:t>
      </w:r>
      <w:r w:rsidR="007130A6" w:rsidRPr="00901686">
        <w:rPr>
          <w:rStyle w:val="Emphasis"/>
          <w:rFonts w:ascii="Times New Roman" w:hAnsi="Times New Roman" w:cs="Times New Roman"/>
          <w:sz w:val="20"/>
          <w:szCs w:val="20"/>
          <w:lang w:val="es-ES"/>
        </w:rPr>
        <w:t>LatCrit</w:t>
      </w:r>
      <w:r w:rsidR="007130A6" w:rsidRPr="00901686">
        <w:rPr>
          <w:rFonts w:ascii="Times New Roman" w:hAnsi="Times New Roman" w:cs="Times New Roman"/>
          <w:sz w:val="20"/>
          <w:szCs w:val="20"/>
          <w:lang w:val="es-ES"/>
        </w:rPr>
        <w:t xml:space="preserve"> y </w:t>
      </w:r>
      <w:r w:rsidR="007130A6" w:rsidRPr="00901686">
        <w:rPr>
          <w:rStyle w:val="Emphasis"/>
          <w:rFonts w:ascii="Times New Roman" w:hAnsi="Times New Roman" w:cs="Times New Roman"/>
          <w:sz w:val="20"/>
          <w:szCs w:val="20"/>
          <w:lang w:val="es-ES"/>
        </w:rPr>
        <w:t>SALT</w:t>
      </w:r>
      <w:r w:rsidR="007130A6" w:rsidRPr="00901686">
        <w:rPr>
          <w:rFonts w:ascii="Times New Roman" w:hAnsi="Times New Roman" w:cs="Times New Roman"/>
          <w:sz w:val="20"/>
          <w:szCs w:val="20"/>
          <w:lang w:val="es-ES"/>
        </w:rPr>
        <w:t xml:space="preserve">. Jennifer contactaría a </w:t>
      </w:r>
      <w:proofErr w:type="spellStart"/>
      <w:r w:rsidR="007130A6" w:rsidRPr="00901686">
        <w:rPr>
          <w:rStyle w:val="Emphasis"/>
          <w:rFonts w:ascii="Times New Roman" w:hAnsi="Times New Roman" w:cs="Times New Roman"/>
          <w:sz w:val="20"/>
          <w:szCs w:val="20"/>
          <w:lang w:val="es-ES"/>
        </w:rPr>
        <w:t>ClassCrits</w:t>
      </w:r>
      <w:proofErr w:type="spellEnd"/>
      <w:r w:rsidR="007130A6" w:rsidRPr="00901686">
        <w:rPr>
          <w:rFonts w:ascii="Times New Roman" w:hAnsi="Times New Roman" w:cs="Times New Roman"/>
          <w:sz w:val="20"/>
          <w:szCs w:val="20"/>
          <w:lang w:val="es-ES"/>
        </w:rPr>
        <w:t xml:space="preserve"> a través de </w:t>
      </w:r>
      <w:proofErr w:type="spellStart"/>
      <w:r w:rsidR="007130A6" w:rsidRPr="00901686">
        <w:rPr>
          <w:rFonts w:ascii="Times New Roman" w:hAnsi="Times New Roman" w:cs="Times New Roman"/>
          <w:sz w:val="20"/>
          <w:szCs w:val="20"/>
          <w:lang w:val="es-ES"/>
        </w:rPr>
        <w:t>Athena</w:t>
      </w:r>
      <w:proofErr w:type="spellEnd"/>
      <w:r w:rsidR="007130A6" w:rsidRPr="00901686">
        <w:rPr>
          <w:rFonts w:ascii="Times New Roman" w:hAnsi="Times New Roman" w:cs="Times New Roman"/>
          <w:sz w:val="20"/>
          <w:szCs w:val="20"/>
          <w:lang w:val="es-ES"/>
        </w:rPr>
        <w:t xml:space="preserve"> Mutua, y a partir de ahí, durante las siguientes semanas, las conversaciones se ampliaron informalmente hacia Lucy </w:t>
      </w:r>
      <w:proofErr w:type="spellStart"/>
      <w:r w:rsidR="007130A6" w:rsidRPr="00901686">
        <w:rPr>
          <w:rFonts w:ascii="Times New Roman" w:hAnsi="Times New Roman" w:cs="Times New Roman"/>
          <w:sz w:val="20"/>
          <w:szCs w:val="20"/>
          <w:lang w:val="es-ES"/>
        </w:rPr>
        <w:t>Jewel</w:t>
      </w:r>
      <w:proofErr w:type="spellEnd"/>
      <w:r w:rsidR="007130A6" w:rsidRPr="00901686">
        <w:rPr>
          <w:rFonts w:ascii="Times New Roman" w:hAnsi="Times New Roman" w:cs="Times New Roman"/>
          <w:sz w:val="20"/>
          <w:szCs w:val="20"/>
          <w:lang w:val="es-ES"/>
        </w:rPr>
        <w:t xml:space="preserve">, Rebecca </w:t>
      </w:r>
      <w:proofErr w:type="spellStart"/>
      <w:r w:rsidR="007130A6" w:rsidRPr="00901686">
        <w:rPr>
          <w:rFonts w:ascii="Times New Roman" w:hAnsi="Times New Roman" w:cs="Times New Roman"/>
          <w:sz w:val="20"/>
          <w:szCs w:val="20"/>
          <w:lang w:val="es-ES"/>
        </w:rPr>
        <w:t>Tsosie</w:t>
      </w:r>
      <w:proofErr w:type="spellEnd"/>
      <w:r w:rsidR="007130A6" w:rsidRPr="00901686">
        <w:rPr>
          <w:rFonts w:ascii="Times New Roman" w:hAnsi="Times New Roman" w:cs="Times New Roman"/>
          <w:sz w:val="20"/>
          <w:szCs w:val="20"/>
          <w:lang w:val="es-ES"/>
        </w:rPr>
        <w:t xml:space="preserve">, Duncan Kennedy, </w:t>
      </w:r>
      <w:proofErr w:type="spellStart"/>
      <w:r w:rsidR="007130A6" w:rsidRPr="00901686">
        <w:rPr>
          <w:rFonts w:ascii="Times New Roman" w:hAnsi="Times New Roman" w:cs="Times New Roman"/>
          <w:sz w:val="20"/>
          <w:szCs w:val="20"/>
          <w:lang w:val="es-ES"/>
        </w:rPr>
        <w:t>Makau</w:t>
      </w:r>
      <w:proofErr w:type="spellEnd"/>
      <w:r w:rsidR="007130A6" w:rsidRPr="00901686">
        <w:rPr>
          <w:rFonts w:ascii="Times New Roman" w:hAnsi="Times New Roman" w:cs="Times New Roman"/>
          <w:sz w:val="20"/>
          <w:szCs w:val="20"/>
          <w:lang w:val="es-ES"/>
        </w:rPr>
        <w:t xml:space="preserve"> Mutua, Angela Harris y otras personas estudiosas, asociadas a diversas redes críticas superpuestas. El propósito de esa estrategia informal de expansión concéntrica era medir el interés en una posible confluencia práctica que reuniera formaciones críticas preexistentes—sobre todo aquellas más institucionalizadas y activas dentro de la academia jurídica—con el fin específico de defender y promover el conocimiento, la investigación y la enseñanza crítica, ahora y a largo plazo, mediante activismo académico organizado en la educación superior, empezando por el Derecho. Para más información sobre CLC y sus proyectos o planes, véase </w:t>
      </w:r>
      <w:r w:rsidR="002E00A9">
        <w:fldChar w:fldCharType="begin"/>
      </w:r>
      <w:r w:rsidR="002E00A9">
        <w:instrText xml:space="preserve"> HYPERLINK "http://www.criticallegalcollective.org" \t "_new" </w:instrText>
      </w:r>
      <w:r w:rsidR="002E00A9">
        <w:fldChar w:fldCharType="separate"/>
      </w:r>
      <w:r w:rsidR="007130A6" w:rsidRPr="00901686">
        <w:rPr>
          <w:rStyle w:val="Hyperlink"/>
          <w:rFonts w:ascii="Times New Roman" w:hAnsi="Times New Roman" w:cs="Times New Roman"/>
          <w:sz w:val="20"/>
          <w:szCs w:val="20"/>
          <w:lang w:val="es-ES"/>
        </w:rPr>
        <w:t>www.criticallegalcollective.org</w:t>
      </w:r>
      <w:r w:rsidR="002E00A9">
        <w:rPr>
          <w:rStyle w:val="Hyperlink"/>
          <w:rFonts w:ascii="Times New Roman" w:hAnsi="Times New Roman" w:cs="Times New Roman"/>
          <w:sz w:val="20"/>
          <w:szCs w:val="20"/>
          <w:lang w:val="es-ES"/>
        </w:rPr>
        <w:fldChar w:fldCharType="end"/>
      </w:r>
      <w:r w:rsidR="007130A6" w:rsidRPr="00901686">
        <w:rPr>
          <w:rFonts w:ascii="Times New Roman" w:hAnsi="Times New Roman" w:cs="Times New Roman"/>
          <w:sz w:val="20"/>
          <w:szCs w:val="20"/>
          <w:lang w:val="es-ES"/>
        </w:rPr>
        <w:t>.</w:t>
      </w:r>
    </w:p>
  </w:footnote>
  <w:footnote w:id="34">
    <w:p w14:paraId="160E6071" w14:textId="1272145F" w:rsidR="00EB0C36" w:rsidRPr="00901686" w:rsidRDefault="00EB0C36" w:rsidP="00EB0C36">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35</w:t>
      </w:r>
      <w:r w:rsidRPr="00901686">
        <w:rPr>
          <w:rFonts w:ascii="Times New Roman" w:hAnsi="Times New Roman" w:cs="Times New Roman"/>
          <w:lang w:val="es-ES"/>
        </w:rPr>
        <w:t xml:space="preserve"> </w:t>
      </w:r>
      <w:r w:rsidR="009B5386" w:rsidRPr="00901686">
        <w:rPr>
          <w:rFonts w:ascii="Times New Roman" w:hAnsi="Times New Roman" w:cs="Times New Roman"/>
          <w:lang w:val="es-ES"/>
        </w:rPr>
        <w:t xml:space="preserve">Para más información actualizada sobre </w:t>
      </w:r>
      <w:r w:rsidR="009B5386" w:rsidRPr="00901686">
        <w:rPr>
          <w:rStyle w:val="Emphasis"/>
          <w:rFonts w:ascii="Times New Roman" w:hAnsi="Times New Roman" w:cs="Times New Roman"/>
          <w:lang w:val="es-ES"/>
        </w:rPr>
        <w:t>AAPF</w:t>
      </w:r>
      <w:r w:rsidR="009B5386" w:rsidRPr="00901686">
        <w:rPr>
          <w:rFonts w:ascii="Times New Roman" w:hAnsi="Times New Roman" w:cs="Times New Roman"/>
          <w:lang w:val="es-ES"/>
        </w:rPr>
        <w:t xml:space="preserve"> y sus actividades, </w:t>
      </w:r>
      <w:r w:rsidR="009B5386" w:rsidRPr="00901686">
        <w:rPr>
          <w:rFonts w:ascii="Times New Roman" w:hAnsi="Times New Roman" w:cs="Times New Roman"/>
          <w:i/>
          <w:iCs/>
          <w:lang w:val="es-ES"/>
        </w:rPr>
        <w:t>véase</w:t>
      </w:r>
      <w:r w:rsidR="009B5386" w:rsidRPr="00901686">
        <w:rPr>
          <w:rFonts w:ascii="Times New Roman" w:hAnsi="Times New Roman" w:cs="Times New Roman"/>
          <w:lang w:val="es-ES"/>
        </w:rPr>
        <w:t xml:space="preserve"> </w:t>
      </w:r>
      <w:r w:rsidR="002E00A9">
        <w:fldChar w:fldCharType="begin"/>
      </w:r>
      <w:r w:rsidR="002E00A9">
        <w:instrText xml:space="preserve"> HYPERLINK "https://www.aapf.org/" \t "_new" </w:instrText>
      </w:r>
      <w:r w:rsidR="002E00A9">
        <w:fldChar w:fldCharType="separate"/>
      </w:r>
      <w:r w:rsidR="009B5386" w:rsidRPr="00901686">
        <w:rPr>
          <w:rStyle w:val="Hyperlink"/>
          <w:rFonts w:ascii="Times New Roman" w:hAnsi="Times New Roman" w:cs="Times New Roman"/>
          <w:lang w:val="es-ES"/>
        </w:rPr>
        <w:t>https://www.aapf.org/</w:t>
      </w:r>
      <w:r w:rsidR="002E00A9">
        <w:rPr>
          <w:rStyle w:val="Hyperlink"/>
          <w:rFonts w:ascii="Times New Roman" w:hAnsi="Times New Roman" w:cs="Times New Roman"/>
          <w:lang w:val="es-ES"/>
        </w:rPr>
        <w:fldChar w:fldCharType="end"/>
      </w:r>
      <w:r w:rsidR="009B5386" w:rsidRPr="00901686">
        <w:rPr>
          <w:rFonts w:ascii="Times New Roman" w:hAnsi="Times New Roman" w:cs="Times New Roman"/>
          <w:lang w:val="es-ES"/>
        </w:rPr>
        <w:t>.</w:t>
      </w:r>
    </w:p>
  </w:footnote>
  <w:footnote w:id="35">
    <w:p w14:paraId="2E3CD804" w14:textId="2DAB81A6" w:rsidR="003A1F9F" w:rsidRPr="00901686" w:rsidRDefault="003A1F9F" w:rsidP="003A1F9F">
      <w:pPr>
        <w:pStyle w:val="FootnoteText"/>
        <w:rPr>
          <w:rFonts w:ascii="Times New Roman" w:hAnsi="Times New Roman" w:cs="Times New Roman"/>
          <w:lang w:val="es-ES"/>
        </w:rPr>
      </w:pPr>
      <w:r w:rsidRPr="00901686">
        <w:rPr>
          <w:rStyle w:val="FootnoteReference"/>
          <w:rFonts w:ascii="Times New Roman" w:hAnsi="Times New Roman" w:cs="Times New Roman"/>
          <w:lang w:val="es-ES"/>
        </w:rPr>
        <w:t>36</w:t>
      </w:r>
      <w:r w:rsidRPr="00901686">
        <w:rPr>
          <w:rFonts w:ascii="Times New Roman" w:hAnsi="Times New Roman" w:cs="Times New Roman"/>
          <w:lang w:val="es-ES"/>
        </w:rPr>
        <w:t xml:space="preserve"> </w:t>
      </w:r>
      <w:r w:rsidR="00901686" w:rsidRPr="00901686">
        <w:rPr>
          <w:rFonts w:ascii="Times New Roman" w:hAnsi="Times New Roman" w:cs="Times New Roman"/>
          <w:lang w:val="es-ES"/>
        </w:rPr>
        <w:t xml:space="preserve">Para leer la declaración completa de los objetivos, o para más información sobre el </w:t>
      </w:r>
      <w:proofErr w:type="spellStart"/>
      <w:r w:rsidR="00901686" w:rsidRPr="00901686">
        <w:rPr>
          <w:rStyle w:val="Emphasis"/>
          <w:rFonts w:ascii="Times New Roman" w:hAnsi="Times New Roman" w:cs="Times New Roman"/>
          <w:lang w:val="es-ES"/>
        </w:rPr>
        <w:t>Critical</w:t>
      </w:r>
      <w:proofErr w:type="spellEnd"/>
      <w:r w:rsidR="00901686" w:rsidRPr="00901686">
        <w:rPr>
          <w:rStyle w:val="Emphasis"/>
          <w:rFonts w:ascii="Times New Roman" w:hAnsi="Times New Roman" w:cs="Times New Roman"/>
          <w:lang w:val="es-ES"/>
        </w:rPr>
        <w:t xml:space="preserve"> (Legal) </w:t>
      </w:r>
      <w:proofErr w:type="spellStart"/>
      <w:r w:rsidR="00901686" w:rsidRPr="00901686">
        <w:rPr>
          <w:rStyle w:val="Emphasis"/>
          <w:rFonts w:ascii="Times New Roman" w:hAnsi="Times New Roman" w:cs="Times New Roman"/>
          <w:lang w:val="es-ES"/>
        </w:rPr>
        <w:t>Collective</w:t>
      </w:r>
      <w:proofErr w:type="spellEnd"/>
      <w:r w:rsidR="00901686" w:rsidRPr="00901686">
        <w:rPr>
          <w:rFonts w:ascii="Times New Roman" w:hAnsi="Times New Roman" w:cs="Times New Roman"/>
          <w:lang w:val="es-ES"/>
        </w:rPr>
        <w:t xml:space="preserve">, </w:t>
      </w:r>
      <w:r w:rsidR="00901686" w:rsidRPr="00901686">
        <w:rPr>
          <w:rFonts w:ascii="Times New Roman" w:hAnsi="Times New Roman" w:cs="Times New Roman"/>
          <w:i/>
          <w:iCs/>
          <w:lang w:val="es-ES"/>
        </w:rPr>
        <w:t>véase</w:t>
      </w:r>
      <w:r w:rsidR="00901686" w:rsidRPr="00901686">
        <w:rPr>
          <w:rFonts w:ascii="Times New Roman" w:hAnsi="Times New Roman" w:cs="Times New Roman"/>
          <w:lang w:val="es-ES"/>
        </w:rPr>
        <w:t xml:space="preserve"> </w:t>
      </w:r>
      <w:r w:rsidR="002E00A9">
        <w:fldChar w:fldCharType="begin"/>
      </w:r>
      <w:r w:rsidR="002E00A9">
        <w:instrText xml:space="preserve"> HYPERLINK "https://www.criticallegalcollective.org/our-mission" \t "_new" </w:instrText>
      </w:r>
      <w:r w:rsidR="002E00A9">
        <w:fldChar w:fldCharType="separate"/>
      </w:r>
      <w:r w:rsidR="00901686" w:rsidRPr="00901686">
        <w:rPr>
          <w:rStyle w:val="Hyperlink"/>
          <w:rFonts w:ascii="Times New Roman" w:hAnsi="Times New Roman" w:cs="Times New Roman"/>
          <w:lang w:val="es-ES"/>
        </w:rPr>
        <w:t>https://www.criticallegalcollective.org/our-mission</w:t>
      </w:r>
      <w:r w:rsidR="002E00A9">
        <w:rPr>
          <w:rStyle w:val="Hyperlink"/>
          <w:rFonts w:ascii="Times New Roman" w:hAnsi="Times New Roman" w:cs="Times New Roman"/>
          <w:lang w:val="es-ES"/>
        </w:rPr>
        <w:fldChar w:fldCharType="end"/>
      </w:r>
      <w:r w:rsidR="00901686" w:rsidRPr="00901686">
        <w:rPr>
          <w:rFonts w:ascii="Times New Roman" w:hAnsi="Times New Roman" w:cs="Times New Roman"/>
          <w:lang w:val="es-ES"/>
        </w:rPr>
        <w:t>.</w:t>
      </w:r>
    </w:p>
  </w:footnote>
  <w:footnote w:id="36">
    <w:p w14:paraId="7D0EED5B" w14:textId="0EABF182" w:rsidR="00731C69" w:rsidRPr="00901686" w:rsidRDefault="00AB73E3" w:rsidP="00731C69">
      <w:pPr>
        <w:pStyle w:val="NormalWeb"/>
        <w:rPr>
          <w:rFonts w:eastAsia="Times New Roman"/>
          <w:kern w:val="0"/>
          <w:sz w:val="20"/>
          <w:szCs w:val="20"/>
          <w:lang w:val="es-ES"/>
          <w14:ligatures w14:val="none"/>
        </w:rPr>
      </w:pPr>
      <w:r w:rsidRPr="00901686">
        <w:rPr>
          <w:rStyle w:val="FootnoteReference"/>
          <w:sz w:val="20"/>
          <w:szCs w:val="20"/>
          <w:lang w:val="es-ES"/>
        </w:rPr>
        <w:t>37</w:t>
      </w:r>
      <w:r w:rsidRPr="00901686">
        <w:rPr>
          <w:sz w:val="20"/>
          <w:szCs w:val="20"/>
          <w:lang w:val="es-ES"/>
        </w:rPr>
        <w:t xml:space="preserve"> </w:t>
      </w:r>
      <w:r w:rsidR="00731C69" w:rsidRPr="00901686">
        <w:rPr>
          <w:rFonts w:eastAsia="Times New Roman"/>
          <w:kern w:val="0"/>
          <w:sz w:val="20"/>
          <w:szCs w:val="20"/>
          <w:lang w:val="es-ES"/>
          <w14:ligatures w14:val="none"/>
        </w:rPr>
        <w:t xml:space="preserve">Para acceder al informe completo de los hallazgos, </w:t>
      </w:r>
      <w:r w:rsidR="00731C69" w:rsidRPr="00901686">
        <w:rPr>
          <w:rFonts w:eastAsia="Times New Roman"/>
          <w:i/>
          <w:iCs/>
          <w:kern w:val="0"/>
          <w:sz w:val="20"/>
          <w:szCs w:val="20"/>
          <w:lang w:val="es-ES"/>
          <w14:ligatures w14:val="none"/>
        </w:rPr>
        <w:t>véase</w:t>
      </w:r>
      <w:r w:rsidR="00731C69" w:rsidRPr="00901686">
        <w:rPr>
          <w:rFonts w:eastAsia="Times New Roman"/>
          <w:kern w:val="0"/>
          <w:sz w:val="20"/>
          <w:szCs w:val="20"/>
          <w:lang w:val="es-ES"/>
          <w14:ligatures w14:val="none"/>
        </w:rPr>
        <w:t xml:space="preserve"> Francisco Valdés, </w:t>
      </w:r>
      <w:proofErr w:type="spellStart"/>
      <w:r w:rsidR="00731C69" w:rsidRPr="00901686">
        <w:rPr>
          <w:rFonts w:eastAsia="Times New Roman"/>
          <w:i/>
          <w:iCs/>
          <w:kern w:val="0"/>
          <w:sz w:val="20"/>
          <w:szCs w:val="20"/>
          <w:lang w:val="es-ES"/>
          <w14:ligatures w14:val="none"/>
        </w:rPr>
        <w:t>Defeat</w:t>
      </w:r>
      <w:proofErr w:type="spellEnd"/>
      <w:r w:rsidR="00731C69" w:rsidRPr="00901686">
        <w:rPr>
          <w:rFonts w:eastAsia="Times New Roman"/>
          <w:i/>
          <w:iCs/>
          <w:kern w:val="0"/>
          <w:sz w:val="20"/>
          <w:szCs w:val="20"/>
          <w:lang w:val="es-ES"/>
          <w14:ligatures w14:val="none"/>
        </w:rPr>
        <w:t xml:space="preserve"> </w:t>
      </w:r>
      <w:proofErr w:type="spellStart"/>
      <w:r w:rsidR="00731C69" w:rsidRPr="00901686">
        <w:rPr>
          <w:rFonts w:eastAsia="Times New Roman"/>
          <w:i/>
          <w:iCs/>
          <w:kern w:val="0"/>
          <w:sz w:val="20"/>
          <w:szCs w:val="20"/>
          <w:lang w:val="es-ES"/>
          <w14:ligatures w14:val="none"/>
        </w:rPr>
        <w:t>Fascism</w:t>
      </w:r>
      <w:proofErr w:type="spellEnd"/>
      <w:r w:rsidR="00731C69" w:rsidRPr="00901686">
        <w:rPr>
          <w:rFonts w:eastAsia="Times New Roman"/>
          <w:i/>
          <w:iCs/>
          <w:kern w:val="0"/>
          <w:sz w:val="20"/>
          <w:szCs w:val="20"/>
          <w:lang w:val="es-ES"/>
          <w14:ligatures w14:val="none"/>
        </w:rPr>
        <w:t xml:space="preserve">, </w:t>
      </w:r>
      <w:proofErr w:type="spellStart"/>
      <w:r w:rsidR="00731C69" w:rsidRPr="00901686">
        <w:rPr>
          <w:rFonts w:eastAsia="Times New Roman"/>
          <w:i/>
          <w:iCs/>
          <w:kern w:val="0"/>
          <w:sz w:val="20"/>
          <w:szCs w:val="20"/>
          <w:lang w:val="es-ES"/>
          <w14:ligatures w14:val="none"/>
        </w:rPr>
        <w:t>Transform</w:t>
      </w:r>
      <w:proofErr w:type="spellEnd"/>
      <w:r w:rsidR="00731C69" w:rsidRPr="00901686">
        <w:rPr>
          <w:rFonts w:eastAsia="Times New Roman"/>
          <w:i/>
          <w:iCs/>
          <w:kern w:val="0"/>
          <w:sz w:val="20"/>
          <w:szCs w:val="20"/>
          <w:lang w:val="es-ES"/>
          <w14:ligatures w14:val="none"/>
        </w:rPr>
        <w:t xml:space="preserve"> </w:t>
      </w:r>
      <w:proofErr w:type="spellStart"/>
      <w:r w:rsidR="00731C69" w:rsidRPr="00901686">
        <w:rPr>
          <w:rFonts w:eastAsia="Times New Roman"/>
          <w:i/>
          <w:iCs/>
          <w:kern w:val="0"/>
          <w:sz w:val="20"/>
          <w:szCs w:val="20"/>
          <w:lang w:val="es-ES"/>
          <w14:ligatures w14:val="none"/>
        </w:rPr>
        <w:t>Democracy</w:t>
      </w:r>
      <w:proofErr w:type="spellEnd"/>
      <w:r w:rsidR="00731C69" w:rsidRPr="00901686">
        <w:rPr>
          <w:rFonts w:eastAsia="Times New Roman"/>
          <w:i/>
          <w:iCs/>
          <w:kern w:val="0"/>
          <w:sz w:val="20"/>
          <w:szCs w:val="20"/>
          <w:lang w:val="es-ES"/>
          <w14:ligatures w14:val="none"/>
        </w:rPr>
        <w:t xml:space="preserve">: </w:t>
      </w:r>
      <w:proofErr w:type="spellStart"/>
      <w:r w:rsidR="00731C69" w:rsidRPr="00901686">
        <w:rPr>
          <w:rFonts w:eastAsia="Times New Roman"/>
          <w:i/>
          <w:iCs/>
          <w:kern w:val="0"/>
          <w:sz w:val="20"/>
          <w:szCs w:val="20"/>
          <w:lang w:val="es-ES"/>
          <w14:ligatures w14:val="none"/>
        </w:rPr>
        <w:t>Mapping</w:t>
      </w:r>
      <w:proofErr w:type="spellEnd"/>
      <w:r w:rsidR="00731C69" w:rsidRPr="00901686">
        <w:rPr>
          <w:rFonts w:eastAsia="Times New Roman"/>
          <w:i/>
          <w:iCs/>
          <w:kern w:val="0"/>
          <w:sz w:val="20"/>
          <w:szCs w:val="20"/>
          <w:lang w:val="es-ES"/>
          <w14:ligatures w14:val="none"/>
        </w:rPr>
        <w:t xml:space="preserve"> </w:t>
      </w:r>
      <w:proofErr w:type="spellStart"/>
      <w:r w:rsidR="00731C69" w:rsidRPr="00901686">
        <w:rPr>
          <w:rFonts w:eastAsia="Times New Roman"/>
          <w:i/>
          <w:iCs/>
          <w:kern w:val="0"/>
          <w:sz w:val="20"/>
          <w:szCs w:val="20"/>
          <w:lang w:val="es-ES"/>
          <w14:ligatures w14:val="none"/>
        </w:rPr>
        <w:t>Academic</w:t>
      </w:r>
      <w:proofErr w:type="spellEnd"/>
      <w:r w:rsidR="00731C69" w:rsidRPr="00901686">
        <w:rPr>
          <w:rFonts w:eastAsia="Times New Roman"/>
          <w:i/>
          <w:iCs/>
          <w:kern w:val="0"/>
          <w:sz w:val="20"/>
          <w:szCs w:val="20"/>
          <w:lang w:val="es-ES"/>
          <w14:ligatures w14:val="none"/>
        </w:rPr>
        <w:t xml:space="preserve"> </w:t>
      </w:r>
      <w:proofErr w:type="spellStart"/>
      <w:r w:rsidR="00731C69" w:rsidRPr="00901686">
        <w:rPr>
          <w:rFonts w:eastAsia="Times New Roman"/>
          <w:i/>
          <w:iCs/>
          <w:kern w:val="0"/>
          <w:sz w:val="20"/>
          <w:szCs w:val="20"/>
          <w:lang w:val="es-ES"/>
          <w14:ligatures w14:val="none"/>
        </w:rPr>
        <w:t>Resources</w:t>
      </w:r>
      <w:proofErr w:type="spellEnd"/>
      <w:r w:rsidR="00731C69" w:rsidRPr="00901686">
        <w:rPr>
          <w:rFonts w:eastAsia="Times New Roman"/>
          <w:i/>
          <w:iCs/>
          <w:kern w:val="0"/>
          <w:sz w:val="20"/>
          <w:szCs w:val="20"/>
          <w:lang w:val="es-ES"/>
          <w14:ligatures w14:val="none"/>
        </w:rPr>
        <w:t xml:space="preserve">, </w:t>
      </w:r>
      <w:proofErr w:type="spellStart"/>
      <w:r w:rsidR="00731C69" w:rsidRPr="00901686">
        <w:rPr>
          <w:rFonts w:eastAsia="Times New Roman"/>
          <w:i/>
          <w:iCs/>
          <w:kern w:val="0"/>
          <w:sz w:val="20"/>
          <w:szCs w:val="20"/>
          <w:lang w:val="es-ES"/>
          <w14:ligatures w14:val="none"/>
        </w:rPr>
        <w:t>Reframing</w:t>
      </w:r>
      <w:proofErr w:type="spellEnd"/>
      <w:r w:rsidR="00731C69" w:rsidRPr="00901686">
        <w:rPr>
          <w:rFonts w:eastAsia="Times New Roman"/>
          <w:i/>
          <w:iCs/>
          <w:kern w:val="0"/>
          <w:sz w:val="20"/>
          <w:szCs w:val="20"/>
          <w:lang w:val="es-ES"/>
          <w14:ligatures w14:val="none"/>
        </w:rPr>
        <w:t xml:space="preserve"> </w:t>
      </w:r>
      <w:proofErr w:type="spellStart"/>
      <w:r w:rsidR="00731C69" w:rsidRPr="00901686">
        <w:rPr>
          <w:rFonts w:eastAsia="Times New Roman"/>
          <w:i/>
          <w:iCs/>
          <w:kern w:val="0"/>
          <w:sz w:val="20"/>
          <w:szCs w:val="20"/>
          <w:lang w:val="es-ES"/>
          <w14:ligatures w14:val="none"/>
        </w:rPr>
        <w:t>the</w:t>
      </w:r>
      <w:proofErr w:type="spellEnd"/>
      <w:r w:rsidR="00731C69" w:rsidRPr="00901686">
        <w:rPr>
          <w:rFonts w:eastAsia="Times New Roman"/>
          <w:i/>
          <w:iCs/>
          <w:kern w:val="0"/>
          <w:sz w:val="20"/>
          <w:szCs w:val="20"/>
          <w:lang w:val="es-ES"/>
          <w14:ligatures w14:val="none"/>
        </w:rPr>
        <w:t xml:space="preserve"> Fundamentals, and </w:t>
      </w:r>
      <w:proofErr w:type="spellStart"/>
      <w:r w:rsidR="00731C69" w:rsidRPr="00901686">
        <w:rPr>
          <w:rFonts w:eastAsia="Times New Roman"/>
          <w:i/>
          <w:iCs/>
          <w:kern w:val="0"/>
          <w:sz w:val="20"/>
          <w:szCs w:val="20"/>
          <w:lang w:val="es-ES"/>
          <w14:ligatures w14:val="none"/>
        </w:rPr>
        <w:t>Organizing</w:t>
      </w:r>
      <w:proofErr w:type="spellEnd"/>
      <w:r w:rsidR="00731C69" w:rsidRPr="00901686">
        <w:rPr>
          <w:rFonts w:eastAsia="Times New Roman"/>
          <w:i/>
          <w:iCs/>
          <w:kern w:val="0"/>
          <w:sz w:val="20"/>
          <w:szCs w:val="20"/>
          <w:lang w:val="es-ES"/>
          <w14:ligatures w14:val="none"/>
        </w:rPr>
        <w:t xml:space="preserve"> </w:t>
      </w:r>
      <w:proofErr w:type="spellStart"/>
      <w:r w:rsidR="00731C69" w:rsidRPr="00901686">
        <w:rPr>
          <w:rFonts w:eastAsia="Times New Roman"/>
          <w:i/>
          <w:iCs/>
          <w:kern w:val="0"/>
          <w:sz w:val="20"/>
          <w:szCs w:val="20"/>
          <w:lang w:val="es-ES"/>
          <w14:ligatures w14:val="none"/>
        </w:rPr>
        <w:t>for</w:t>
      </w:r>
      <w:proofErr w:type="spellEnd"/>
      <w:r w:rsidR="00731C69" w:rsidRPr="00901686">
        <w:rPr>
          <w:rFonts w:eastAsia="Times New Roman"/>
          <w:i/>
          <w:iCs/>
          <w:kern w:val="0"/>
          <w:sz w:val="20"/>
          <w:szCs w:val="20"/>
          <w:lang w:val="es-ES"/>
          <w14:ligatures w14:val="none"/>
        </w:rPr>
        <w:t xml:space="preserve"> </w:t>
      </w:r>
      <w:proofErr w:type="spellStart"/>
      <w:r w:rsidR="00731C69" w:rsidRPr="00901686">
        <w:rPr>
          <w:rFonts w:eastAsia="Times New Roman"/>
          <w:i/>
          <w:iCs/>
          <w:kern w:val="0"/>
          <w:sz w:val="20"/>
          <w:szCs w:val="20"/>
          <w:lang w:val="es-ES"/>
          <w14:ligatures w14:val="none"/>
        </w:rPr>
        <w:t>Collective</w:t>
      </w:r>
      <w:proofErr w:type="spellEnd"/>
      <w:r w:rsidR="00731C69" w:rsidRPr="00901686">
        <w:rPr>
          <w:rFonts w:eastAsia="Times New Roman"/>
          <w:i/>
          <w:iCs/>
          <w:kern w:val="0"/>
          <w:sz w:val="20"/>
          <w:szCs w:val="20"/>
          <w:lang w:val="es-ES"/>
          <w14:ligatures w14:val="none"/>
        </w:rPr>
        <w:t xml:space="preserve"> </w:t>
      </w:r>
      <w:proofErr w:type="spellStart"/>
      <w:r w:rsidR="00731C69" w:rsidRPr="00901686">
        <w:rPr>
          <w:rFonts w:eastAsia="Times New Roman"/>
          <w:i/>
          <w:iCs/>
          <w:kern w:val="0"/>
          <w:sz w:val="20"/>
          <w:szCs w:val="20"/>
          <w:lang w:val="es-ES"/>
          <w14:ligatures w14:val="none"/>
        </w:rPr>
        <w:t>Actions</w:t>
      </w:r>
      <w:proofErr w:type="spellEnd"/>
      <w:r w:rsidR="00731C69" w:rsidRPr="00901686">
        <w:rPr>
          <w:rFonts w:eastAsia="Times New Roman"/>
          <w:kern w:val="0"/>
          <w:sz w:val="20"/>
          <w:szCs w:val="20"/>
          <w:lang w:val="es-ES"/>
          <w14:ligatures w14:val="none"/>
        </w:rPr>
        <w:t xml:space="preserve">, 47 </w:t>
      </w:r>
      <w:r w:rsidR="00731C69" w:rsidRPr="00901686">
        <w:rPr>
          <w:rFonts w:eastAsia="Times New Roman"/>
          <w:i/>
          <w:iCs/>
          <w:kern w:val="0"/>
          <w:sz w:val="20"/>
          <w:szCs w:val="20"/>
          <w:lang w:val="es-ES"/>
          <w14:ligatures w14:val="none"/>
        </w:rPr>
        <w:t>Seattle University Law Review</w:t>
      </w:r>
      <w:r w:rsidR="00731C69" w:rsidRPr="00901686">
        <w:rPr>
          <w:rFonts w:eastAsia="Times New Roman"/>
          <w:kern w:val="0"/>
          <w:sz w:val="20"/>
          <w:szCs w:val="20"/>
          <w:lang w:val="es-ES"/>
          <w14:ligatures w14:val="none"/>
        </w:rPr>
        <w:t xml:space="preserve"> 1057 (2024).</w:t>
      </w:r>
    </w:p>
    <w:p w14:paraId="7AAD0532" w14:textId="40B4B85D" w:rsidR="00AB73E3" w:rsidRPr="00901686" w:rsidRDefault="00AB73E3" w:rsidP="00C835C3">
      <w:pPr>
        <w:pStyle w:val="FootnoteText"/>
        <w:rPr>
          <w:rFonts w:ascii="Times New Roman" w:hAnsi="Times New Roman" w:cs="Times New Roman"/>
          <w:lang w:val="es-E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842612"/>
      <w:docPartObj>
        <w:docPartGallery w:val="Page Numbers (Top of Page)"/>
        <w:docPartUnique/>
      </w:docPartObj>
    </w:sdtPr>
    <w:sdtEndPr>
      <w:rPr>
        <w:noProof/>
      </w:rPr>
    </w:sdtEndPr>
    <w:sdtContent>
      <w:p w14:paraId="63F9D690" w14:textId="344E0972" w:rsidR="00A8250C" w:rsidRDefault="00A8250C">
        <w:pPr>
          <w:pStyle w:val="Header"/>
          <w:jc w:val="right"/>
        </w:pPr>
        <w:r>
          <w:fldChar w:fldCharType="begin"/>
        </w:r>
        <w:r>
          <w:instrText xml:space="preserve"> PAGE   \* MERGEFORMAT </w:instrText>
        </w:r>
        <w:r>
          <w:fldChar w:fldCharType="separate"/>
        </w:r>
        <w:r w:rsidR="002E00A9">
          <w:rPr>
            <w:noProof/>
          </w:rPr>
          <w:t>10</w:t>
        </w:r>
        <w:r>
          <w:rPr>
            <w:noProof/>
          </w:rPr>
          <w:fldChar w:fldCharType="end"/>
        </w:r>
      </w:p>
    </w:sdtContent>
  </w:sdt>
  <w:p w14:paraId="6E520F58" w14:textId="77777777" w:rsidR="00A8250C" w:rsidRDefault="00A8250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80448"/>
    <w:multiLevelType w:val="hybridMultilevel"/>
    <w:tmpl w:val="002ABC5E"/>
    <w:lvl w:ilvl="0" w:tplc="F2C4063E">
      <w:start w:val="1"/>
      <w:numFmt w:val="upperRoman"/>
      <w:lvlText w:val="%1."/>
      <w:lvlJc w:val="left"/>
      <w:pPr>
        <w:ind w:left="2255" w:hanging="174"/>
        <w:jc w:val="right"/>
      </w:pPr>
      <w:rPr>
        <w:rFonts w:ascii="Times New Roman" w:eastAsia="Times New Roman" w:hAnsi="Times New Roman" w:cs="Times New Roman" w:hint="default"/>
        <w:b w:val="0"/>
        <w:bCs w:val="0"/>
        <w:i w:val="0"/>
        <w:iCs w:val="0"/>
        <w:spacing w:val="0"/>
        <w:w w:val="99"/>
        <w:sz w:val="22"/>
        <w:szCs w:val="22"/>
        <w:lang w:val="en-US" w:eastAsia="en-US" w:bidi="ar-SA"/>
      </w:rPr>
    </w:lvl>
    <w:lvl w:ilvl="1" w:tplc="FB40528C">
      <w:numFmt w:val="bullet"/>
      <w:lvlText w:val="•"/>
      <w:lvlJc w:val="left"/>
      <w:pPr>
        <w:ind w:left="2914" w:hanging="174"/>
      </w:pPr>
      <w:rPr>
        <w:rFonts w:hint="default"/>
        <w:lang w:val="en-US" w:eastAsia="en-US" w:bidi="ar-SA"/>
      </w:rPr>
    </w:lvl>
    <w:lvl w:ilvl="2" w:tplc="29E4885C">
      <w:numFmt w:val="bullet"/>
      <w:lvlText w:val="•"/>
      <w:lvlJc w:val="left"/>
      <w:pPr>
        <w:ind w:left="3568" w:hanging="174"/>
      </w:pPr>
      <w:rPr>
        <w:rFonts w:hint="default"/>
        <w:lang w:val="en-US" w:eastAsia="en-US" w:bidi="ar-SA"/>
      </w:rPr>
    </w:lvl>
    <w:lvl w:ilvl="3" w:tplc="A6023F9A">
      <w:numFmt w:val="bullet"/>
      <w:lvlText w:val="•"/>
      <w:lvlJc w:val="left"/>
      <w:pPr>
        <w:ind w:left="4222" w:hanging="174"/>
      </w:pPr>
      <w:rPr>
        <w:rFonts w:hint="default"/>
        <w:lang w:val="en-US" w:eastAsia="en-US" w:bidi="ar-SA"/>
      </w:rPr>
    </w:lvl>
    <w:lvl w:ilvl="4" w:tplc="823A68D4">
      <w:numFmt w:val="bullet"/>
      <w:lvlText w:val="•"/>
      <w:lvlJc w:val="left"/>
      <w:pPr>
        <w:ind w:left="4876" w:hanging="174"/>
      </w:pPr>
      <w:rPr>
        <w:rFonts w:hint="default"/>
        <w:lang w:val="en-US" w:eastAsia="en-US" w:bidi="ar-SA"/>
      </w:rPr>
    </w:lvl>
    <w:lvl w:ilvl="5" w:tplc="FAA6548A">
      <w:numFmt w:val="bullet"/>
      <w:lvlText w:val="•"/>
      <w:lvlJc w:val="left"/>
      <w:pPr>
        <w:ind w:left="5530" w:hanging="174"/>
      </w:pPr>
      <w:rPr>
        <w:rFonts w:hint="default"/>
        <w:lang w:val="en-US" w:eastAsia="en-US" w:bidi="ar-SA"/>
      </w:rPr>
    </w:lvl>
    <w:lvl w:ilvl="6" w:tplc="A6081E5A">
      <w:numFmt w:val="bullet"/>
      <w:lvlText w:val="•"/>
      <w:lvlJc w:val="left"/>
      <w:pPr>
        <w:ind w:left="6184" w:hanging="174"/>
      </w:pPr>
      <w:rPr>
        <w:rFonts w:hint="default"/>
        <w:lang w:val="en-US" w:eastAsia="en-US" w:bidi="ar-SA"/>
      </w:rPr>
    </w:lvl>
    <w:lvl w:ilvl="7" w:tplc="A57621AE">
      <w:numFmt w:val="bullet"/>
      <w:lvlText w:val="•"/>
      <w:lvlJc w:val="left"/>
      <w:pPr>
        <w:ind w:left="6838" w:hanging="174"/>
      </w:pPr>
      <w:rPr>
        <w:rFonts w:hint="default"/>
        <w:lang w:val="en-US" w:eastAsia="en-US" w:bidi="ar-SA"/>
      </w:rPr>
    </w:lvl>
    <w:lvl w:ilvl="8" w:tplc="5EF45176">
      <w:numFmt w:val="bullet"/>
      <w:lvlText w:val="•"/>
      <w:lvlJc w:val="left"/>
      <w:pPr>
        <w:ind w:left="7492" w:hanging="174"/>
      </w:pPr>
      <w:rPr>
        <w:rFonts w:hint="default"/>
        <w:lang w:val="en-US" w:eastAsia="en-US" w:bidi="ar-SA"/>
      </w:rPr>
    </w:lvl>
  </w:abstractNum>
  <w:abstractNum w:abstractNumId="1">
    <w:nsid w:val="38C05520"/>
    <w:multiLevelType w:val="multilevel"/>
    <w:tmpl w:val="CBECA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9672AA"/>
    <w:multiLevelType w:val="hybridMultilevel"/>
    <w:tmpl w:val="5B38CFD6"/>
    <w:lvl w:ilvl="0" w:tplc="CF32415A">
      <w:start w:val="1"/>
      <w:numFmt w:val="upperLetter"/>
      <w:lvlText w:val="%1."/>
      <w:lvlJc w:val="left"/>
      <w:pPr>
        <w:ind w:left="1505" w:hanging="245"/>
      </w:pPr>
      <w:rPr>
        <w:rFonts w:ascii="Times New Roman" w:eastAsia="Times New Roman" w:hAnsi="Times New Roman" w:cs="Times New Roman" w:hint="default"/>
        <w:b w:val="0"/>
        <w:bCs w:val="0"/>
        <w:i/>
        <w:iCs/>
        <w:spacing w:val="0"/>
        <w:w w:val="99"/>
        <w:sz w:val="22"/>
        <w:szCs w:val="22"/>
        <w:lang w:val="en-US" w:eastAsia="en-US" w:bidi="ar-SA"/>
      </w:rPr>
    </w:lvl>
    <w:lvl w:ilvl="1" w:tplc="80E2D214">
      <w:start w:val="1"/>
      <w:numFmt w:val="decimal"/>
      <w:lvlText w:val="(%2)"/>
      <w:lvlJc w:val="left"/>
      <w:pPr>
        <w:ind w:left="1606" w:hanging="291"/>
      </w:pPr>
      <w:rPr>
        <w:rFonts w:ascii="Times New Roman" w:eastAsia="Times New Roman" w:hAnsi="Times New Roman" w:cs="Times New Roman" w:hint="default"/>
        <w:b w:val="0"/>
        <w:bCs w:val="0"/>
        <w:i w:val="0"/>
        <w:iCs w:val="0"/>
        <w:spacing w:val="-1"/>
        <w:w w:val="100"/>
        <w:sz w:val="20"/>
        <w:szCs w:val="20"/>
        <w:lang w:val="en-US" w:eastAsia="en-US" w:bidi="ar-SA"/>
      </w:rPr>
    </w:lvl>
    <w:lvl w:ilvl="2" w:tplc="D8EA1C5C">
      <w:numFmt w:val="bullet"/>
      <w:lvlText w:val="•"/>
      <w:lvlJc w:val="left"/>
      <w:pPr>
        <w:ind w:left="2400" w:hanging="291"/>
      </w:pPr>
      <w:rPr>
        <w:rFonts w:hint="default"/>
        <w:lang w:val="en-US" w:eastAsia="en-US" w:bidi="ar-SA"/>
      </w:rPr>
    </w:lvl>
    <w:lvl w:ilvl="3" w:tplc="41247CF8">
      <w:numFmt w:val="bullet"/>
      <w:lvlText w:val="•"/>
      <w:lvlJc w:val="left"/>
      <w:pPr>
        <w:ind w:left="3200" w:hanging="291"/>
      </w:pPr>
      <w:rPr>
        <w:rFonts w:hint="default"/>
        <w:lang w:val="en-US" w:eastAsia="en-US" w:bidi="ar-SA"/>
      </w:rPr>
    </w:lvl>
    <w:lvl w:ilvl="4" w:tplc="B7DCEDD4">
      <w:numFmt w:val="bullet"/>
      <w:lvlText w:val="•"/>
      <w:lvlJc w:val="left"/>
      <w:pPr>
        <w:ind w:left="4000" w:hanging="291"/>
      </w:pPr>
      <w:rPr>
        <w:rFonts w:hint="default"/>
        <w:lang w:val="en-US" w:eastAsia="en-US" w:bidi="ar-SA"/>
      </w:rPr>
    </w:lvl>
    <w:lvl w:ilvl="5" w:tplc="77E03492">
      <w:numFmt w:val="bullet"/>
      <w:lvlText w:val="•"/>
      <w:lvlJc w:val="left"/>
      <w:pPr>
        <w:ind w:left="4800" w:hanging="291"/>
      </w:pPr>
      <w:rPr>
        <w:rFonts w:hint="default"/>
        <w:lang w:val="en-US" w:eastAsia="en-US" w:bidi="ar-SA"/>
      </w:rPr>
    </w:lvl>
    <w:lvl w:ilvl="6" w:tplc="21A87FEC">
      <w:numFmt w:val="bullet"/>
      <w:lvlText w:val="•"/>
      <w:lvlJc w:val="left"/>
      <w:pPr>
        <w:ind w:left="5600" w:hanging="291"/>
      </w:pPr>
      <w:rPr>
        <w:rFonts w:hint="default"/>
        <w:lang w:val="en-US" w:eastAsia="en-US" w:bidi="ar-SA"/>
      </w:rPr>
    </w:lvl>
    <w:lvl w:ilvl="7" w:tplc="0C706366">
      <w:numFmt w:val="bullet"/>
      <w:lvlText w:val="•"/>
      <w:lvlJc w:val="left"/>
      <w:pPr>
        <w:ind w:left="6400" w:hanging="291"/>
      </w:pPr>
      <w:rPr>
        <w:rFonts w:hint="default"/>
        <w:lang w:val="en-US" w:eastAsia="en-US" w:bidi="ar-SA"/>
      </w:rPr>
    </w:lvl>
    <w:lvl w:ilvl="8" w:tplc="B48E4E08">
      <w:numFmt w:val="bullet"/>
      <w:lvlText w:val="•"/>
      <w:lvlJc w:val="left"/>
      <w:pPr>
        <w:ind w:left="7200" w:hanging="291"/>
      </w:pPr>
      <w:rPr>
        <w:rFonts w:hint="default"/>
        <w:lang w:val="en-US" w:eastAsia="en-US" w:bidi="ar-S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ther Rodriguez Miranda">
    <w15:presenceInfo w15:providerId="AD" w15:userId="S::esther.rodriguez3@upr.edu::f8aa4673-0f91-4dc2-8ec5-bfbd57eb8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A4"/>
    <w:rsid w:val="00021B3A"/>
    <w:rsid w:val="00071C02"/>
    <w:rsid w:val="00083992"/>
    <w:rsid w:val="0009743E"/>
    <w:rsid w:val="000A5CD5"/>
    <w:rsid w:val="000B1F6A"/>
    <w:rsid w:val="000B269B"/>
    <w:rsid w:val="000B2755"/>
    <w:rsid w:val="000C1189"/>
    <w:rsid w:val="000C154A"/>
    <w:rsid w:val="000C3AA4"/>
    <w:rsid w:val="000C3C4E"/>
    <w:rsid w:val="000C4A1E"/>
    <w:rsid w:val="000D24A9"/>
    <w:rsid w:val="000F4100"/>
    <w:rsid w:val="001006F0"/>
    <w:rsid w:val="00100F13"/>
    <w:rsid w:val="00101686"/>
    <w:rsid w:val="00106B37"/>
    <w:rsid w:val="00154515"/>
    <w:rsid w:val="00170096"/>
    <w:rsid w:val="00175258"/>
    <w:rsid w:val="00176A5B"/>
    <w:rsid w:val="001774E7"/>
    <w:rsid w:val="0018446E"/>
    <w:rsid w:val="001C5AAB"/>
    <w:rsid w:val="001C6D64"/>
    <w:rsid w:val="001D451B"/>
    <w:rsid w:val="001F67B4"/>
    <w:rsid w:val="002020E6"/>
    <w:rsid w:val="0020346B"/>
    <w:rsid w:val="0021468A"/>
    <w:rsid w:val="00221BE7"/>
    <w:rsid w:val="0023040E"/>
    <w:rsid w:val="00247A0C"/>
    <w:rsid w:val="00251FA6"/>
    <w:rsid w:val="00254F56"/>
    <w:rsid w:val="002754C7"/>
    <w:rsid w:val="002A015A"/>
    <w:rsid w:val="002A5513"/>
    <w:rsid w:val="002A726F"/>
    <w:rsid w:val="002C3C7B"/>
    <w:rsid w:val="002D1B08"/>
    <w:rsid w:val="002E00A9"/>
    <w:rsid w:val="002E34F6"/>
    <w:rsid w:val="002E6C0F"/>
    <w:rsid w:val="00301BFC"/>
    <w:rsid w:val="003061E1"/>
    <w:rsid w:val="00307023"/>
    <w:rsid w:val="003133B2"/>
    <w:rsid w:val="00324E59"/>
    <w:rsid w:val="00325DEA"/>
    <w:rsid w:val="00331129"/>
    <w:rsid w:val="0033415F"/>
    <w:rsid w:val="00334334"/>
    <w:rsid w:val="00340C73"/>
    <w:rsid w:val="003440E2"/>
    <w:rsid w:val="0034713A"/>
    <w:rsid w:val="00381636"/>
    <w:rsid w:val="003837E9"/>
    <w:rsid w:val="0038591C"/>
    <w:rsid w:val="003935C5"/>
    <w:rsid w:val="00393D8F"/>
    <w:rsid w:val="00397808"/>
    <w:rsid w:val="003A0D66"/>
    <w:rsid w:val="003A1F9F"/>
    <w:rsid w:val="003D0E34"/>
    <w:rsid w:val="003D51D6"/>
    <w:rsid w:val="003D51E7"/>
    <w:rsid w:val="003E7AF2"/>
    <w:rsid w:val="003F0E34"/>
    <w:rsid w:val="004117EF"/>
    <w:rsid w:val="00415A3D"/>
    <w:rsid w:val="00417FFD"/>
    <w:rsid w:val="00423923"/>
    <w:rsid w:val="004471C6"/>
    <w:rsid w:val="00454947"/>
    <w:rsid w:val="00461AD9"/>
    <w:rsid w:val="00472750"/>
    <w:rsid w:val="004749C1"/>
    <w:rsid w:val="00487541"/>
    <w:rsid w:val="004C3525"/>
    <w:rsid w:val="005270EF"/>
    <w:rsid w:val="00534EF2"/>
    <w:rsid w:val="00536CD9"/>
    <w:rsid w:val="0055022A"/>
    <w:rsid w:val="005511D2"/>
    <w:rsid w:val="00562D49"/>
    <w:rsid w:val="00564190"/>
    <w:rsid w:val="00572430"/>
    <w:rsid w:val="005749E2"/>
    <w:rsid w:val="005831EA"/>
    <w:rsid w:val="005C527C"/>
    <w:rsid w:val="005D06AB"/>
    <w:rsid w:val="005F1434"/>
    <w:rsid w:val="005F2394"/>
    <w:rsid w:val="006013A0"/>
    <w:rsid w:val="00622A94"/>
    <w:rsid w:val="0063440C"/>
    <w:rsid w:val="00642A75"/>
    <w:rsid w:val="00642DE4"/>
    <w:rsid w:val="006448BD"/>
    <w:rsid w:val="00645CE0"/>
    <w:rsid w:val="00666FC2"/>
    <w:rsid w:val="00673604"/>
    <w:rsid w:val="0067541B"/>
    <w:rsid w:val="00685D36"/>
    <w:rsid w:val="0069697C"/>
    <w:rsid w:val="006B59CC"/>
    <w:rsid w:val="006B6F64"/>
    <w:rsid w:val="006C4329"/>
    <w:rsid w:val="00700AD2"/>
    <w:rsid w:val="007121D6"/>
    <w:rsid w:val="007130A6"/>
    <w:rsid w:val="00715A36"/>
    <w:rsid w:val="007249AE"/>
    <w:rsid w:val="00725FAB"/>
    <w:rsid w:val="00726168"/>
    <w:rsid w:val="00731C69"/>
    <w:rsid w:val="007323D3"/>
    <w:rsid w:val="00764FB1"/>
    <w:rsid w:val="00774A80"/>
    <w:rsid w:val="00780893"/>
    <w:rsid w:val="0079171F"/>
    <w:rsid w:val="007A15A4"/>
    <w:rsid w:val="007A2674"/>
    <w:rsid w:val="007A4180"/>
    <w:rsid w:val="007A7403"/>
    <w:rsid w:val="007C0510"/>
    <w:rsid w:val="007C2755"/>
    <w:rsid w:val="007D2581"/>
    <w:rsid w:val="007D4686"/>
    <w:rsid w:val="007E3EA3"/>
    <w:rsid w:val="007F2850"/>
    <w:rsid w:val="007F4833"/>
    <w:rsid w:val="008230D4"/>
    <w:rsid w:val="0082795D"/>
    <w:rsid w:val="00831A65"/>
    <w:rsid w:val="00842398"/>
    <w:rsid w:val="008507EC"/>
    <w:rsid w:val="00857C77"/>
    <w:rsid w:val="0087649F"/>
    <w:rsid w:val="00885DED"/>
    <w:rsid w:val="00890FE4"/>
    <w:rsid w:val="008941D3"/>
    <w:rsid w:val="008949FB"/>
    <w:rsid w:val="008A5839"/>
    <w:rsid w:val="008C2E4D"/>
    <w:rsid w:val="008C5DAD"/>
    <w:rsid w:val="008D02E7"/>
    <w:rsid w:val="008D35D0"/>
    <w:rsid w:val="008D364E"/>
    <w:rsid w:val="008D70C2"/>
    <w:rsid w:val="008E1FEF"/>
    <w:rsid w:val="008F60B5"/>
    <w:rsid w:val="00901686"/>
    <w:rsid w:val="009026B6"/>
    <w:rsid w:val="00926222"/>
    <w:rsid w:val="009265DB"/>
    <w:rsid w:val="0092789E"/>
    <w:rsid w:val="009339AA"/>
    <w:rsid w:val="00942CA4"/>
    <w:rsid w:val="009432CB"/>
    <w:rsid w:val="00951374"/>
    <w:rsid w:val="00952680"/>
    <w:rsid w:val="009657E2"/>
    <w:rsid w:val="00976BC8"/>
    <w:rsid w:val="00995FD0"/>
    <w:rsid w:val="009966AF"/>
    <w:rsid w:val="00997A7D"/>
    <w:rsid w:val="009A4C18"/>
    <w:rsid w:val="009A7361"/>
    <w:rsid w:val="009B5386"/>
    <w:rsid w:val="009C3148"/>
    <w:rsid w:val="009D171E"/>
    <w:rsid w:val="009D235C"/>
    <w:rsid w:val="009E250D"/>
    <w:rsid w:val="009E7679"/>
    <w:rsid w:val="00A101F9"/>
    <w:rsid w:val="00A23ACE"/>
    <w:rsid w:val="00A321E8"/>
    <w:rsid w:val="00A36BB7"/>
    <w:rsid w:val="00A40D3A"/>
    <w:rsid w:val="00A46C3F"/>
    <w:rsid w:val="00A4730A"/>
    <w:rsid w:val="00A51EE3"/>
    <w:rsid w:val="00A613BC"/>
    <w:rsid w:val="00A62801"/>
    <w:rsid w:val="00A8250C"/>
    <w:rsid w:val="00A827FB"/>
    <w:rsid w:val="00A8402A"/>
    <w:rsid w:val="00AA77B7"/>
    <w:rsid w:val="00AB0BE7"/>
    <w:rsid w:val="00AB73E3"/>
    <w:rsid w:val="00AC51C5"/>
    <w:rsid w:val="00AE6DA5"/>
    <w:rsid w:val="00AF1200"/>
    <w:rsid w:val="00AF6C28"/>
    <w:rsid w:val="00B06E12"/>
    <w:rsid w:val="00B21ADD"/>
    <w:rsid w:val="00B25565"/>
    <w:rsid w:val="00B31B92"/>
    <w:rsid w:val="00B36474"/>
    <w:rsid w:val="00B51A21"/>
    <w:rsid w:val="00B52221"/>
    <w:rsid w:val="00B55475"/>
    <w:rsid w:val="00B62D09"/>
    <w:rsid w:val="00B66D21"/>
    <w:rsid w:val="00B671A1"/>
    <w:rsid w:val="00B80D89"/>
    <w:rsid w:val="00B8280F"/>
    <w:rsid w:val="00B858C6"/>
    <w:rsid w:val="00BA1E24"/>
    <w:rsid w:val="00BA70DF"/>
    <w:rsid w:val="00BB46B8"/>
    <w:rsid w:val="00BB5164"/>
    <w:rsid w:val="00BB5DBB"/>
    <w:rsid w:val="00BD0D91"/>
    <w:rsid w:val="00BD40BB"/>
    <w:rsid w:val="00BE2ECC"/>
    <w:rsid w:val="00BE39B2"/>
    <w:rsid w:val="00BF2910"/>
    <w:rsid w:val="00C01957"/>
    <w:rsid w:val="00C11E31"/>
    <w:rsid w:val="00C15C52"/>
    <w:rsid w:val="00C17C8F"/>
    <w:rsid w:val="00C22DBC"/>
    <w:rsid w:val="00C43BF9"/>
    <w:rsid w:val="00C45B03"/>
    <w:rsid w:val="00C460A4"/>
    <w:rsid w:val="00C52833"/>
    <w:rsid w:val="00C763BA"/>
    <w:rsid w:val="00C835C3"/>
    <w:rsid w:val="00C859BB"/>
    <w:rsid w:val="00C87FB1"/>
    <w:rsid w:val="00C96B0D"/>
    <w:rsid w:val="00CA2725"/>
    <w:rsid w:val="00CA4715"/>
    <w:rsid w:val="00CC262B"/>
    <w:rsid w:val="00CD2921"/>
    <w:rsid w:val="00CD329B"/>
    <w:rsid w:val="00CE6BB2"/>
    <w:rsid w:val="00CF0D41"/>
    <w:rsid w:val="00CF0DF0"/>
    <w:rsid w:val="00CF498C"/>
    <w:rsid w:val="00D02558"/>
    <w:rsid w:val="00D0355F"/>
    <w:rsid w:val="00D045BC"/>
    <w:rsid w:val="00D059C5"/>
    <w:rsid w:val="00D3545C"/>
    <w:rsid w:val="00D4539F"/>
    <w:rsid w:val="00D51D0F"/>
    <w:rsid w:val="00D53A16"/>
    <w:rsid w:val="00D54BE4"/>
    <w:rsid w:val="00D56288"/>
    <w:rsid w:val="00D637A3"/>
    <w:rsid w:val="00D658B5"/>
    <w:rsid w:val="00D81DCE"/>
    <w:rsid w:val="00D84115"/>
    <w:rsid w:val="00DA5CE3"/>
    <w:rsid w:val="00DB206A"/>
    <w:rsid w:val="00DB5AA3"/>
    <w:rsid w:val="00DB5EFC"/>
    <w:rsid w:val="00DD2314"/>
    <w:rsid w:val="00DE4477"/>
    <w:rsid w:val="00E06158"/>
    <w:rsid w:val="00E3077A"/>
    <w:rsid w:val="00E31D87"/>
    <w:rsid w:val="00E3387C"/>
    <w:rsid w:val="00E41769"/>
    <w:rsid w:val="00E766AB"/>
    <w:rsid w:val="00E85632"/>
    <w:rsid w:val="00E86BF0"/>
    <w:rsid w:val="00EA0D30"/>
    <w:rsid w:val="00EB0C36"/>
    <w:rsid w:val="00EB2082"/>
    <w:rsid w:val="00EB5530"/>
    <w:rsid w:val="00EB6BDD"/>
    <w:rsid w:val="00EC7C74"/>
    <w:rsid w:val="00ED392D"/>
    <w:rsid w:val="00ED7E8D"/>
    <w:rsid w:val="00EE323F"/>
    <w:rsid w:val="00EE5456"/>
    <w:rsid w:val="00EF4833"/>
    <w:rsid w:val="00F02352"/>
    <w:rsid w:val="00F1290A"/>
    <w:rsid w:val="00F139A2"/>
    <w:rsid w:val="00F21053"/>
    <w:rsid w:val="00F244A5"/>
    <w:rsid w:val="00F4425E"/>
    <w:rsid w:val="00F47D65"/>
    <w:rsid w:val="00F524E8"/>
    <w:rsid w:val="00F60941"/>
    <w:rsid w:val="00F61FCA"/>
    <w:rsid w:val="00F62300"/>
    <w:rsid w:val="00F84969"/>
    <w:rsid w:val="00FC37AC"/>
    <w:rsid w:val="00FC5566"/>
    <w:rsid w:val="00FC6D1D"/>
    <w:rsid w:val="00FC7748"/>
    <w:rsid w:val="00FE5954"/>
    <w:rsid w:val="00FF2620"/>
    <w:rsid w:val="00FF6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2C0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354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0A4"/>
  </w:style>
  <w:style w:type="paragraph" w:styleId="Footer">
    <w:name w:val="footer"/>
    <w:basedOn w:val="Normal"/>
    <w:link w:val="FooterChar"/>
    <w:uiPriority w:val="99"/>
    <w:unhideWhenUsed/>
    <w:rsid w:val="00C46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0A4"/>
  </w:style>
  <w:style w:type="paragraph" w:styleId="FootnoteText">
    <w:name w:val="footnote text"/>
    <w:basedOn w:val="Normal"/>
    <w:link w:val="FootnoteTextChar"/>
    <w:uiPriority w:val="99"/>
    <w:unhideWhenUsed/>
    <w:rsid w:val="009026B6"/>
    <w:pPr>
      <w:spacing w:after="0" w:line="240" w:lineRule="auto"/>
    </w:pPr>
    <w:rPr>
      <w:sz w:val="20"/>
      <w:szCs w:val="20"/>
    </w:rPr>
  </w:style>
  <w:style w:type="character" w:customStyle="1" w:styleId="FootnoteTextChar">
    <w:name w:val="Footnote Text Char"/>
    <w:basedOn w:val="DefaultParagraphFont"/>
    <w:link w:val="FootnoteText"/>
    <w:uiPriority w:val="99"/>
    <w:rsid w:val="009026B6"/>
    <w:rPr>
      <w:sz w:val="20"/>
      <w:szCs w:val="20"/>
    </w:rPr>
  </w:style>
  <w:style w:type="character" w:styleId="FootnoteReference">
    <w:name w:val="footnote reference"/>
    <w:basedOn w:val="DefaultParagraphFont"/>
    <w:uiPriority w:val="99"/>
    <w:unhideWhenUsed/>
    <w:rsid w:val="009026B6"/>
    <w:rPr>
      <w:vertAlign w:val="superscript"/>
    </w:rPr>
  </w:style>
  <w:style w:type="paragraph" w:styleId="NormalWeb">
    <w:name w:val="Normal (Web)"/>
    <w:basedOn w:val="Normal"/>
    <w:uiPriority w:val="99"/>
    <w:unhideWhenUsed/>
    <w:rsid w:val="00BB5164"/>
    <w:rPr>
      <w:rFonts w:ascii="Times New Roman" w:hAnsi="Times New Roman" w:cs="Times New Roman"/>
      <w:sz w:val="24"/>
      <w:szCs w:val="24"/>
    </w:rPr>
  </w:style>
  <w:style w:type="character" w:styleId="Hyperlink">
    <w:name w:val="Hyperlink"/>
    <w:basedOn w:val="DefaultParagraphFont"/>
    <w:uiPriority w:val="99"/>
    <w:unhideWhenUsed/>
    <w:rsid w:val="00307023"/>
    <w:rPr>
      <w:color w:val="0563C1" w:themeColor="hyperlink"/>
      <w:u w:val="single"/>
    </w:rPr>
  </w:style>
  <w:style w:type="character" w:customStyle="1" w:styleId="UnresolvedMention1">
    <w:name w:val="Unresolved Mention1"/>
    <w:basedOn w:val="DefaultParagraphFont"/>
    <w:uiPriority w:val="99"/>
    <w:semiHidden/>
    <w:unhideWhenUsed/>
    <w:rsid w:val="00307023"/>
    <w:rPr>
      <w:color w:val="605E5C"/>
      <w:shd w:val="clear" w:color="auto" w:fill="E1DFDD"/>
    </w:rPr>
  </w:style>
  <w:style w:type="paragraph" w:styleId="ListParagraph">
    <w:name w:val="List Paragraph"/>
    <w:basedOn w:val="Normal"/>
    <w:uiPriority w:val="34"/>
    <w:qFormat/>
    <w:rsid w:val="00952680"/>
    <w:pPr>
      <w:ind w:left="720"/>
      <w:contextualSpacing/>
    </w:pPr>
  </w:style>
  <w:style w:type="paragraph" w:styleId="BodyText">
    <w:name w:val="Body Text"/>
    <w:basedOn w:val="Normal"/>
    <w:link w:val="BodyTextChar"/>
    <w:uiPriority w:val="99"/>
    <w:semiHidden/>
    <w:unhideWhenUsed/>
    <w:rsid w:val="00952680"/>
    <w:pPr>
      <w:spacing w:after="120"/>
    </w:pPr>
  </w:style>
  <w:style w:type="character" w:customStyle="1" w:styleId="BodyTextChar">
    <w:name w:val="Body Text Char"/>
    <w:basedOn w:val="DefaultParagraphFont"/>
    <w:link w:val="BodyText"/>
    <w:uiPriority w:val="99"/>
    <w:semiHidden/>
    <w:rsid w:val="00952680"/>
  </w:style>
  <w:style w:type="character" w:styleId="LineNumber">
    <w:name w:val="line number"/>
    <w:basedOn w:val="DefaultParagraphFont"/>
    <w:uiPriority w:val="99"/>
    <w:semiHidden/>
    <w:unhideWhenUsed/>
    <w:rsid w:val="00DB5EFC"/>
  </w:style>
  <w:style w:type="character" w:styleId="Emphasis">
    <w:name w:val="Emphasis"/>
    <w:basedOn w:val="DefaultParagraphFont"/>
    <w:uiPriority w:val="20"/>
    <w:qFormat/>
    <w:rsid w:val="00ED392D"/>
    <w:rPr>
      <w:i/>
      <w:iCs/>
    </w:rPr>
  </w:style>
  <w:style w:type="character" w:styleId="Strong">
    <w:name w:val="Strong"/>
    <w:basedOn w:val="DefaultParagraphFont"/>
    <w:uiPriority w:val="22"/>
    <w:qFormat/>
    <w:rsid w:val="001D451B"/>
    <w:rPr>
      <w:b/>
      <w:bCs/>
    </w:rPr>
  </w:style>
  <w:style w:type="character" w:customStyle="1" w:styleId="UnresolvedMention">
    <w:name w:val="Unresolved Mention"/>
    <w:basedOn w:val="DefaultParagraphFont"/>
    <w:uiPriority w:val="99"/>
    <w:semiHidden/>
    <w:unhideWhenUsed/>
    <w:rsid w:val="005F2394"/>
    <w:rPr>
      <w:color w:val="605E5C"/>
      <w:shd w:val="clear" w:color="auto" w:fill="E1DFDD"/>
    </w:rPr>
  </w:style>
  <w:style w:type="character" w:styleId="CommentReference">
    <w:name w:val="annotation reference"/>
    <w:basedOn w:val="DefaultParagraphFont"/>
    <w:uiPriority w:val="99"/>
    <w:semiHidden/>
    <w:unhideWhenUsed/>
    <w:rsid w:val="00F1290A"/>
    <w:rPr>
      <w:sz w:val="16"/>
      <w:szCs w:val="16"/>
    </w:rPr>
  </w:style>
  <w:style w:type="paragraph" w:styleId="CommentText">
    <w:name w:val="annotation text"/>
    <w:basedOn w:val="Normal"/>
    <w:link w:val="CommentTextChar"/>
    <w:uiPriority w:val="99"/>
    <w:semiHidden/>
    <w:unhideWhenUsed/>
    <w:rsid w:val="00F1290A"/>
    <w:pPr>
      <w:spacing w:line="240" w:lineRule="auto"/>
    </w:pPr>
    <w:rPr>
      <w:sz w:val="20"/>
      <w:szCs w:val="20"/>
    </w:rPr>
  </w:style>
  <w:style w:type="character" w:customStyle="1" w:styleId="CommentTextChar">
    <w:name w:val="Comment Text Char"/>
    <w:basedOn w:val="DefaultParagraphFont"/>
    <w:link w:val="CommentText"/>
    <w:uiPriority w:val="99"/>
    <w:semiHidden/>
    <w:rsid w:val="00F1290A"/>
    <w:rPr>
      <w:sz w:val="20"/>
      <w:szCs w:val="20"/>
    </w:rPr>
  </w:style>
  <w:style w:type="paragraph" w:styleId="CommentSubject">
    <w:name w:val="annotation subject"/>
    <w:basedOn w:val="CommentText"/>
    <w:next w:val="CommentText"/>
    <w:link w:val="CommentSubjectChar"/>
    <w:uiPriority w:val="99"/>
    <w:semiHidden/>
    <w:unhideWhenUsed/>
    <w:rsid w:val="00F1290A"/>
    <w:rPr>
      <w:b/>
      <w:bCs/>
    </w:rPr>
  </w:style>
  <w:style w:type="character" w:customStyle="1" w:styleId="CommentSubjectChar">
    <w:name w:val="Comment Subject Char"/>
    <w:basedOn w:val="CommentTextChar"/>
    <w:link w:val="CommentSubject"/>
    <w:uiPriority w:val="99"/>
    <w:semiHidden/>
    <w:rsid w:val="00F1290A"/>
    <w:rPr>
      <w:b/>
      <w:bCs/>
      <w:sz w:val="20"/>
      <w:szCs w:val="20"/>
    </w:rPr>
  </w:style>
  <w:style w:type="character" w:customStyle="1" w:styleId="Heading3Char">
    <w:name w:val="Heading 3 Char"/>
    <w:basedOn w:val="DefaultParagraphFont"/>
    <w:link w:val="Heading3"/>
    <w:uiPriority w:val="9"/>
    <w:semiHidden/>
    <w:rsid w:val="00D3545C"/>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2E00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00A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354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0A4"/>
  </w:style>
  <w:style w:type="paragraph" w:styleId="Footer">
    <w:name w:val="footer"/>
    <w:basedOn w:val="Normal"/>
    <w:link w:val="FooterChar"/>
    <w:uiPriority w:val="99"/>
    <w:unhideWhenUsed/>
    <w:rsid w:val="00C46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0A4"/>
  </w:style>
  <w:style w:type="paragraph" w:styleId="FootnoteText">
    <w:name w:val="footnote text"/>
    <w:basedOn w:val="Normal"/>
    <w:link w:val="FootnoteTextChar"/>
    <w:uiPriority w:val="99"/>
    <w:unhideWhenUsed/>
    <w:rsid w:val="009026B6"/>
    <w:pPr>
      <w:spacing w:after="0" w:line="240" w:lineRule="auto"/>
    </w:pPr>
    <w:rPr>
      <w:sz w:val="20"/>
      <w:szCs w:val="20"/>
    </w:rPr>
  </w:style>
  <w:style w:type="character" w:customStyle="1" w:styleId="FootnoteTextChar">
    <w:name w:val="Footnote Text Char"/>
    <w:basedOn w:val="DefaultParagraphFont"/>
    <w:link w:val="FootnoteText"/>
    <w:uiPriority w:val="99"/>
    <w:rsid w:val="009026B6"/>
    <w:rPr>
      <w:sz w:val="20"/>
      <w:szCs w:val="20"/>
    </w:rPr>
  </w:style>
  <w:style w:type="character" w:styleId="FootnoteReference">
    <w:name w:val="footnote reference"/>
    <w:basedOn w:val="DefaultParagraphFont"/>
    <w:uiPriority w:val="99"/>
    <w:unhideWhenUsed/>
    <w:rsid w:val="009026B6"/>
    <w:rPr>
      <w:vertAlign w:val="superscript"/>
    </w:rPr>
  </w:style>
  <w:style w:type="paragraph" w:styleId="NormalWeb">
    <w:name w:val="Normal (Web)"/>
    <w:basedOn w:val="Normal"/>
    <w:uiPriority w:val="99"/>
    <w:unhideWhenUsed/>
    <w:rsid w:val="00BB5164"/>
    <w:rPr>
      <w:rFonts w:ascii="Times New Roman" w:hAnsi="Times New Roman" w:cs="Times New Roman"/>
      <w:sz w:val="24"/>
      <w:szCs w:val="24"/>
    </w:rPr>
  </w:style>
  <w:style w:type="character" w:styleId="Hyperlink">
    <w:name w:val="Hyperlink"/>
    <w:basedOn w:val="DefaultParagraphFont"/>
    <w:uiPriority w:val="99"/>
    <w:unhideWhenUsed/>
    <w:rsid w:val="00307023"/>
    <w:rPr>
      <w:color w:val="0563C1" w:themeColor="hyperlink"/>
      <w:u w:val="single"/>
    </w:rPr>
  </w:style>
  <w:style w:type="character" w:customStyle="1" w:styleId="UnresolvedMention1">
    <w:name w:val="Unresolved Mention1"/>
    <w:basedOn w:val="DefaultParagraphFont"/>
    <w:uiPriority w:val="99"/>
    <w:semiHidden/>
    <w:unhideWhenUsed/>
    <w:rsid w:val="00307023"/>
    <w:rPr>
      <w:color w:val="605E5C"/>
      <w:shd w:val="clear" w:color="auto" w:fill="E1DFDD"/>
    </w:rPr>
  </w:style>
  <w:style w:type="paragraph" w:styleId="ListParagraph">
    <w:name w:val="List Paragraph"/>
    <w:basedOn w:val="Normal"/>
    <w:uiPriority w:val="34"/>
    <w:qFormat/>
    <w:rsid w:val="00952680"/>
    <w:pPr>
      <w:ind w:left="720"/>
      <w:contextualSpacing/>
    </w:pPr>
  </w:style>
  <w:style w:type="paragraph" w:styleId="BodyText">
    <w:name w:val="Body Text"/>
    <w:basedOn w:val="Normal"/>
    <w:link w:val="BodyTextChar"/>
    <w:uiPriority w:val="99"/>
    <w:semiHidden/>
    <w:unhideWhenUsed/>
    <w:rsid w:val="00952680"/>
    <w:pPr>
      <w:spacing w:after="120"/>
    </w:pPr>
  </w:style>
  <w:style w:type="character" w:customStyle="1" w:styleId="BodyTextChar">
    <w:name w:val="Body Text Char"/>
    <w:basedOn w:val="DefaultParagraphFont"/>
    <w:link w:val="BodyText"/>
    <w:uiPriority w:val="99"/>
    <w:semiHidden/>
    <w:rsid w:val="00952680"/>
  </w:style>
  <w:style w:type="character" w:styleId="LineNumber">
    <w:name w:val="line number"/>
    <w:basedOn w:val="DefaultParagraphFont"/>
    <w:uiPriority w:val="99"/>
    <w:semiHidden/>
    <w:unhideWhenUsed/>
    <w:rsid w:val="00DB5EFC"/>
  </w:style>
  <w:style w:type="character" w:styleId="Emphasis">
    <w:name w:val="Emphasis"/>
    <w:basedOn w:val="DefaultParagraphFont"/>
    <w:uiPriority w:val="20"/>
    <w:qFormat/>
    <w:rsid w:val="00ED392D"/>
    <w:rPr>
      <w:i/>
      <w:iCs/>
    </w:rPr>
  </w:style>
  <w:style w:type="character" w:styleId="Strong">
    <w:name w:val="Strong"/>
    <w:basedOn w:val="DefaultParagraphFont"/>
    <w:uiPriority w:val="22"/>
    <w:qFormat/>
    <w:rsid w:val="001D451B"/>
    <w:rPr>
      <w:b/>
      <w:bCs/>
    </w:rPr>
  </w:style>
  <w:style w:type="character" w:customStyle="1" w:styleId="UnresolvedMention">
    <w:name w:val="Unresolved Mention"/>
    <w:basedOn w:val="DefaultParagraphFont"/>
    <w:uiPriority w:val="99"/>
    <w:semiHidden/>
    <w:unhideWhenUsed/>
    <w:rsid w:val="005F2394"/>
    <w:rPr>
      <w:color w:val="605E5C"/>
      <w:shd w:val="clear" w:color="auto" w:fill="E1DFDD"/>
    </w:rPr>
  </w:style>
  <w:style w:type="character" w:styleId="CommentReference">
    <w:name w:val="annotation reference"/>
    <w:basedOn w:val="DefaultParagraphFont"/>
    <w:uiPriority w:val="99"/>
    <w:semiHidden/>
    <w:unhideWhenUsed/>
    <w:rsid w:val="00F1290A"/>
    <w:rPr>
      <w:sz w:val="16"/>
      <w:szCs w:val="16"/>
    </w:rPr>
  </w:style>
  <w:style w:type="paragraph" w:styleId="CommentText">
    <w:name w:val="annotation text"/>
    <w:basedOn w:val="Normal"/>
    <w:link w:val="CommentTextChar"/>
    <w:uiPriority w:val="99"/>
    <w:semiHidden/>
    <w:unhideWhenUsed/>
    <w:rsid w:val="00F1290A"/>
    <w:pPr>
      <w:spacing w:line="240" w:lineRule="auto"/>
    </w:pPr>
    <w:rPr>
      <w:sz w:val="20"/>
      <w:szCs w:val="20"/>
    </w:rPr>
  </w:style>
  <w:style w:type="character" w:customStyle="1" w:styleId="CommentTextChar">
    <w:name w:val="Comment Text Char"/>
    <w:basedOn w:val="DefaultParagraphFont"/>
    <w:link w:val="CommentText"/>
    <w:uiPriority w:val="99"/>
    <w:semiHidden/>
    <w:rsid w:val="00F1290A"/>
    <w:rPr>
      <w:sz w:val="20"/>
      <w:szCs w:val="20"/>
    </w:rPr>
  </w:style>
  <w:style w:type="paragraph" w:styleId="CommentSubject">
    <w:name w:val="annotation subject"/>
    <w:basedOn w:val="CommentText"/>
    <w:next w:val="CommentText"/>
    <w:link w:val="CommentSubjectChar"/>
    <w:uiPriority w:val="99"/>
    <w:semiHidden/>
    <w:unhideWhenUsed/>
    <w:rsid w:val="00F1290A"/>
    <w:rPr>
      <w:b/>
      <w:bCs/>
    </w:rPr>
  </w:style>
  <w:style w:type="character" w:customStyle="1" w:styleId="CommentSubjectChar">
    <w:name w:val="Comment Subject Char"/>
    <w:basedOn w:val="CommentTextChar"/>
    <w:link w:val="CommentSubject"/>
    <w:uiPriority w:val="99"/>
    <w:semiHidden/>
    <w:rsid w:val="00F1290A"/>
    <w:rPr>
      <w:b/>
      <w:bCs/>
      <w:sz w:val="20"/>
      <w:szCs w:val="20"/>
    </w:rPr>
  </w:style>
  <w:style w:type="character" w:customStyle="1" w:styleId="Heading3Char">
    <w:name w:val="Heading 3 Char"/>
    <w:basedOn w:val="DefaultParagraphFont"/>
    <w:link w:val="Heading3"/>
    <w:uiPriority w:val="9"/>
    <w:semiHidden/>
    <w:rsid w:val="00D3545C"/>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2E00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00A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0887">
      <w:bodyDiv w:val="1"/>
      <w:marLeft w:val="0"/>
      <w:marRight w:val="0"/>
      <w:marTop w:val="0"/>
      <w:marBottom w:val="0"/>
      <w:divBdr>
        <w:top w:val="none" w:sz="0" w:space="0" w:color="auto"/>
        <w:left w:val="none" w:sz="0" w:space="0" w:color="auto"/>
        <w:bottom w:val="none" w:sz="0" w:space="0" w:color="auto"/>
        <w:right w:val="none" w:sz="0" w:space="0" w:color="auto"/>
      </w:divBdr>
    </w:div>
    <w:div w:id="55055583">
      <w:bodyDiv w:val="1"/>
      <w:marLeft w:val="0"/>
      <w:marRight w:val="0"/>
      <w:marTop w:val="0"/>
      <w:marBottom w:val="0"/>
      <w:divBdr>
        <w:top w:val="none" w:sz="0" w:space="0" w:color="auto"/>
        <w:left w:val="none" w:sz="0" w:space="0" w:color="auto"/>
        <w:bottom w:val="none" w:sz="0" w:space="0" w:color="auto"/>
        <w:right w:val="none" w:sz="0" w:space="0" w:color="auto"/>
      </w:divBdr>
    </w:div>
    <w:div w:id="141391655">
      <w:bodyDiv w:val="1"/>
      <w:marLeft w:val="0"/>
      <w:marRight w:val="0"/>
      <w:marTop w:val="0"/>
      <w:marBottom w:val="0"/>
      <w:divBdr>
        <w:top w:val="none" w:sz="0" w:space="0" w:color="auto"/>
        <w:left w:val="none" w:sz="0" w:space="0" w:color="auto"/>
        <w:bottom w:val="none" w:sz="0" w:space="0" w:color="auto"/>
        <w:right w:val="none" w:sz="0" w:space="0" w:color="auto"/>
      </w:divBdr>
    </w:div>
    <w:div w:id="149371510">
      <w:bodyDiv w:val="1"/>
      <w:marLeft w:val="0"/>
      <w:marRight w:val="0"/>
      <w:marTop w:val="0"/>
      <w:marBottom w:val="0"/>
      <w:divBdr>
        <w:top w:val="none" w:sz="0" w:space="0" w:color="auto"/>
        <w:left w:val="none" w:sz="0" w:space="0" w:color="auto"/>
        <w:bottom w:val="none" w:sz="0" w:space="0" w:color="auto"/>
        <w:right w:val="none" w:sz="0" w:space="0" w:color="auto"/>
      </w:divBdr>
    </w:div>
    <w:div w:id="244459292">
      <w:bodyDiv w:val="1"/>
      <w:marLeft w:val="0"/>
      <w:marRight w:val="0"/>
      <w:marTop w:val="0"/>
      <w:marBottom w:val="0"/>
      <w:divBdr>
        <w:top w:val="none" w:sz="0" w:space="0" w:color="auto"/>
        <w:left w:val="none" w:sz="0" w:space="0" w:color="auto"/>
        <w:bottom w:val="none" w:sz="0" w:space="0" w:color="auto"/>
        <w:right w:val="none" w:sz="0" w:space="0" w:color="auto"/>
      </w:divBdr>
    </w:div>
    <w:div w:id="316735771">
      <w:bodyDiv w:val="1"/>
      <w:marLeft w:val="0"/>
      <w:marRight w:val="0"/>
      <w:marTop w:val="0"/>
      <w:marBottom w:val="0"/>
      <w:divBdr>
        <w:top w:val="none" w:sz="0" w:space="0" w:color="auto"/>
        <w:left w:val="none" w:sz="0" w:space="0" w:color="auto"/>
        <w:bottom w:val="none" w:sz="0" w:space="0" w:color="auto"/>
        <w:right w:val="none" w:sz="0" w:space="0" w:color="auto"/>
      </w:divBdr>
    </w:div>
    <w:div w:id="324672153">
      <w:bodyDiv w:val="1"/>
      <w:marLeft w:val="0"/>
      <w:marRight w:val="0"/>
      <w:marTop w:val="0"/>
      <w:marBottom w:val="0"/>
      <w:divBdr>
        <w:top w:val="none" w:sz="0" w:space="0" w:color="auto"/>
        <w:left w:val="none" w:sz="0" w:space="0" w:color="auto"/>
        <w:bottom w:val="none" w:sz="0" w:space="0" w:color="auto"/>
        <w:right w:val="none" w:sz="0" w:space="0" w:color="auto"/>
      </w:divBdr>
    </w:div>
    <w:div w:id="397289692">
      <w:bodyDiv w:val="1"/>
      <w:marLeft w:val="0"/>
      <w:marRight w:val="0"/>
      <w:marTop w:val="0"/>
      <w:marBottom w:val="0"/>
      <w:divBdr>
        <w:top w:val="none" w:sz="0" w:space="0" w:color="auto"/>
        <w:left w:val="none" w:sz="0" w:space="0" w:color="auto"/>
        <w:bottom w:val="none" w:sz="0" w:space="0" w:color="auto"/>
        <w:right w:val="none" w:sz="0" w:space="0" w:color="auto"/>
      </w:divBdr>
    </w:div>
    <w:div w:id="437995119">
      <w:bodyDiv w:val="1"/>
      <w:marLeft w:val="0"/>
      <w:marRight w:val="0"/>
      <w:marTop w:val="0"/>
      <w:marBottom w:val="0"/>
      <w:divBdr>
        <w:top w:val="none" w:sz="0" w:space="0" w:color="auto"/>
        <w:left w:val="none" w:sz="0" w:space="0" w:color="auto"/>
        <w:bottom w:val="none" w:sz="0" w:space="0" w:color="auto"/>
        <w:right w:val="none" w:sz="0" w:space="0" w:color="auto"/>
      </w:divBdr>
    </w:div>
    <w:div w:id="501162505">
      <w:bodyDiv w:val="1"/>
      <w:marLeft w:val="0"/>
      <w:marRight w:val="0"/>
      <w:marTop w:val="0"/>
      <w:marBottom w:val="0"/>
      <w:divBdr>
        <w:top w:val="none" w:sz="0" w:space="0" w:color="auto"/>
        <w:left w:val="none" w:sz="0" w:space="0" w:color="auto"/>
        <w:bottom w:val="none" w:sz="0" w:space="0" w:color="auto"/>
        <w:right w:val="none" w:sz="0" w:space="0" w:color="auto"/>
      </w:divBdr>
    </w:div>
    <w:div w:id="540749992">
      <w:bodyDiv w:val="1"/>
      <w:marLeft w:val="0"/>
      <w:marRight w:val="0"/>
      <w:marTop w:val="0"/>
      <w:marBottom w:val="0"/>
      <w:divBdr>
        <w:top w:val="none" w:sz="0" w:space="0" w:color="auto"/>
        <w:left w:val="none" w:sz="0" w:space="0" w:color="auto"/>
        <w:bottom w:val="none" w:sz="0" w:space="0" w:color="auto"/>
        <w:right w:val="none" w:sz="0" w:space="0" w:color="auto"/>
      </w:divBdr>
    </w:div>
    <w:div w:id="561595496">
      <w:bodyDiv w:val="1"/>
      <w:marLeft w:val="0"/>
      <w:marRight w:val="0"/>
      <w:marTop w:val="0"/>
      <w:marBottom w:val="0"/>
      <w:divBdr>
        <w:top w:val="none" w:sz="0" w:space="0" w:color="auto"/>
        <w:left w:val="none" w:sz="0" w:space="0" w:color="auto"/>
        <w:bottom w:val="none" w:sz="0" w:space="0" w:color="auto"/>
        <w:right w:val="none" w:sz="0" w:space="0" w:color="auto"/>
      </w:divBdr>
    </w:div>
    <w:div w:id="573011134">
      <w:bodyDiv w:val="1"/>
      <w:marLeft w:val="0"/>
      <w:marRight w:val="0"/>
      <w:marTop w:val="0"/>
      <w:marBottom w:val="0"/>
      <w:divBdr>
        <w:top w:val="none" w:sz="0" w:space="0" w:color="auto"/>
        <w:left w:val="none" w:sz="0" w:space="0" w:color="auto"/>
        <w:bottom w:val="none" w:sz="0" w:space="0" w:color="auto"/>
        <w:right w:val="none" w:sz="0" w:space="0" w:color="auto"/>
      </w:divBdr>
    </w:div>
    <w:div w:id="591357569">
      <w:bodyDiv w:val="1"/>
      <w:marLeft w:val="0"/>
      <w:marRight w:val="0"/>
      <w:marTop w:val="0"/>
      <w:marBottom w:val="0"/>
      <w:divBdr>
        <w:top w:val="none" w:sz="0" w:space="0" w:color="auto"/>
        <w:left w:val="none" w:sz="0" w:space="0" w:color="auto"/>
        <w:bottom w:val="none" w:sz="0" w:space="0" w:color="auto"/>
        <w:right w:val="none" w:sz="0" w:space="0" w:color="auto"/>
      </w:divBdr>
    </w:div>
    <w:div w:id="607126261">
      <w:bodyDiv w:val="1"/>
      <w:marLeft w:val="0"/>
      <w:marRight w:val="0"/>
      <w:marTop w:val="0"/>
      <w:marBottom w:val="0"/>
      <w:divBdr>
        <w:top w:val="none" w:sz="0" w:space="0" w:color="auto"/>
        <w:left w:val="none" w:sz="0" w:space="0" w:color="auto"/>
        <w:bottom w:val="none" w:sz="0" w:space="0" w:color="auto"/>
        <w:right w:val="none" w:sz="0" w:space="0" w:color="auto"/>
      </w:divBdr>
    </w:div>
    <w:div w:id="635530599">
      <w:bodyDiv w:val="1"/>
      <w:marLeft w:val="0"/>
      <w:marRight w:val="0"/>
      <w:marTop w:val="0"/>
      <w:marBottom w:val="0"/>
      <w:divBdr>
        <w:top w:val="none" w:sz="0" w:space="0" w:color="auto"/>
        <w:left w:val="none" w:sz="0" w:space="0" w:color="auto"/>
        <w:bottom w:val="none" w:sz="0" w:space="0" w:color="auto"/>
        <w:right w:val="none" w:sz="0" w:space="0" w:color="auto"/>
      </w:divBdr>
    </w:div>
    <w:div w:id="645739207">
      <w:bodyDiv w:val="1"/>
      <w:marLeft w:val="0"/>
      <w:marRight w:val="0"/>
      <w:marTop w:val="0"/>
      <w:marBottom w:val="0"/>
      <w:divBdr>
        <w:top w:val="none" w:sz="0" w:space="0" w:color="auto"/>
        <w:left w:val="none" w:sz="0" w:space="0" w:color="auto"/>
        <w:bottom w:val="none" w:sz="0" w:space="0" w:color="auto"/>
        <w:right w:val="none" w:sz="0" w:space="0" w:color="auto"/>
      </w:divBdr>
    </w:div>
    <w:div w:id="673261428">
      <w:bodyDiv w:val="1"/>
      <w:marLeft w:val="0"/>
      <w:marRight w:val="0"/>
      <w:marTop w:val="0"/>
      <w:marBottom w:val="0"/>
      <w:divBdr>
        <w:top w:val="none" w:sz="0" w:space="0" w:color="auto"/>
        <w:left w:val="none" w:sz="0" w:space="0" w:color="auto"/>
        <w:bottom w:val="none" w:sz="0" w:space="0" w:color="auto"/>
        <w:right w:val="none" w:sz="0" w:space="0" w:color="auto"/>
      </w:divBdr>
    </w:div>
    <w:div w:id="687757537">
      <w:bodyDiv w:val="1"/>
      <w:marLeft w:val="0"/>
      <w:marRight w:val="0"/>
      <w:marTop w:val="0"/>
      <w:marBottom w:val="0"/>
      <w:divBdr>
        <w:top w:val="none" w:sz="0" w:space="0" w:color="auto"/>
        <w:left w:val="none" w:sz="0" w:space="0" w:color="auto"/>
        <w:bottom w:val="none" w:sz="0" w:space="0" w:color="auto"/>
        <w:right w:val="none" w:sz="0" w:space="0" w:color="auto"/>
      </w:divBdr>
    </w:div>
    <w:div w:id="699355753">
      <w:bodyDiv w:val="1"/>
      <w:marLeft w:val="0"/>
      <w:marRight w:val="0"/>
      <w:marTop w:val="0"/>
      <w:marBottom w:val="0"/>
      <w:divBdr>
        <w:top w:val="none" w:sz="0" w:space="0" w:color="auto"/>
        <w:left w:val="none" w:sz="0" w:space="0" w:color="auto"/>
        <w:bottom w:val="none" w:sz="0" w:space="0" w:color="auto"/>
        <w:right w:val="none" w:sz="0" w:space="0" w:color="auto"/>
      </w:divBdr>
    </w:div>
    <w:div w:id="702292980">
      <w:bodyDiv w:val="1"/>
      <w:marLeft w:val="0"/>
      <w:marRight w:val="0"/>
      <w:marTop w:val="0"/>
      <w:marBottom w:val="0"/>
      <w:divBdr>
        <w:top w:val="none" w:sz="0" w:space="0" w:color="auto"/>
        <w:left w:val="none" w:sz="0" w:space="0" w:color="auto"/>
        <w:bottom w:val="none" w:sz="0" w:space="0" w:color="auto"/>
        <w:right w:val="none" w:sz="0" w:space="0" w:color="auto"/>
      </w:divBdr>
    </w:div>
    <w:div w:id="719479345">
      <w:bodyDiv w:val="1"/>
      <w:marLeft w:val="0"/>
      <w:marRight w:val="0"/>
      <w:marTop w:val="0"/>
      <w:marBottom w:val="0"/>
      <w:divBdr>
        <w:top w:val="none" w:sz="0" w:space="0" w:color="auto"/>
        <w:left w:val="none" w:sz="0" w:space="0" w:color="auto"/>
        <w:bottom w:val="none" w:sz="0" w:space="0" w:color="auto"/>
        <w:right w:val="none" w:sz="0" w:space="0" w:color="auto"/>
      </w:divBdr>
    </w:div>
    <w:div w:id="754934508">
      <w:bodyDiv w:val="1"/>
      <w:marLeft w:val="0"/>
      <w:marRight w:val="0"/>
      <w:marTop w:val="0"/>
      <w:marBottom w:val="0"/>
      <w:divBdr>
        <w:top w:val="none" w:sz="0" w:space="0" w:color="auto"/>
        <w:left w:val="none" w:sz="0" w:space="0" w:color="auto"/>
        <w:bottom w:val="none" w:sz="0" w:space="0" w:color="auto"/>
        <w:right w:val="none" w:sz="0" w:space="0" w:color="auto"/>
      </w:divBdr>
    </w:div>
    <w:div w:id="764112537">
      <w:bodyDiv w:val="1"/>
      <w:marLeft w:val="0"/>
      <w:marRight w:val="0"/>
      <w:marTop w:val="0"/>
      <w:marBottom w:val="0"/>
      <w:divBdr>
        <w:top w:val="none" w:sz="0" w:space="0" w:color="auto"/>
        <w:left w:val="none" w:sz="0" w:space="0" w:color="auto"/>
        <w:bottom w:val="none" w:sz="0" w:space="0" w:color="auto"/>
        <w:right w:val="none" w:sz="0" w:space="0" w:color="auto"/>
      </w:divBdr>
    </w:div>
    <w:div w:id="777484970">
      <w:bodyDiv w:val="1"/>
      <w:marLeft w:val="0"/>
      <w:marRight w:val="0"/>
      <w:marTop w:val="0"/>
      <w:marBottom w:val="0"/>
      <w:divBdr>
        <w:top w:val="none" w:sz="0" w:space="0" w:color="auto"/>
        <w:left w:val="none" w:sz="0" w:space="0" w:color="auto"/>
        <w:bottom w:val="none" w:sz="0" w:space="0" w:color="auto"/>
        <w:right w:val="none" w:sz="0" w:space="0" w:color="auto"/>
      </w:divBdr>
    </w:div>
    <w:div w:id="784495390">
      <w:bodyDiv w:val="1"/>
      <w:marLeft w:val="0"/>
      <w:marRight w:val="0"/>
      <w:marTop w:val="0"/>
      <w:marBottom w:val="0"/>
      <w:divBdr>
        <w:top w:val="none" w:sz="0" w:space="0" w:color="auto"/>
        <w:left w:val="none" w:sz="0" w:space="0" w:color="auto"/>
        <w:bottom w:val="none" w:sz="0" w:space="0" w:color="auto"/>
        <w:right w:val="none" w:sz="0" w:space="0" w:color="auto"/>
      </w:divBdr>
    </w:div>
    <w:div w:id="825240616">
      <w:bodyDiv w:val="1"/>
      <w:marLeft w:val="0"/>
      <w:marRight w:val="0"/>
      <w:marTop w:val="0"/>
      <w:marBottom w:val="0"/>
      <w:divBdr>
        <w:top w:val="none" w:sz="0" w:space="0" w:color="auto"/>
        <w:left w:val="none" w:sz="0" w:space="0" w:color="auto"/>
        <w:bottom w:val="none" w:sz="0" w:space="0" w:color="auto"/>
        <w:right w:val="none" w:sz="0" w:space="0" w:color="auto"/>
      </w:divBdr>
    </w:div>
    <w:div w:id="895434843">
      <w:bodyDiv w:val="1"/>
      <w:marLeft w:val="0"/>
      <w:marRight w:val="0"/>
      <w:marTop w:val="0"/>
      <w:marBottom w:val="0"/>
      <w:divBdr>
        <w:top w:val="none" w:sz="0" w:space="0" w:color="auto"/>
        <w:left w:val="none" w:sz="0" w:space="0" w:color="auto"/>
        <w:bottom w:val="none" w:sz="0" w:space="0" w:color="auto"/>
        <w:right w:val="none" w:sz="0" w:space="0" w:color="auto"/>
      </w:divBdr>
    </w:div>
    <w:div w:id="932199290">
      <w:bodyDiv w:val="1"/>
      <w:marLeft w:val="0"/>
      <w:marRight w:val="0"/>
      <w:marTop w:val="0"/>
      <w:marBottom w:val="0"/>
      <w:divBdr>
        <w:top w:val="none" w:sz="0" w:space="0" w:color="auto"/>
        <w:left w:val="none" w:sz="0" w:space="0" w:color="auto"/>
        <w:bottom w:val="none" w:sz="0" w:space="0" w:color="auto"/>
        <w:right w:val="none" w:sz="0" w:space="0" w:color="auto"/>
      </w:divBdr>
    </w:div>
    <w:div w:id="950207272">
      <w:bodyDiv w:val="1"/>
      <w:marLeft w:val="0"/>
      <w:marRight w:val="0"/>
      <w:marTop w:val="0"/>
      <w:marBottom w:val="0"/>
      <w:divBdr>
        <w:top w:val="none" w:sz="0" w:space="0" w:color="auto"/>
        <w:left w:val="none" w:sz="0" w:space="0" w:color="auto"/>
        <w:bottom w:val="none" w:sz="0" w:space="0" w:color="auto"/>
        <w:right w:val="none" w:sz="0" w:space="0" w:color="auto"/>
      </w:divBdr>
    </w:div>
    <w:div w:id="953025300">
      <w:bodyDiv w:val="1"/>
      <w:marLeft w:val="0"/>
      <w:marRight w:val="0"/>
      <w:marTop w:val="0"/>
      <w:marBottom w:val="0"/>
      <w:divBdr>
        <w:top w:val="none" w:sz="0" w:space="0" w:color="auto"/>
        <w:left w:val="none" w:sz="0" w:space="0" w:color="auto"/>
        <w:bottom w:val="none" w:sz="0" w:space="0" w:color="auto"/>
        <w:right w:val="none" w:sz="0" w:space="0" w:color="auto"/>
      </w:divBdr>
    </w:div>
    <w:div w:id="1039403554">
      <w:bodyDiv w:val="1"/>
      <w:marLeft w:val="0"/>
      <w:marRight w:val="0"/>
      <w:marTop w:val="0"/>
      <w:marBottom w:val="0"/>
      <w:divBdr>
        <w:top w:val="none" w:sz="0" w:space="0" w:color="auto"/>
        <w:left w:val="none" w:sz="0" w:space="0" w:color="auto"/>
        <w:bottom w:val="none" w:sz="0" w:space="0" w:color="auto"/>
        <w:right w:val="none" w:sz="0" w:space="0" w:color="auto"/>
      </w:divBdr>
    </w:div>
    <w:div w:id="1095590745">
      <w:bodyDiv w:val="1"/>
      <w:marLeft w:val="0"/>
      <w:marRight w:val="0"/>
      <w:marTop w:val="0"/>
      <w:marBottom w:val="0"/>
      <w:divBdr>
        <w:top w:val="none" w:sz="0" w:space="0" w:color="auto"/>
        <w:left w:val="none" w:sz="0" w:space="0" w:color="auto"/>
        <w:bottom w:val="none" w:sz="0" w:space="0" w:color="auto"/>
        <w:right w:val="none" w:sz="0" w:space="0" w:color="auto"/>
      </w:divBdr>
    </w:div>
    <w:div w:id="1136996819">
      <w:bodyDiv w:val="1"/>
      <w:marLeft w:val="0"/>
      <w:marRight w:val="0"/>
      <w:marTop w:val="0"/>
      <w:marBottom w:val="0"/>
      <w:divBdr>
        <w:top w:val="none" w:sz="0" w:space="0" w:color="auto"/>
        <w:left w:val="none" w:sz="0" w:space="0" w:color="auto"/>
        <w:bottom w:val="none" w:sz="0" w:space="0" w:color="auto"/>
        <w:right w:val="none" w:sz="0" w:space="0" w:color="auto"/>
      </w:divBdr>
    </w:div>
    <w:div w:id="1197160682">
      <w:bodyDiv w:val="1"/>
      <w:marLeft w:val="0"/>
      <w:marRight w:val="0"/>
      <w:marTop w:val="0"/>
      <w:marBottom w:val="0"/>
      <w:divBdr>
        <w:top w:val="none" w:sz="0" w:space="0" w:color="auto"/>
        <w:left w:val="none" w:sz="0" w:space="0" w:color="auto"/>
        <w:bottom w:val="none" w:sz="0" w:space="0" w:color="auto"/>
        <w:right w:val="none" w:sz="0" w:space="0" w:color="auto"/>
      </w:divBdr>
    </w:div>
    <w:div w:id="1212302178">
      <w:bodyDiv w:val="1"/>
      <w:marLeft w:val="0"/>
      <w:marRight w:val="0"/>
      <w:marTop w:val="0"/>
      <w:marBottom w:val="0"/>
      <w:divBdr>
        <w:top w:val="none" w:sz="0" w:space="0" w:color="auto"/>
        <w:left w:val="none" w:sz="0" w:space="0" w:color="auto"/>
        <w:bottom w:val="none" w:sz="0" w:space="0" w:color="auto"/>
        <w:right w:val="none" w:sz="0" w:space="0" w:color="auto"/>
      </w:divBdr>
    </w:div>
    <w:div w:id="1241788814">
      <w:bodyDiv w:val="1"/>
      <w:marLeft w:val="0"/>
      <w:marRight w:val="0"/>
      <w:marTop w:val="0"/>
      <w:marBottom w:val="0"/>
      <w:divBdr>
        <w:top w:val="none" w:sz="0" w:space="0" w:color="auto"/>
        <w:left w:val="none" w:sz="0" w:space="0" w:color="auto"/>
        <w:bottom w:val="none" w:sz="0" w:space="0" w:color="auto"/>
        <w:right w:val="none" w:sz="0" w:space="0" w:color="auto"/>
      </w:divBdr>
    </w:div>
    <w:div w:id="1242565248">
      <w:bodyDiv w:val="1"/>
      <w:marLeft w:val="0"/>
      <w:marRight w:val="0"/>
      <w:marTop w:val="0"/>
      <w:marBottom w:val="0"/>
      <w:divBdr>
        <w:top w:val="none" w:sz="0" w:space="0" w:color="auto"/>
        <w:left w:val="none" w:sz="0" w:space="0" w:color="auto"/>
        <w:bottom w:val="none" w:sz="0" w:space="0" w:color="auto"/>
        <w:right w:val="none" w:sz="0" w:space="0" w:color="auto"/>
      </w:divBdr>
    </w:div>
    <w:div w:id="1487237101">
      <w:bodyDiv w:val="1"/>
      <w:marLeft w:val="0"/>
      <w:marRight w:val="0"/>
      <w:marTop w:val="0"/>
      <w:marBottom w:val="0"/>
      <w:divBdr>
        <w:top w:val="none" w:sz="0" w:space="0" w:color="auto"/>
        <w:left w:val="none" w:sz="0" w:space="0" w:color="auto"/>
        <w:bottom w:val="none" w:sz="0" w:space="0" w:color="auto"/>
        <w:right w:val="none" w:sz="0" w:space="0" w:color="auto"/>
      </w:divBdr>
    </w:div>
    <w:div w:id="1517694397">
      <w:bodyDiv w:val="1"/>
      <w:marLeft w:val="0"/>
      <w:marRight w:val="0"/>
      <w:marTop w:val="0"/>
      <w:marBottom w:val="0"/>
      <w:divBdr>
        <w:top w:val="none" w:sz="0" w:space="0" w:color="auto"/>
        <w:left w:val="none" w:sz="0" w:space="0" w:color="auto"/>
        <w:bottom w:val="none" w:sz="0" w:space="0" w:color="auto"/>
        <w:right w:val="none" w:sz="0" w:space="0" w:color="auto"/>
      </w:divBdr>
    </w:div>
    <w:div w:id="1594046924">
      <w:bodyDiv w:val="1"/>
      <w:marLeft w:val="0"/>
      <w:marRight w:val="0"/>
      <w:marTop w:val="0"/>
      <w:marBottom w:val="0"/>
      <w:divBdr>
        <w:top w:val="none" w:sz="0" w:space="0" w:color="auto"/>
        <w:left w:val="none" w:sz="0" w:space="0" w:color="auto"/>
        <w:bottom w:val="none" w:sz="0" w:space="0" w:color="auto"/>
        <w:right w:val="none" w:sz="0" w:space="0" w:color="auto"/>
      </w:divBdr>
    </w:div>
    <w:div w:id="1594319192">
      <w:bodyDiv w:val="1"/>
      <w:marLeft w:val="0"/>
      <w:marRight w:val="0"/>
      <w:marTop w:val="0"/>
      <w:marBottom w:val="0"/>
      <w:divBdr>
        <w:top w:val="none" w:sz="0" w:space="0" w:color="auto"/>
        <w:left w:val="none" w:sz="0" w:space="0" w:color="auto"/>
        <w:bottom w:val="none" w:sz="0" w:space="0" w:color="auto"/>
        <w:right w:val="none" w:sz="0" w:space="0" w:color="auto"/>
      </w:divBdr>
    </w:div>
    <w:div w:id="1670251351">
      <w:bodyDiv w:val="1"/>
      <w:marLeft w:val="0"/>
      <w:marRight w:val="0"/>
      <w:marTop w:val="0"/>
      <w:marBottom w:val="0"/>
      <w:divBdr>
        <w:top w:val="none" w:sz="0" w:space="0" w:color="auto"/>
        <w:left w:val="none" w:sz="0" w:space="0" w:color="auto"/>
        <w:bottom w:val="none" w:sz="0" w:space="0" w:color="auto"/>
        <w:right w:val="none" w:sz="0" w:space="0" w:color="auto"/>
      </w:divBdr>
    </w:div>
    <w:div w:id="1785029098">
      <w:bodyDiv w:val="1"/>
      <w:marLeft w:val="0"/>
      <w:marRight w:val="0"/>
      <w:marTop w:val="0"/>
      <w:marBottom w:val="0"/>
      <w:divBdr>
        <w:top w:val="none" w:sz="0" w:space="0" w:color="auto"/>
        <w:left w:val="none" w:sz="0" w:space="0" w:color="auto"/>
        <w:bottom w:val="none" w:sz="0" w:space="0" w:color="auto"/>
        <w:right w:val="none" w:sz="0" w:space="0" w:color="auto"/>
      </w:divBdr>
    </w:div>
    <w:div w:id="1795170795">
      <w:bodyDiv w:val="1"/>
      <w:marLeft w:val="0"/>
      <w:marRight w:val="0"/>
      <w:marTop w:val="0"/>
      <w:marBottom w:val="0"/>
      <w:divBdr>
        <w:top w:val="none" w:sz="0" w:space="0" w:color="auto"/>
        <w:left w:val="none" w:sz="0" w:space="0" w:color="auto"/>
        <w:bottom w:val="none" w:sz="0" w:space="0" w:color="auto"/>
        <w:right w:val="none" w:sz="0" w:space="0" w:color="auto"/>
      </w:divBdr>
    </w:div>
    <w:div w:id="1810630139">
      <w:bodyDiv w:val="1"/>
      <w:marLeft w:val="0"/>
      <w:marRight w:val="0"/>
      <w:marTop w:val="0"/>
      <w:marBottom w:val="0"/>
      <w:divBdr>
        <w:top w:val="none" w:sz="0" w:space="0" w:color="auto"/>
        <w:left w:val="none" w:sz="0" w:space="0" w:color="auto"/>
        <w:bottom w:val="none" w:sz="0" w:space="0" w:color="auto"/>
        <w:right w:val="none" w:sz="0" w:space="0" w:color="auto"/>
      </w:divBdr>
    </w:div>
    <w:div w:id="1907110861">
      <w:bodyDiv w:val="1"/>
      <w:marLeft w:val="0"/>
      <w:marRight w:val="0"/>
      <w:marTop w:val="0"/>
      <w:marBottom w:val="0"/>
      <w:divBdr>
        <w:top w:val="none" w:sz="0" w:space="0" w:color="auto"/>
        <w:left w:val="none" w:sz="0" w:space="0" w:color="auto"/>
        <w:bottom w:val="none" w:sz="0" w:space="0" w:color="auto"/>
        <w:right w:val="none" w:sz="0" w:space="0" w:color="auto"/>
      </w:divBdr>
    </w:div>
    <w:div w:id="1918593751">
      <w:bodyDiv w:val="1"/>
      <w:marLeft w:val="0"/>
      <w:marRight w:val="0"/>
      <w:marTop w:val="0"/>
      <w:marBottom w:val="0"/>
      <w:divBdr>
        <w:top w:val="none" w:sz="0" w:space="0" w:color="auto"/>
        <w:left w:val="none" w:sz="0" w:space="0" w:color="auto"/>
        <w:bottom w:val="none" w:sz="0" w:space="0" w:color="auto"/>
        <w:right w:val="none" w:sz="0" w:space="0" w:color="auto"/>
      </w:divBdr>
    </w:div>
    <w:div w:id="2006517905">
      <w:bodyDiv w:val="1"/>
      <w:marLeft w:val="0"/>
      <w:marRight w:val="0"/>
      <w:marTop w:val="0"/>
      <w:marBottom w:val="0"/>
      <w:divBdr>
        <w:top w:val="none" w:sz="0" w:space="0" w:color="auto"/>
        <w:left w:val="none" w:sz="0" w:space="0" w:color="auto"/>
        <w:bottom w:val="none" w:sz="0" w:space="0" w:color="auto"/>
        <w:right w:val="none" w:sz="0" w:space="0" w:color="auto"/>
      </w:divBdr>
    </w:div>
    <w:div w:id="2075201644">
      <w:bodyDiv w:val="1"/>
      <w:marLeft w:val="0"/>
      <w:marRight w:val="0"/>
      <w:marTop w:val="0"/>
      <w:marBottom w:val="0"/>
      <w:divBdr>
        <w:top w:val="none" w:sz="0" w:space="0" w:color="auto"/>
        <w:left w:val="none" w:sz="0" w:space="0" w:color="auto"/>
        <w:bottom w:val="none" w:sz="0" w:space="0" w:color="auto"/>
        <w:right w:val="none" w:sz="0" w:space="0" w:color="auto"/>
      </w:divBdr>
    </w:div>
    <w:div w:id="2075227932">
      <w:bodyDiv w:val="1"/>
      <w:marLeft w:val="0"/>
      <w:marRight w:val="0"/>
      <w:marTop w:val="0"/>
      <w:marBottom w:val="0"/>
      <w:divBdr>
        <w:top w:val="none" w:sz="0" w:space="0" w:color="auto"/>
        <w:left w:val="none" w:sz="0" w:space="0" w:color="auto"/>
        <w:bottom w:val="none" w:sz="0" w:space="0" w:color="auto"/>
        <w:right w:val="none" w:sz="0" w:space="0" w:color="auto"/>
      </w:divBdr>
    </w:div>
    <w:div w:id="2098939339">
      <w:bodyDiv w:val="1"/>
      <w:marLeft w:val="0"/>
      <w:marRight w:val="0"/>
      <w:marTop w:val="0"/>
      <w:marBottom w:val="0"/>
      <w:divBdr>
        <w:top w:val="none" w:sz="0" w:space="0" w:color="auto"/>
        <w:left w:val="none" w:sz="0" w:space="0" w:color="auto"/>
        <w:bottom w:val="none" w:sz="0" w:space="0" w:color="auto"/>
        <w:right w:val="none" w:sz="0" w:space="0" w:color="auto"/>
      </w:divBdr>
    </w:div>
    <w:div w:id="2110614525">
      <w:bodyDiv w:val="1"/>
      <w:marLeft w:val="0"/>
      <w:marRight w:val="0"/>
      <w:marTop w:val="0"/>
      <w:marBottom w:val="0"/>
      <w:divBdr>
        <w:top w:val="none" w:sz="0" w:space="0" w:color="auto"/>
        <w:left w:val="none" w:sz="0" w:space="0" w:color="auto"/>
        <w:bottom w:val="none" w:sz="0" w:space="0" w:color="auto"/>
        <w:right w:val="none" w:sz="0" w:space="0" w:color="auto"/>
      </w:divBdr>
    </w:div>
    <w:div w:id="2124422502">
      <w:bodyDiv w:val="1"/>
      <w:marLeft w:val="0"/>
      <w:marRight w:val="0"/>
      <w:marTop w:val="0"/>
      <w:marBottom w:val="0"/>
      <w:divBdr>
        <w:top w:val="none" w:sz="0" w:space="0" w:color="auto"/>
        <w:left w:val="none" w:sz="0" w:space="0" w:color="auto"/>
        <w:bottom w:val="none" w:sz="0" w:space="0" w:color="auto"/>
        <w:right w:val="none" w:sz="0" w:space="0" w:color="auto"/>
      </w:divBdr>
    </w:div>
    <w:div w:id="213732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6/09/relationships/commentsIds" Target="commentsIds.xml"/><Relationship Id="rId14" Type="http://schemas.microsoft.com/office/2018/08/relationships/commentsExtensible" Target="commentsExtensible.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denverlawrev.org/_files/ugd/9d4c2a_2ef067a863b244afb24abcbf664de4b7.pdf" TargetMode="Externa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ashingtonpost.com/politics/2022/07/13/significance-new-steve-bannon-tape/" TargetMode="External"/><Relationship Id="rId2" Type="http://schemas.openxmlformats.org/officeDocument/2006/relationships/hyperlink" Target="https://www.theatlantic.com/ideas/archive/2021/03/right-wing-propagandists-were-doing-something-unique/618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77FBB-0E3A-0D44-9644-8226F043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3959</Words>
  <Characters>22569</Characters>
  <Application>Microsoft Macintosh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Katia Nicole</dc:creator>
  <cp:keywords/>
  <dc:description/>
  <cp:lastModifiedBy>Frank Valdes</cp:lastModifiedBy>
  <cp:revision>2</cp:revision>
  <dcterms:created xsi:type="dcterms:W3CDTF">2025-04-23T17:02:00Z</dcterms:created>
  <dcterms:modified xsi:type="dcterms:W3CDTF">2025-04-23T17:02:00Z</dcterms:modified>
</cp:coreProperties>
</file>