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BA57" w14:textId="5157BC64" w:rsidR="00CE4308" w:rsidRPr="009B4611" w:rsidRDefault="00AE17E0" w:rsidP="009B461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</w:pPr>
      <w:bookmarkStart w:id="0" w:name="_GoBack"/>
      <w:bookmarkEnd w:id="0"/>
      <w:r w:rsidRPr="009D6DFD"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  <w:t>Capítulo tres</w:t>
      </w:r>
    </w:p>
    <w:p w14:paraId="336CFEA6" w14:textId="48B19CC2" w:rsidR="00AE17E0" w:rsidRPr="009D6DFD" w:rsidRDefault="004C6807" w:rsidP="004C6807">
      <w:pPr>
        <w:pStyle w:val="NormalWeb"/>
        <w:jc w:val="center"/>
        <w:rPr>
          <w:b/>
          <w:bCs/>
          <w:i/>
          <w:iCs/>
          <w:lang w:val="es-ES"/>
        </w:rPr>
      </w:pPr>
      <w:r w:rsidRPr="009D6DFD">
        <w:rPr>
          <w:b/>
          <w:bCs/>
          <w:i/>
          <w:iCs/>
          <w:lang w:val="es-ES"/>
        </w:rPr>
        <w:t xml:space="preserve">Cuestionar culturas y castas a través de la ley: </w:t>
      </w:r>
      <w:r w:rsidRPr="009D6DFD">
        <w:rPr>
          <w:b/>
          <w:bCs/>
          <w:i/>
          <w:iCs/>
          <w:lang w:val="es-ES"/>
        </w:rPr>
        <w:br/>
        <w:t>Luchar contra la represión impuesta desde arriba</w:t>
      </w:r>
      <w:r w:rsidR="008539B0" w:rsidRPr="009D6DFD">
        <w:rPr>
          <w:b/>
          <w:bCs/>
          <w:i/>
          <w:iCs/>
          <w:lang w:val="es-ES"/>
        </w:rPr>
        <w:t>,</w:t>
      </w:r>
      <w:r w:rsidRPr="009D6DFD">
        <w:rPr>
          <w:b/>
          <w:bCs/>
          <w:i/>
          <w:iCs/>
          <w:lang w:val="es-ES"/>
        </w:rPr>
        <w:t xml:space="preserve"> al progreso surgido desde abajo</w:t>
      </w:r>
    </w:p>
    <w:p w14:paraId="4315EB84" w14:textId="77777777" w:rsidR="009B4611" w:rsidRDefault="00575FE2" w:rsidP="009B4611">
      <w:pPr>
        <w:spacing w:before="100" w:beforeAutospacing="1"/>
        <w:rPr>
          <w:rFonts w:ascii="Times New Roman" w:eastAsia="Times New Roman" w:hAnsi="Times New Roman" w:cs="Times New Roman"/>
          <w:lang w:val="uz-Cyrl-UZ"/>
        </w:rPr>
      </w:pPr>
      <w:r w:rsidRPr="00575FE2">
        <w:rPr>
          <w:rFonts w:ascii="Times New Roman" w:eastAsia="Times New Roman" w:hAnsi="Times New Roman" w:cs="Times New Roman"/>
          <w:lang w:val="uz-Cyrl-UZ"/>
        </w:rPr>
        <w:t>Este capítulo analiza la relación entre el derecho, la justicia y el progreso. Lo hace dentro del contexto de las “guerras culturales” reaccionarias</w:t>
      </w:r>
      <w:r>
        <w:rPr>
          <w:rFonts w:ascii="Times New Roman" w:eastAsia="Times New Roman" w:hAnsi="Times New Roman" w:cs="Times New Roman"/>
          <w:lang w:val="uz-Cyrl-UZ"/>
        </w:rPr>
        <w:t xml:space="preserve">, que </w:t>
      </w:r>
      <w:r w:rsidRPr="00575FE2">
        <w:rPr>
          <w:rFonts w:ascii="Times New Roman" w:eastAsia="Times New Roman" w:hAnsi="Times New Roman" w:cs="Times New Roman"/>
          <w:lang w:val="uz-Cyrl-UZ"/>
        </w:rPr>
        <w:t xml:space="preserve">se extienden por Estados Unidos. </w:t>
      </w:r>
      <w:r w:rsidR="00C71EDB">
        <w:rPr>
          <w:rFonts w:ascii="Times New Roman" w:eastAsia="Times New Roman" w:hAnsi="Times New Roman" w:cs="Times New Roman"/>
          <w:lang w:val="uz-Cyrl-UZ"/>
        </w:rPr>
        <w:t>Estas b</w:t>
      </w:r>
      <w:r w:rsidRPr="00575FE2">
        <w:rPr>
          <w:rFonts w:ascii="Times New Roman" w:eastAsia="Times New Roman" w:hAnsi="Times New Roman" w:cs="Times New Roman"/>
          <w:lang w:val="uz-Cyrl-UZ"/>
        </w:rPr>
        <w:t>uscan resistir o revertir reformas legales del siglo XX</w:t>
      </w:r>
      <w:r w:rsidR="00C71EDB">
        <w:rPr>
          <w:rFonts w:ascii="Times New Roman" w:eastAsia="Times New Roman" w:hAnsi="Times New Roman" w:cs="Times New Roman"/>
          <w:lang w:val="uz-Cyrl-UZ"/>
        </w:rPr>
        <w:t>;</w:t>
      </w:r>
      <w:r w:rsidRPr="00575FE2">
        <w:rPr>
          <w:rFonts w:ascii="Times New Roman" w:eastAsia="Times New Roman" w:hAnsi="Times New Roman" w:cs="Times New Roman"/>
          <w:lang w:val="uz-Cyrl-UZ"/>
        </w:rPr>
        <w:t xml:space="preserve"> </w:t>
      </w:r>
      <w:r w:rsidR="00C71EDB">
        <w:rPr>
          <w:rFonts w:ascii="Times New Roman" w:eastAsia="Times New Roman" w:hAnsi="Times New Roman" w:cs="Times New Roman"/>
          <w:lang w:val="uz-Cyrl-UZ"/>
        </w:rPr>
        <w:t>i</w:t>
      </w:r>
      <w:r w:rsidRPr="00575FE2">
        <w:rPr>
          <w:rFonts w:ascii="Times New Roman" w:eastAsia="Times New Roman" w:hAnsi="Times New Roman" w:cs="Times New Roman"/>
          <w:lang w:val="uz-Cyrl-UZ"/>
        </w:rPr>
        <w:t>ncluso</w:t>
      </w:r>
      <w:r w:rsidR="00C71EDB">
        <w:rPr>
          <w:rFonts w:ascii="Times New Roman" w:eastAsia="Times New Roman" w:hAnsi="Times New Roman" w:cs="Times New Roman"/>
          <w:lang w:val="uz-Cyrl-UZ"/>
        </w:rPr>
        <w:t>,</w:t>
      </w:r>
      <w:r w:rsidRPr="00575FE2">
        <w:rPr>
          <w:rFonts w:ascii="Times New Roman" w:eastAsia="Times New Roman" w:hAnsi="Times New Roman" w:cs="Times New Roman"/>
          <w:lang w:val="uz-Cyrl-UZ"/>
        </w:rPr>
        <w:t xml:space="preserve"> atacan reformas anteriores</w:t>
      </w:r>
      <w:r w:rsidR="00C71EDB">
        <w:rPr>
          <w:rFonts w:ascii="Times New Roman" w:eastAsia="Times New Roman" w:hAnsi="Times New Roman" w:cs="Times New Roman"/>
          <w:lang w:val="uz-Cyrl-UZ"/>
        </w:rPr>
        <w:t>, como las que redujeron</w:t>
      </w:r>
      <w:r w:rsidRPr="00575FE2">
        <w:rPr>
          <w:rFonts w:ascii="Times New Roman" w:eastAsia="Times New Roman" w:hAnsi="Times New Roman" w:cs="Times New Roman"/>
          <w:lang w:val="uz-Cyrl-UZ"/>
        </w:rPr>
        <w:t xml:space="preserve"> la opresión y la explotación de grupos raciales, étnicos, sexuales, religiosos y otras minorías con identidades sociales desfavorecidas. Todo esto dentro de regímenes euroheteropatriarcales.</w:t>
      </w:r>
    </w:p>
    <w:p w14:paraId="31272B6D" w14:textId="3AF8F807" w:rsidR="00575FE2" w:rsidRPr="00575FE2" w:rsidRDefault="00575FE2" w:rsidP="009B4611">
      <w:pPr>
        <w:ind w:firstLine="720"/>
        <w:rPr>
          <w:rFonts w:ascii="Times New Roman" w:eastAsia="Times New Roman" w:hAnsi="Times New Roman" w:cs="Times New Roman"/>
          <w:lang w:val="uz-Cyrl-UZ"/>
        </w:rPr>
      </w:pPr>
      <w:r w:rsidRPr="00575FE2">
        <w:rPr>
          <w:rFonts w:ascii="Times New Roman" w:eastAsia="Times New Roman" w:hAnsi="Times New Roman" w:cs="Times New Roman"/>
          <w:lang w:val="uz-Cyrl-UZ"/>
        </w:rPr>
        <w:t xml:space="preserve">Los primeros </w:t>
      </w:r>
      <w:r w:rsidR="00C71EDB">
        <w:rPr>
          <w:rFonts w:ascii="Times New Roman" w:eastAsia="Times New Roman" w:hAnsi="Times New Roman" w:cs="Times New Roman"/>
          <w:lang w:val="uz-Cyrl-UZ"/>
        </w:rPr>
        <w:t xml:space="preserve">dos </w:t>
      </w:r>
      <w:r w:rsidRPr="00575FE2">
        <w:rPr>
          <w:rFonts w:ascii="Times New Roman" w:eastAsia="Times New Roman" w:hAnsi="Times New Roman" w:cs="Times New Roman"/>
          <w:lang w:val="uz-Cyrl-UZ"/>
        </w:rPr>
        <w:t>ensayos de este capítulo reflejan este contexto más amplio y actual. Ambos cierran libros anteriores. Juntos, trazan la dinámica y los imperativos de estas guerras culturales. Estas guerras intentan controlar la cultura y revertir el progreso logrado durante más de un siglo.</w:t>
      </w:r>
      <w:r w:rsidR="00C54196">
        <w:rPr>
          <w:rFonts w:ascii="Times New Roman" w:eastAsia="Times New Roman" w:hAnsi="Times New Roman" w:cs="Times New Roman"/>
          <w:lang w:val="uz-Cyrl-UZ"/>
        </w:rPr>
        <w:t xml:space="preserve"> </w:t>
      </w:r>
      <w:r w:rsidRPr="00575FE2">
        <w:rPr>
          <w:rFonts w:ascii="Times New Roman" w:eastAsia="Times New Roman" w:hAnsi="Times New Roman" w:cs="Times New Roman"/>
          <w:lang w:val="uz-Cyrl-UZ"/>
        </w:rPr>
        <w:t xml:space="preserve">El primero de estos ensayos fue escrito para un número especial de un simposio de </w:t>
      </w:r>
      <w:r w:rsidRPr="00575FE2">
        <w:rPr>
          <w:rFonts w:ascii="Times New Roman" w:eastAsia="Times New Roman" w:hAnsi="Times New Roman" w:cs="Times New Roman"/>
          <w:i/>
          <w:iCs/>
          <w:lang w:val="uz-Cyrl-UZ"/>
        </w:rPr>
        <w:t>Denver Law Review</w:t>
      </w:r>
      <w:r w:rsidRPr="00575FE2">
        <w:rPr>
          <w:rFonts w:ascii="Times New Roman" w:eastAsia="Times New Roman" w:hAnsi="Times New Roman" w:cs="Times New Roman"/>
          <w:lang w:val="uz-Cyrl-UZ"/>
        </w:rPr>
        <w:t xml:space="preserve">. El segundo fue una contribución por invitación, escrita años después. Esta invitación ocurrió cuando la revista celebraba su centenario. </w:t>
      </w:r>
      <w:r w:rsidR="00C54196">
        <w:rPr>
          <w:rFonts w:ascii="Times New Roman" w:eastAsia="Times New Roman" w:hAnsi="Times New Roman" w:cs="Times New Roman"/>
          <w:lang w:val="uz-Cyrl-UZ"/>
        </w:rPr>
        <w:t>Se invitaron</w:t>
      </w:r>
      <w:r w:rsidRPr="00575FE2">
        <w:rPr>
          <w:rFonts w:ascii="Times New Roman" w:eastAsia="Times New Roman" w:hAnsi="Times New Roman" w:cs="Times New Roman"/>
          <w:lang w:val="uz-Cyrl-UZ"/>
        </w:rPr>
        <w:t xml:space="preserve"> a los autores de sus cien artículos más citados en los últimos cien años</w:t>
      </w:r>
      <w:r w:rsidR="00C54196">
        <w:rPr>
          <w:rFonts w:ascii="Times New Roman" w:eastAsia="Times New Roman" w:hAnsi="Times New Roman" w:cs="Times New Roman"/>
          <w:lang w:val="uz-Cyrl-UZ"/>
        </w:rPr>
        <w:t xml:space="preserve"> y les pidieron </w:t>
      </w:r>
      <w:r w:rsidRPr="00575FE2">
        <w:rPr>
          <w:rFonts w:ascii="Times New Roman" w:eastAsia="Times New Roman" w:hAnsi="Times New Roman" w:cs="Times New Roman"/>
          <w:lang w:val="uz-Cyrl-UZ"/>
        </w:rPr>
        <w:t>que revisitaran sus publicaciones originales.</w:t>
      </w:r>
    </w:p>
    <w:p w14:paraId="6C03A758" w14:textId="3B299926" w:rsidR="00575FE2" w:rsidRDefault="00575FE2" w:rsidP="009B4611">
      <w:pPr>
        <w:ind w:firstLine="720"/>
        <w:rPr>
          <w:rFonts w:ascii="Times New Roman" w:eastAsia="Times New Roman" w:hAnsi="Times New Roman" w:cs="Times New Roman"/>
          <w:lang w:val="uz-Cyrl-UZ"/>
        </w:rPr>
      </w:pPr>
      <w:r w:rsidRPr="00575FE2">
        <w:rPr>
          <w:rFonts w:ascii="Times New Roman" w:eastAsia="Times New Roman" w:hAnsi="Times New Roman" w:cs="Times New Roman"/>
          <w:lang w:val="uz-Cyrl-UZ"/>
        </w:rPr>
        <w:t xml:space="preserve">Los ensayos tercero y cuarto </w:t>
      </w:r>
      <w:r w:rsidR="009B4611">
        <w:rPr>
          <w:rFonts w:ascii="Times New Roman" w:eastAsia="Times New Roman" w:hAnsi="Times New Roman" w:cs="Times New Roman"/>
          <w:lang w:val="uz-Cyrl-UZ"/>
        </w:rPr>
        <w:t>o</w:t>
      </w:r>
      <w:r w:rsidRPr="00575FE2">
        <w:rPr>
          <w:rFonts w:ascii="Times New Roman" w:eastAsia="Times New Roman" w:hAnsi="Times New Roman" w:cs="Times New Roman"/>
          <w:lang w:val="uz-Cyrl-UZ"/>
        </w:rPr>
        <w:t>frecen críticas más profundas sobre estas guerras culturales en curso. Como veremos, estas guerras abarcan desde la reconfiguración del derecho constitucional hasta la manipulación del procedimiento civil.</w:t>
      </w:r>
      <w:r w:rsidR="00631B80">
        <w:rPr>
          <w:rFonts w:ascii="Times New Roman" w:eastAsia="Times New Roman" w:hAnsi="Times New Roman" w:cs="Times New Roman"/>
          <w:lang w:val="uz-Cyrl-UZ"/>
        </w:rPr>
        <w:t xml:space="preserve"> </w:t>
      </w:r>
      <w:r w:rsidRPr="00575FE2">
        <w:rPr>
          <w:rFonts w:ascii="Times New Roman" w:eastAsia="Times New Roman" w:hAnsi="Times New Roman" w:cs="Times New Roman"/>
          <w:lang w:val="uz-Cyrl-UZ"/>
        </w:rPr>
        <w:t>En conjunto, los ensayos de este capítulo establecen fundamentos clave. Sirven de base para los textos del capítulo quinto.</w:t>
      </w:r>
    </w:p>
    <w:p w14:paraId="7FAC4A90" w14:textId="77777777" w:rsidR="009B4611" w:rsidRPr="00575FE2" w:rsidRDefault="009B4611" w:rsidP="009B4611">
      <w:pPr>
        <w:ind w:firstLine="720"/>
        <w:rPr>
          <w:rFonts w:ascii="Times New Roman" w:eastAsia="Times New Roman" w:hAnsi="Times New Roman" w:cs="Times New Roman"/>
          <w:lang w:val="uz-Cyrl-UZ"/>
        </w:rPr>
      </w:pPr>
    </w:p>
    <w:p w14:paraId="01EF374E" w14:textId="36C36747" w:rsidR="0023367B" w:rsidRDefault="0023367B" w:rsidP="000A6618">
      <w:pPr>
        <w:jc w:val="center"/>
        <w:rPr>
          <w:rFonts w:ascii="Times New Roman" w:hAnsi="Times New Roman" w:cs="Times New Roman"/>
          <w:lang w:val="es-ES"/>
        </w:rPr>
      </w:pPr>
      <w:r w:rsidRPr="009B4611">
        <w:rPr>
          <w:rFonts w:ascii="Times New Roman" w:hAnsi="Times New Roman" w:cs="Times New Roman"/>
          <w:lang w:val="es-ES"/>
        </w:rPr>
        <w:t>***</w:t>
      </w:r>
    </w:p>
    <w:p w14:paraId="6587076F" w14:textId="77777777" w:rsidR="009B4611" w:rsidRPr="009B4611" w:rsidRDefault="009B4611" w:rsidP="000A6618">
      <w:pPr>
        <w:jc w:val="center"/>
        <w:rPr>
          <w:rFonts w:ascii="Times New Roman" w:hAnsi="Times New Roman" w:cs="Times New Roman"/>
          <w:lang w:val="es-ES"/>
        </w:rPr>
      </w:pPr>
    </w:p>
    <w:p w14:paraId="2E5BACE1" w14:textId="77777777" w:rsidR="00C0625A" w:rsidRPr="009B4611" w:rsidRDefault="00C0625A" w:rsidP="009B4611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aps/>
        </w:rPr>
      </w:pPr>
      <w:r w:rsidRPr="009B4611">
        <w:rPr>
          <w:b/>
          <w:bCs/>
          <w:caps/>
        </w:rPr>
        <w:t>Más allá de la orientación sexual en la teoría legal queer: El mayoritarismo, la multidimensionalidad y la responsabilidad en la investigación sobre justicia social, o los juristas como guerreros culturales.</w:t>
      </w:r>
    </w:p>
    <w:p w14:paraId="2BE0054C" w14:textId="434B9DEF" w:rsidR="00C0625A" w:rsidRPr="009B4611" w:rsidRDefault="00C0625A" w:rsidP="00C0625A">
      <w:pPr>
        <w:pStyle w:val="ListParagraph"/>
        <w:rPr>
          <w:rFonts w:ascii="Times New Roman" w:hAnsi="Times New Roman" w:cs="Times New Roman"/>
          <w:lang w:val="es-ES"/>
        </w:rPr>
      </w:pPr>
      <w:r w:rsidRPr="009B4611">
        <w:rPr>
          <w:rFonts w:ascii="Times New Roman" w:hAnsi="Times New Roman" w:cs="Times New Roman"/>
          <w:lang w:val="es-ES"/>
        </w:rPr>
        <w:t xml:space="preserve">75 Denver </w:t>
      </w:r>
      <w:proofErr w:type="spellStart"/>
      <w:r w:rsidRPr="009B4611">
        <w:rPr>
          <w:rFonts w:ascii="Times New Roman" w:hAnsi="Times New Roman" w:cs="Times New Roman"/>
          <w:lang w:val="es-ES"/>
        </w:rPr>
        <w:t>University</w:t>
      </w:r>
      <w:proofErr w:type="spellEnd"/>
      <w:r w:rsidRPr="009B461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B4611">
        <w:rPr>
          <w:rFonts w:ascii="Times New Roman" w:hAnsi="Times New Roman" w:cs="Times New Roman"/>
          <w:lang w:val="es-ES"/>
        </w:rPr>
        <w:t>Law</w:t>
      </w:r>
      <w:proofErr w:type="spellEnd"/>
      <w:r w:rsidRPr="009B461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B4611">
        <w:rPr>
          <w:rFonts w:ascii="Times New Roman" w:hAnsi="Times New Roman" w:cs="Times New Roman"/>
          <w:lang w:val="es-ES"/>
        </w:rPr>
        <w:t>Review</w:t>
      </w:r>
      <w:proofErr w:type="spellEnd"/>
      <w:r w:rsidRPr="009B4611">
        <w:rPr>
          <w:rFonts w:ascii="Times New Roman" w:hAnsi="Times New Roman" w:cs="Times New Roman"/>
          <w:lang w:val="es-ES"/>
        </w:rPr>
        <w:t xml:space="preserve"> 1409 (1998)</w:t>
      </w:r>
    </w:p>
    <w:p w14:paraId="0E040231" w14:textId="77777777" w:rsidR="00C0625A" w:rsidRPr="009B4611" w:rsidRDefault="00C0625A" w:rsidP="009B4611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b/>
          <w:bCs/>
          <w:caps/>
          <w:lang w:val="es-PR"/>
        </w:rPr>
      </w:pPr>
      <w:r w:rsidRPr="009B4611">
        <w:rPr>
          <w:rFonts w:ascii="Times New Roman" w:hAnsi="Times New Roman" w:cs="Times New Roman"/>
          <w:b/>
          <w:bCs/>
          <w:caps/>
          <w:lang w:val="es-PR"/>
        </w:rPr>
        <w:t>Cartografiar y movilizar las críticas legales: Cambiar de diáspora a colectivo, o los juristas logran la diferencia como guerreros culturales.</w:t>
      </w:r>
    </w:p>
    <w:p w14:paraId="23C6D26C" w14:textId="52A6955A" w:rsidR="0083542B" w:rsidRDefault="0083542B" w:rsidP="0083542B">
      <w:pPr>
        <w:pStyle w:val="ListParagraph"/>
        <w:rPr>
          <w:rFonts w:ascii="Times New Roman" w:hAnsi="Times New Roman" w:cs="Times New Roman"/>
          <w:lang w:val="es-ES"/>
        </w:rPr>
      </w:pPr>
      <w:r w:rsidRPr="009B4611">
        <w:rPr>
          <w:rFonts w:ascii="Times New Roman" w:hAnsi="Times New Roman" w:cs="Times New Roman"/>
          <w:lang w:val="es-ES"/>
        </w:rPr>
        <w:t xml:space="preserve">100 Denver </w:t>
      </w:r>
      <w:proofErr w:type="spellStart"/>
      <w:r w:rsidRPr="009B4611">
        <w:rPr>
          <w:rFonts w:ascii="Times New Roman" w:hAnsi="Times New Roman" w:cs="Times New Roman"/>
          <w:lang w:val="es-ES"/>
        </w:rPr>
        <w:t>University</w:t>
      </w:r>
      <w:proofErr w:type="spellEnd"/>
      <w:r w:rsidRPr="009B461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B4611">
        <w:rPr>
          <w:rFonts w:ascii="Times New Roman" w:hAnsi="Times New Roman" w:cs="Times New Roman"/>
          <w:lang w:val="es-ES"/>
        </w:rPr>
        <w:t>Law</w:t>
      </w:r>
      <w:proofErr w:type="spellEnd"/>
      <w:r w:rsidRPr="009B461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B4611">
        <w:rPr>
          <w:rFonts w:ascii="Times New Roman" w:hAnsi="Times New Roman" w:cs="Times New Roman"/>
          <w:lang w:val="es-ES"/>
        </w:rPr>
        <w:t>Review</w:t>
      </w:r>
      <w:proofErr w:type="spellEnd"/>
      <w:r w:rsidRPr="009B4611">
        <w:rPr>
          <w:rFonts w:ascii="Times New Roman" w:hAnsi="Times New Roman" w:cs="Times New Roman"/>
          <w:lang w:val="es-ES"/>
        </w:rPr>
        <w:t xml:space="preserve"> 625 (2023) </w:t>
      </w:r>
    </w:p>
    <w:p w14:paraId="51721F44" w14:textId="77777777" w:rsidR="009B4611" w:rsidRPr="009B4611" w:rsidRDefault="009B4611" w:rsidP="0083542B">
      <w:pPr>
        <w:pStyle w:val="ListParagraph"/>
        <w:rPr>
          <w:rFonts w:ascii="Times New Roman" w:hAnsi="Times New Roman" w:cs="Times New Roman"/>
          <w:lang w:val="es-ES"/>
        </w:rPr>
      </w:pPr>
    </w:p>
    <w:p w14:paraId="3E59219C" w14:textId="77777777" w:rsidR="00347FB3" w:rsidRPr="009B4611" w:rsidRDefault="00C0625A" w:rsidP="009B4611">
      <w:pPr>
        <w:numPr>
          <w:ilvl w:val="0"/>
          <w:numId w:val="1"/>
        </w:numPr>
        <w:rPr>
          <w:rFonts w:ascii="Times New Roman" w:hAnsi="Times New Roman" w:cs="Times New Roman"/>
          <w:caps/>
          <w:lang w:val="es-PR"/>
        </w:rPr>
      </w:pPr>
      <w:r w:rsidRPr="009B4611">
        <w:rPr>
          <w:rFonts w:ascii="Times New Roman Bold" w:hAnsi="Times New Roman Bold" w:cs="Times New Roman"/>
          <w:b/>
          <w:bCs/>
          <w:caps/>
          <w:lang w:val="es-PR"/>
        </w:rPr>
        <w:t>La constitución del terror: Grandes mentiras, jurisprudencia de retroceso y el estado de derecho en los Estados Unidos hoy</w:t>
      </w:r>
      <w:r w:rsidRPr="009B4611">
        <w:rPr>
          <w:rFonts w:ascii="Times New Roman" w:hAnsi="Times New Roman" w:cs="Times New Roman"/>
          <w:caps/>
          <w:lang w:val="es-PR"/>
        </w:rPr>
        <w:t>.</w:t>
      </w:r>
    </w:p>
    <w:p w14:paraId="1E419627" w14:textId="09FCB284" w:rsidR="00347FB3" w:rsidRPr="009B4611" w:rsidRDefault="00347FB3" w:rsidP="009B4611">
      <w:pPr>
        <w:spacing w:after="100" w:afterAutospacing="1"/>
        <w:ind w:left="720"/>
        <w:rPr>
          <w:rFonts w:ascii="Times New Roman" w:hAnsi="Times New Roman" w:cs="Times New Roman"/>
        </w:rPr>
      </w:pPr>
      <w:r w:rsidRPr="009B4611">
        <w:rPr>
          <w:rFonts w:ascii="Times New Roman" w:hAnsi="Times New Roman" w:cs="Times New Roman"/>
        </w:rPr>
        <w:t xml:space="preserve">7 University of Nevada Law </w:t>
      </w:r>
      <w:proofErr w:type="gramStart"/>
      <w:r w:rsidRPr="009B4611">
        <w:rPr>
          <w:rFonts w:ascii="Times New Roman" w:hAnsi="Times New Roman" w:cs="Times New Roman"/>
        </w:rPr>
        <w:t>Journal</w:t>
      </w:r>
      <w:proofErr w:type="gramEnd"/>
      <w:r w:rsidRPr="009B4611">
        <w:rPr>
          <w:rFonts w:ascii="Times New Roman" w:hAnsi="Times New Roman" w:cs="Times New Roman"/>
        </w:rPr>
        <w:t xml:space="preserve"> 973 (2007)</w:t>
      </w:r>
    </w:p>
    <w:p w14:paraId="6D8B8CFF" w14:textId="77777777" w:rsidR="00347FB3" w:rsidRPr="009B4611" w:rsidRDefault="00C0625A" w:rsidP="009B4611">
      <w:pPr>
        <w:numPr>
          <w:ilvl w:val="0"/>
          <w:numId w:val="1"/>
        </w:numPr>
        <w:rPr>
          <w:rFonts w:ascii="Times New Roman Bold" w:hAnsi="Times New Roman Bold" w:cs="Times New Roman"/>
          <w:b/>
          <w:bCs/>
          <w:caps/>
          <w:lang w:val="es-PR"/>
        </w:rPr>
      </w:pPr>
      <w:r w:rsidRPr="009B4611">
        <w:rPr>
          <w:rFonts w:ascii="Times New Roman Bold" w:hAnsi="Times New Roman Bold" w:cs="Times New Roman"/>
          <w:b/>
          <w:bCs/>
          <w:caps/>
          <w:lang w:val="es-PR"/>
        </w:rPr>
        <w:t xml:space="preserve">Procedimiento, política y poder: Perspectiva histórica y comparada de las acciones colectivas y la justicia social. </w:t>
      </w:r>
    </w:p>
    <w:p w14:paraId="3CE28636" w14:textId="45E51794" w:rsidR="00CE4308" w:rsidRPr="000A6618" w:rsidRDefault="001715CF" w:rsidP="009B4611">
      <w:pPr>
        <w:ind w:left="720"/>
        <w:rPr>
          <w:rFonts w:ascii="Times New Roman" w:hAnsi="Times New Roman" w:cs="Times New Roman"/>
        </w:rPr>
      </w:pPr>
      <w:r w:rsidRPr="009B4611">
        <w:rPr>
          <w:rFonts w:ascii="Times New Roman" w:hAnsi="Times New Roman" w:cs="Times New Roman"/>
        </w:rPr>
        <w:t>24 Georgia State University Law Review (2012)</w:t>
      </w:r>
    </w:p>
    <w:sectPr w:rsidR="00CE4308" w:rsidRPr="000A6618" w:rsidSect="00F5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5520"/>
    <w:multiLevelType w:val="multilevel"/>
    <w:tmpl w:val="CBEC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8"/>
    <w:rsid w:val="000A6618"/>
    <w:rsid w:val="001321A2"/>
    <w:rsid w:val="001715CF"/>
    <w:rsid w:val="002229AF"/>
    <w:rsid w:val="0022569D"/>
    <w:rsid w:val="0023367B"/>
    <w:rsid w:val="00341874"/>
    <w:rsid w:val="00347FB3"/>
    <w:rsid w:val="00422E98"/>
    <w:rsid w:val="004C6807"/>
    <w:rsid w:val="00575FE2"/>
    <w:rsid w:val="005D459E"/>
    <w:rsid w:val="00627718"/>
    <w:rsid w:val="00631B80"/>
    <w:rsid w:val="00676EAB"/>
    <w:rsid w:val="006C3668"/>
    <w:rsid w:val="007342B8"/>
    <w:rsid w:val="0083542B"/>
    <w:rsid w:val="008539B0"/>
    <w:rsid w:val="008E2B80"/>
    <w:rsid w:val="008E2C12"/>
    <w:rsid w:val="009B4611"/>
    <w:rsid w:val="009C57C1"/>
    <w:rsid w:val="009D6DFD"/>
    <w:rsid w:val="009E50CC"/>
    <w:rsid w:val="00A923E5"/>
    <w:rsid w:val="00AC6B17"/>
    <w:rsid w:val="00AE17E0"/>
    <w:rsid w:val="00B96368"/>
    <w:rsid w:val="00BC7408"/>
    <w:rsid w:val="00C0625A"/>
    <w:rsid w:val="00C54196"/>
    <w:rsid w:val="00C71EDB"/>
    <w:rsid w:val="00CE4308"/>
    <w:rsid w:val="00D146F8"/>
    <w:rsid w:val="00ED2D3C"/>
    <w:rsid w:val="00F51CAB"/>
    <w:rsid w:val="00F74202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1E5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3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17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paragraph" w:customStyle="1" w:styleId="p1">
    <w:name w:val="p1"/>
    <w:basedOn w:val="Normal"/>
    <w:rsid w:val="00575F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character" w:customStyle="1" w:styleId="s1">
    <w:name w:val="s1"/>
    <w:basedOn w:val="DefaultParagraphFont"/>
    <w:rsid w:val="00575FE2"/>
  </w:style>
  <w:style w:type="paragraph" w:customStyle="1" w:styleId="p3">
    <w:name w:val="p3"/>
    <w:basedOn w:val="Normal"/>
    <w:rsid w:val="00575F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paragraph" w:styleId="ListParagraph">
    <w:name w:val="List Paragraph"/>
    <w:basedOn w:val="Normal"/>
    <w:uiPriority w:val="34"/>
    <w:qFormat/>
    <w:rsid w:val="00C06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3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17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paragraph" w:customStyle="1" w:styleId="p1">
    <w:name w:val="p1"/>
    <w:basedOn w:val="Normal"/>
    <w:rsid w:val="00575F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character" w:customStyle="1" w:styleId="s1">
    <w:name w:val="s1"/>
    <w:basedOn w:val="DefaultParagraphFont"/>
    <w:rsid w:val="00575FE2"/>
  </w:style>
  <w:style w:type="paragraph" w:customStyle="1" w:styleId="p3">
    <w:name w:val="p3"/>
    <w:basedOn w:val="Normal"/>
    <w:rsid w:val="00575F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z-Cyrl-UZ"/>
    </w:rPr>
  </w:style>
  <w:style w:type="paragraph" w:styleId="ListParagraph">
    <w:name w:val="List Paragraph"/>
    <w:basedOn w:val="Normal"/>
    <w:uiPriority w:val="34"/>
    <w:qFormat/>
    <w:rsid w:val="00C0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2098</Characters>
  <Application>Microsoft Macintosh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Valdes</dc:creator>
  <cp:keywords/>
  <dc:description/>
  <cp:lastModifiedBy>Frank Valdes</cp:lastModifiedBy>
  <cp:revision>2</cp:revision>
  <dcterms:created xsi:type="dcterms:W3CDTF">2025-04-23T17:58:00Z</dcterms:created>
  <dcterms:modified xsi:type="dcterms:W3CDTF">2025-04-23T17:58:00Z</dcterms:modified>
</cp:coreProperties>
</file>